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Самостоятельно выполнить задания из лабораторной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сеть состоит из N TCP-источников, N TCP-приёмников, двух маршрутизаторов</w:t>
      </w:r>
      <w:r>
        <w:t xml:space="preserve"> </w:t>
      </w:r>
      <w:r>
        <w:t xml:space="preserve">R1 и R2 между источниками и приёмниками (N — не менее 20);</w:t>
      </w:r>
      <w:r>
        <w:t xml:space="preserve"> </w:t>
      </w:r>
      <w:r>
        <w:t xml:space="preserve">– между TCP-источниками и первым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  <w:r>
        <w:t xml:space="preserve"> </w:t>
      </w:r>
      <w:r>
        <w:t xml:space="preserve">– между TCP-приёмниками и вторым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  <w:r>
        <w:t xml:space="preserve"> </w:t>
      </w:r>
      <w:r>
        <w:t xml:space="preserve">– между маршрутизаторами установлено симплексное соединение (R1–R2) с про-</w:t>
      </w:r>
      <w:r>
        <w:t xml:space="preserve"> </w:t>
      </w:r>
      <w:r>
        <w:t xml:space="preserve">пускной способностью 20 Мбит/с и задержкой 15 мс очередью типа RED,</w:t>
      </w:r>
      <w:r>
        <w:t xml:space="preserve"> </w:t>
      </w:r>
      <w:r>
        <w:t xml:space="preserve">размером буфера 300 пакетов; в обратную сторону — симплексное соедине-</w:t>
      </w:r>
      <w:r>
        <w:t xml:space="preserve"> </w:t>
      </w:r>
      <w:r>
        <w:t xml:space="preserve">ние (R2–R1) с пропускной способностью 15 Мбит/с и задержкой 20 мс очередью</w:t>
      </w:r>
      <w:r>
        <w:t xml:space="preserve"> </w:t>
      </w:r>
      <w:r>
        <w:t xml:space="preserve">типа DropTail;</w:t>
      </w:r>
      <w:r>
        <w:t xml:space="preserve"> </w:t>
      </w:r>
      <w:r>
        <w:t xml:space="preserve">– данные передаются по протоколу FTP поверх TCPReno;</w:t>
      </w:r>
      <w:r>
        <w:t xml:space="preserve"> </w:t>
      </w:r>
      <w:r>
        <w:t xml:space="preserve">– параметры алгоритма RED: qmin = 75, qmax = 150, qw = 0, 002, pmax = 0.1;</w:t>
      </w:r>
      <w:r>
        <w:t xml:space="preserve"> </w:t>
      </w:r>
      <w:r>
        <w:t xml:space="preserve">– максимальный размер TCP-окна 32; размер передаваемого пакета 500 байт; время</w:t>
      </w:r>
      <w:r>
        <w:t xml:space="preserve"> </w:t>
      </w:r>
      <w:r>
        <w:t xml:space="preserve">моделирования — не менее 20 единиц модельного времени.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файл lab04.tcl. Пишу код для выполнения задания(рис.11), (рис.22).</w:t>
      </w:r>
    </w:p>
    <w:p>
      <w:pPr>
        <w:pStyle w:val="CaptionedFigure"/>
      </w:pPr>
      <w:bookmarkStart w:id="25" w:name="fig:pic1"/>
      <w:r>
        <w:drawing>
          <wp:inline>
            <wp:extent cx="5334000" cy="5148679"/>
            <wp:effectExtent b="0" l="0" r="0" t="0"/>
            <wp:docPr descr="Рис. 1: Заполнение файла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Заполнение файла</w:t>
      </w:r>
    </w:p>
    <w:p>
      <w:pPr>
        <w:pStyle w:val="CaptionedFigure"/>
      </w:pPr>
      <w:bookmarkStart w:id="29" w:name="fig:pic2"/>
      <w:r>
        <w:drawing>
          <wp:inline>
            <wp:extent cx="5334000" cy="6090000"/>
            <wp:effectExtent b="0" l="0" r="0" t="0"/>
            <wp:docPr descr="Рис. 2: Заполнение файла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Заполнение файла</w:t>
      </w:r>
    </w:p>
    <w:p>
      <w:pPr>
        <w:pStyle w:val="BodyText"/>
      </w:pPr>
      <w:r>
        <w:t xml:space="preserve">Получились следующие графики(рис.13), (рис.24), (рис.25). (рис.26), (рис.27).</w:t>
      </w:r>
    </w:p>
    <w:p>
      <w:pPr>
        <w:pStyle w:val="CaptionedFigure"/>
      </w:pPr>
      <w:bookmarkStart w:id="33" w:name="fig:pic3"/>
      <w:r>
        <w:drawing>
          <wp:inline>
            <wp:extent cx="5334000" cy="5589157"/>
            <wp:effectExtent b="0" l="0" r="0" t="0"/>
            <wp:docPr descr="Рис. 3: Результат программы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Результат программы</w:t>
      </w:r>
    </w:p>
    <w:p>
      <w:pPr>
        <w:pStyle w:val="CaptionedFigure"/>
      </w:pPr>
      <w:bookmarkStart w:id="37" w:name="fig:pic4"/>
      <w:r>
        <w:drawing>
          <wp:inline>
            <wp:extent cx="5334000" cy="5472425"/>
            <wp:effectExtent b="0" l="0" r="0" t="0"/>
            <wp:docPr descr="Рис. 4: Изменение размера окна TCP на линке 1-го источника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Изменение размера окна TCP на линке 1-го источника</w:t>
      </w:r>
    </w:p>
    <w:p>
      <w:pPr>
        <w:pStyle w:val="CaptionedFigure"/>
      </w:pPr>
      <w:bookmarkStart w:id="41" w:name="fig:pic5"/>
      <w:r>
        <w:drawing>
          <wp:inline>
            <wp:extent cx="5334000" cy="5558984"/>
            <wp:effectExtent b="0" l="0" r="0" t="0"/>
            <wp:docPr descr="Рис. 5: зменение размера средней длины очереди на линке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зменение размера средней длины очереди на линке</w:t>
      </w:r>
    </w:p>
    <w:p>
      <w:pPr>
        <w:pStyle w:val="CaptionedFigure"/>
      </w:pPr>
      <w:bookmarkStart w:id="45" w:name="fig:pic6"/>
      <w:r>
        <w:drawing>
          <wp:inline>
            <wp:extent cx="5334000" cy="5584466"/>
            <wp:effectExtent b="0" l="0" r="0" t="0"/>
            <wp:docPr descr="Рис. 6: Изменение размера окна TCP на всех источниках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Изменение размера окна TCP на всех источниках</w:t>
      </w:r>
    </w:p>
    <w:p>
      <w:pPr>
        <w:pStyle w:val="CaptionedFigure"/>
      </w:pPr>
      <w:bookmarkStart w:id="49" w:name="fig:pic7"/>
      <w:r>
        <w:drawing>
          <wp:inline>
            <wp:extent cx="5334000" cy="5584031"/>
            <wp:effectExtent b="0" l="0" r="0" t="0"/>
            <wp:docPr descr="Рис. 7: Изменение размера длины очереди на линке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Изменение размера длины очереди на линке</w:t>
      </w:r>
    </w:p>
    <w:p>
      <w:pPr>
        <w:pStyle w:val="BodyText"/>
      </w:pPr>
      <w:r>
        <w:t xml:space="preserve">Создаю файл graph_plot_lab04 и заполняю его(рис.28).</w:t>
      </w:r>
    </w:p>
    <w:p>
      <w:pPr>
        <w:pStyle w:val="CaptionedFigure"/>
      </w:pPr>
      <w:bookmarkStart w:id="53" w:name="fig:pic8"/>
      <w:r>
        <w:drawing>
          <wp:inline>
            <wp:extent cx="5334000" cy="3174220"/>
            <wp:effectExtent b="0" l="0" r="0" t="0"/>
            <wp:docPr descr="Рис. 8: Заполнение файла" title="" id="51" name="Picture"/>
            <a:graphic>
              <a:graphicData uri="http://schemas.openxmlformats.org/drawingml/2006/picture">
                <pic:pic>
                  <pic:nvPicPr>
                    <pic:cNvPr descr="image/pic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Заполнение файла</w:t>
      </w:r>
    </w:p>
    <w:p>
      <w:pPr>
        <w:pStyle w:val="BodyText"/>
      </w:pPr>
      <w:r>
        <w:t xml:space="preserve">Даю права файлу и запускаю его(рис.29).</w:t>
      </w:r>
    </w:p>
    <w:p>
      <w:pPr>
        <w:pStyle w:val="CaptionedFigure"/>
      </w:pPr>
      <w:bookmarkStart w:id="57" w:name="fig:pic9"/>
      <w:r>
        <w:drawing>
          <wp:inline>
            <wp:extent cx="5334000" cy="494805"/>
            <wp:effectExtent b="0" l="0" r="0" t="0"/>
            <wp:docPr descr="Рис. 9: Заполнение файла" title="" id="55" name="Picture"/>
            <a:graphic>
              <a:graphicData uri="http://schemas.openxmlformats.org/drawingml/2006/picture">
                <pic:pic>
                  <pic:nvPicPr>
                    <pic:cNvPr descr="image/pic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Заполнение файла</w:t>
      </w:r>
    </w:p>
    <w:p>
      <w:pPr>
        <w:pStyle w:val="BodyText"/>
      </w:pPr>
      <w:r>
        <w:t xml:space="preserve">Получились следующие графики(рис.110), (рис.211), (рис.212). (рис.213).</w:t>
      </w:r>
    </w:p>
    <w:p>
      <w:pPr>
        <w:pStyle w:val="CaptionedFigure"/>
      </w:pPr>
      <w:bookmarkStart w:id="61" w:name="fig:pic10"/>
      <w:r>
        <w:drawing>
          <wp:inline>
            <wp:extent cx="5334000" cy="4087905"/>
            <wp:effectExtent b="0" l="0" r="0" t="0"/>
            <wp:docPr descr="Рис. 10: Изменение размера окна TCP на линке 1-го источника" title="" id="59" name="Picture"/>
            <a:graphic>
              <a:graphicData uri="http://schemas.openxmlformats.org/drawingml/2006/picture">
                <pic:pic>
                  <pic:nvPicPr>
                    <pic:cNvPr descr="image/pic10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размера окна TCP на линке 1-го источника</w:t>
      </w:r>
    </w:p>
    <w:p>
      <w:pPr>
        <w:pStyle w:val="CaptionedFigure"/>
      </w:pPr>
      <w:bookmarkStart w:id="65" w:name="fig:pic11"/>
      <w:r>
        <w:drawing>
          <wp:inline>
            <wp:extent cx="5334000" cy="4053839"/>
            <wp:effectExtent b="0" l="0" r="0" t="0"/>
            <wp:docPr descr="Рис. 11: Изменение размера окна TCP на всех источниках" title="" id="63" name="Picture"/>
            <a:graphic>
              <a:graphicData uri="http://schemas.openxmlformats.org/drawingml/2006/picture">
                <pic:pic>
                  <pic:nvPicPr>
                    <pic:cNvPr descr="image/pic11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размера окна TCP на всех источниках</w:t>
      </w:r>
    </w:p>
    <w:p>
      <w:pPr>
        <w:pStyle w:val="CaptionedFigure"/>
      </w:pPr>
      <w:bookmarkStart w:id="69" w:name="fig:pic12"/>
      <w:r>
        <w:drawing>
          <wp:inline>
            <wp:extent cx="5334000" cy="4080509"/>
            <wp:effectExtent b="0" l="0" r="0" t="0"/>
            <wp:docPr descr="Рис. 12: Изменение размера длины очереди на линке" title="" id="67" name="Picture"/>
            <a:graphic>
              <a:graphicData uri="http://schemas.openxmlformats.org/drawingml/2006/picture">
                <pic:pic>
                  <pic:nvPicPr>
                    <pic:cNvPr descr="image/pic12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размера длины очереди на линке</w:t>
      </w:r>
    </w:p>
    <w:p>
      <w:pPr>
        <w:pStyle w:val="CaptionedFigure"/>
      </w:pPr>
      <w:bookmarkStart w:id="73" w:name="fig:pic13"/>
      <w:r>
        <w:drawing>
          <wp:inline>
            <wp:extent cx="5334000" cy="4040372"/>
            <wp:effectExtent b="0" l="0" r="0" t="0"/>
            <wp:docPr descr="Рис. 13: Изменение размера длины очереди на линке" title="" id="71" name="Picture"/>
            <a:graphic>
              <a:graphicData uri="http://schemas.openxmlformats.org/drawingml/2006/picture">
                <pic:pic>
                  <pic:nvPicPr>
                    <pic:cNvPr descr="image/pic13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Изменение размера длины очереди на линке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Выполнила самостоятельную работу.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Пронякова Ольга Максимовна</dc:creator>
  <dc:language>ru-RU</dc:language>
  <cp:keywords/>
  <dcterms:created xsi:type="dcterms:W3CDTF">2025-02-24T14:49:30Z</dcterms:created>
  <dcterms:modified xsi:type="dcterms:W3CDTF">2025-02-24T14:49:30Z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