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 xcos системы массового обслуживания типа М|M|oo.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данные. В меню Моделирование, Установить контекст зададим значение коэффициентов. пресступим к первому суперблоку, моделирующему поступление заявок. Заявки поступают в систему по пуассоновскому закону. Поступает заявка в суперблок, идет в синхранизатор входных и выходных сигналов, происходит равномерное распределение на интервале 0;1(также заявка идет в обработчик событий), далее идет преобразование в экспоненциальное распределение с параметром лямбда, далее заявка опять попадает в обработчик событий и выходит из суперблока.(рис.1), (рис.2).</w:t>
      </w:r>
    </w:p>
    <w:p>
      <w:pPr>
        <w:pStyle w:val="CaptionedFigure"/>
      </w:pPr>
      <w:bookmarkStart w:id="24" w:name="fig:pic1"/>
      <w:r>
        <w:drawing>
          <wp:inline>
            <wp:extent cx="5334000" cy="4531967"/>
            <wp:effectExtent b="0" l="0" r="0" t="0"/>
            <wp:docPr descr="Рис. 1: Суперблок, моделирующий поступление заявок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Суперблок, моделирующий поступление заявок</w:t>
      </w:r>
    </w:p>
    <w:p>
      <w:pPr>
        <w:pStyle w:val="CaptionedFigure"/>
      </w:pPr>
      <w:bookmarkStart w:id="28" w:name="fig:pic2"/>
      <w:r>
        <w:drawing>
          <wp:inline>
            <wp:extent cx="5334000" cy="3426396"/>
            <wp:effectExtent b="0" l="0" r="0" t="0"/>
            <wp:docPr descr="Рис. 2: Задаю переменные окружения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Задаю переменные окружения</w:t>
      </w:r>
    </w:p>
    <w:p>
      <w:pPr>
        <w:pStyle w:val="BodyText"/>
      </w:pPr>
      <w:r>
        <w:t xml:space="preserve">приступаем ко второму суперблоку. Суперблок, моделирующий процесс обработки заявок. Тут происходит обработка заявок в очереди по экспоненциальному закону(рис.3).</w:t>
      </w:r>
    </w:p>
    <w:p>
      <w:pPr>
        <w:pStyle w:val="CaptionedFigure"/>
      </w:pPr>
      <w:bookmarkStart w:id="32" w:name="fig:pic3"/>
      <w:r>
        <w:drawing>
          <wp:inline>
            <wp:extent cx="5334000" cy="4677201"/>
            <wp:effectExtent b="0" l="0" r="0" t="0"/>
            <wp:docPr descr="Рис. 3: Суперблок, моделирующий обработку заявок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модель. Тут есть селектор, два суперблока, построенных ранее, первоначальное событие на вход в суперблок, суммирование. оператор задержки(имитация очереди), также есть регистрирующие блоки: регистратор размера очереди и регистратор событий.(рис.4).</w:t>
      </w:r>
    </w:p>
    <w:p>
      <w:pPr>
        <w:pStyle w:val="CaptionedFigure"/>
      </w:pPr>
      <w:bookmarkStart w:id="36" w:name="fig:pic4"/>
      <w:r>
        <w:drawing>
          <wp:inline>
            <wp:extent cx="5334000" cy="4379796"/>
            <wp:effectExtent b="0" l="0" r="0" t="0"/>
            <wp:docPr descr="Рис. 4: Готовая модель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Готовая модель</w:t>
      </w:r>
    </w:p>
    <w:p>
      <w:pPr>
        <w:pStyle w:val="BodyText"/>
      </w:pPr>
      <w:r>
        <w:t xml:space="preserve">Результат моделирования - график динамики очереди начинается со значения 6(рис.5). (рис.6).</w:t>
      </w:r>
    </w:p>
    <w:p>
      <w:pPr>
        <w:pStyle w:val="CaptionedFigure"/>
      </w:pPr>
      <w:bookmarkStart w:id="40" w:name="fig:pic5"/>
      <w:r>
        <w:drawing>
          <wp:inline>
            <wp:extent cx="5334000" cy="3584677"/>
            <wp:effectExtent b="0" l="0" r="0" t="0"/>
            <wp:docPr descr="Рис. 5: 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pic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Поступление и обработка заявок</w:t>
      </w:r>
    </w:p>
    <w:p>
      <w:pPr>
        <w:pStyle w:val="CaptionedFigure"/>
      </w:pPr>
      <w:bookmarkStart w:id="44" w:name="fig:pic6"/>
      <w:r>
        <w:drawing>
          <wp:inline>
            <wp:extent cx="5334000" cy="3472856"/>
            <wp:effectExtent b="0" l="0" r="0" t="0"/>
            <wp:docPr descr="Рис. 6: Динамика размера очереди" title="" id="42" name="Picture"/>
            <a:graphic>
              <a:graphicData uri="http://schemas.openxmlformats.org/drawingml/2006/picture">
                <pic:pic>
                  <pic:nvPicPr>
                    <pic:cNvPr descr="image/pic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Динамика размера очереди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пример моделирования в xcos системы массового обслуживания типа М|M|oo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Пронякова Ольга Максимовна</dc:creator>
  <dc:language>ru-RU</dc:language>
  <cp:keywords/>
  <dcterms:created xsi:type="dcterms:W3CDTF">2025-03-19T17:28:12Z</dcterms:created>
  <dcterms:modified xsi:type="dcterms:W3CDTF">2025-03-19T17:28:12Z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