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путём выездов Исполнителя на Объекты (плановые осмотры и выезды по заявкам Заказчика). Учёт, приёмка и оплата Работ производятся по фактически совершённым выездам и фактически выполненным Работам.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8.1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фактически совершённых выездов и выполненных Работ, принятых Заказчиком.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определяется по фактическим выездам и фактически затраченному времени по следующим расценкам:</w:t>
      </w:r>
    </w:p>
    <w:p>
      <w:pPr>
        <w:spacing w:before="0"/>
        <w:ind w:firstLine="567"/>
        <w:jc w:val="both"/>
      </w:pPr>
      <w:r>
        <w:rPr>
          <w:b w:val="0"/>
        </w:rPr>
        <w:t>— выезд Исполнителя на Объект — 3 000 (три тысячи) рублей 00 копеек за один выезд;</w:t>
      </w:r>
    </w:p>
    <w:p>
      <w:pPr>
        <w:spacing w:before="0"/>
        <w:ind w:firstLine="567"/>
        <w:jc w:val="both"/>
      </w:pPr>
      <w:r>
        <w:rPr>
          <w:b w:val="0"/>
        </w:rPr>
        <w:t>— работа Исполнителя на Объекте — 2 500 (две тысячи пятьсот) рублей 00 копеек за 1 (один) час.</w:t>
      </w:r>
    </w:p>
    <w:p>
      <w:pPr>
        <w:spacing w:before="0"/>
        <w:ind w:firstLine="567"/>
        <w:jc w:val="both"/>
      </w:pPr>
      <w:r>
        <w:rPr>
          <w:b w:val="0"/>
        </w:rPr>
        <w:t>Время работы учитывается с момента прибытия Исполнителя на Объект до окончания Работ и округляется до 0,5 часа: время учитывается полными получасами, остаток менее 15 минут не учитывается, остаток 15 минут и более считается за 0,5 часа. Минимальная оплачиваемая продолжительность работы за один выезд — 1 (один) час. Выезды, время работы и их стоимость указываются в акте сдачи-приёмки выполненных работ (Приложение № 1). Работы по ремонту и замене оплачиваются по тем же расценкам; их необходимость и объём согласовываются Сторонами до начала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Плановая стоимость Работ по двум Объектам составляет 60 000 (шестьдесят тысяч) рублей 00 копеек в календарный месяц (ориентировочно 10 (десять) выездов и 12 (двенадцать) часов работы). Работы, выполнение которых приведёт к превышению плановой стоимости в календарном месяце, выполняются только по предварительному согласованию с Заказчиком, за исключением устранения аварийных ситуаций.</w:t>
      </w:r>
    </w:p>
    <w:p>
      <w:pPr>
        <w:spacing w:before="0"/>
        <w:ind w:firstLine="567"/>
        <w:jc w:val="both"/>
      </w:pPr>
      <w:r>
        <w:rPr>
          <w:b w:val="0"/>
        </w:rPr>
        <w:t>3.4.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3.5.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3.6. Оплата Работ производится не реже 2 (двух) раз в месяц за расчётные периоды: с 1-го по 15-е число и с 16-го по последнее число календарного месяца. Оплата производится в течение 5 (пяти) рабочих дней с даты подписания Сторонами акта сдачи-приёмки выполненных работ за соответствующий расчётный период и получения от Исполнителя чека, сформированного в соответствии с п. 3.8 Договора. Если в расчётном периоде выездов не было, акт не составляется и оплата не производится.</w:t>
      </w:r>
    </w:p>
    <w:p>
      <w:pPr>
        <w:spacing w:before="0"/>
        <w:ind w:firstLine="567"/>
        <w:jc w:val="both"/>
      </w:pPr>
      <w:r>
        <w:rPr>
          <w:b w:val="0"/>
        </w:rPr>
        <w:t>3.7. Оплата производится в безналичном порядке путём перечисления денежных средств на банковский счёт Исполнителя, указанный в разделе 10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3.9.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3.10.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Вести учёт выездов и выполненных Работ и по окончании каждого расчётного периода передавать Заказчику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окончании каждого расчётного периода (п. 3.6) Исполнитель передаёт Заказчику подписанный со своей стороны акт сдачи-приёмки выполненных работ (Приложение № 1) с перечнем выездов и выполненных Работ.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Работы, указанные в акте,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6.1.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6.2.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6.3.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7.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7.1.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7.2.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7.3.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8.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8.1.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8.2.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8.3.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9.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9.1.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9.2.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10,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9.3.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9.4. Неотъемлемой частью Договора является Приложение № 1 — Форма акта сдачи-приёмки выполненных работ.</w:t>
      </w:r>
    </w:p>
    <w:p>
      <w:pPr>
        <w:keepNext/>
        <w:spacing w:before="160"/>
        <w:jc w:val="center"/>
      </w:pPr>
      <w:r>
        <w:rPr>
          <w:b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расчётный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191"/>
        <w:gridCol w:w="1077"/>
        <w:gridCol w:w="3402"/>
        <w:gridCol w:w="964"/>
        <w:gridCol w:w="1984"/>
      </w:tblGrid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Дата выезда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(№ 1 / № 2)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Часы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 (выезд 3 000 руб. + 2 500 руб./ч), руб.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jc w:val="both"/>
      </w:pPr>
      <w:r>
        <w:rPr>
          <w:b w:val="0"/>
        </w:rPr>
        <w:t>Объект № 1 — ул. Дыбенко, д. 22, корп. 1; Объект № 2 —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расчётный период: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