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34</w:t>
      </w:r>
    </w:p>
    <w:p>
      <w:pPr>
        <w:pStyle w:val="Author"/>
      </w:pPr>
      <w:r>
        <w:t xml:space="preserve">Бармина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Константиновна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March</w:t>
      </w:r>
      <w:r>
        <w:t xml:space="preserve"> </w:t>
      </w:r>
      <w:r>
        <w:t xml:space="preserve">31th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моделью конкуренции двух фирм для двух случаев (без учета и с учетом социально-психологического фактора) и их построение с помощью языка программирования Modelica.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Построить графики изменения оборотных средств фирмы 1 и фирмы 2 без учета постоянных издержек и с веденной нормировкой для случая 1 (без учета социально-психологического фактора).</w:t>
      </w:r>
    </w:p>
    <w:p>
      <w:pPr>
        <w:numPr>
          <w:ilvl w:val="0"/>
          <w:numId w:val="1001"/>
        </w:numPr>
      </w:pPr>
      <w:r>
        <w:t xml:space="preserve">Построить графики изменения оборотных средств фирмы 1 и фирмы 2 без учета постоянных издержек и с веденной нормировкой для случая 2 (с учетом социально-психологического фактора).</w:t>
      </w:r>
    </w:p>
    <w:bookmarkEnd w:id="21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Система уравнений для первого случая (без учета социально-психологического фактора):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τ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</m:num>
            <m:den>
              <m:r>
                <m:t>τ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τ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τ</m:t>
              </m:r>
              <m:r>
                <m:t>1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t xml:space="preserve">Система уравнений для второго случая (с учетом социально-психологического фактора) принимает следующий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0.00043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N - число потребителей производимого продукта,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- длительность производственного цикла, pcr - критическая стоимость продукта, p - себестоимость продукта, q - максимальная потребность одного человека в продукте в единицу времени,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время.</w:t>
      </w:r>
    </w:p>
    <w:bookmarkEnd w:id="22"/>
    <w:bookmarkStart w:id="23" w:name="начальные-данны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Начальные данные</w:t>
      </w:r>
    </w:p>
    <w:p>
      <w:pPr>
        <w:pStyle w:val="FirstParagraph"/>
      </w:pPr>
      <w:r>
        <w:t xml:space="preserve">В варианте 34 дано: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3.6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2.9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t>r</m:t>
          </m:r>
          <m:r>
            <m:rPr>
              <m:sty m:val="p"/>
            </m:rPr>
            <m:t>=</m:t>
          </m:r>
          <m:r>
            <m:t>32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33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15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8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10.5</m:t>
          </m:r>
        </m:oMath>
      </m:oMathPara>
    </w:p>
    <w:bookmarkEnd w:id="23"/>
    <w:bookmarkStart w:id="33" w:name="ход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Напишем программу на языке Modelica.</w:t>
      </w:r>
    </w:p>
    <w:p>
      <w:pPr>
        <w:pStyle w:val="CaptionedFigure"/>
      </w:pPr>
      <w:r>
        <w:drawing>
          <wp:inline>
            <wp:extent cx="5334000" cy="3790461"/>
            <wp:effectExtent b="0" l="0" r="0" t="0"/>
            <wp:docPr descr="Рис 1. Код программы" title="" id="25" name="Picture"/>
            <a:graphic>
              <a:graphicData uri="http://schemas.openxmlformats.org/drawingml/2006/picture">
                <pic:pic>
                  <pic:nvPicPr>
                    <pic:cNvPr descr="images/Cidn4OW7Bi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 Код программы</w:t>
      </w:r>
    </w:p>
    <w:p>
      <w:pPr>
        <w:numPr>
          <w:ilvl w:val="0"/>
          <w:numId w:val="1003"/>
        </w:numPr>
        <w:pStyle w:val="Compact"/>
      </w:pPr>
      <w:r>
        <w:t xml:space="preserve">Построим графики изменения оборотных средств фирмы 1 и фирмы 2 для случая 1 (без учета социально-психологического фактора)</w:t>
      </w:r>
    </w:p>
    <w:p>
      <w:pPr>
        <w:pStyle w:val="CaptionedFigure"/>
      </w:pPr>
      <w:r>
        <w:drawing>
          <wp:inline>
            <wp:extent cx="5334000" cy="2065215"/>
            <wp:effectExtent b="0" l="0" r="0" t="0"/>
            <wp:docPr descr="Рис 2. графики изменения оборотных средств без учета социально-психологического фактора" title="" id="28" name="Picture"/>
            <a:graphic>
              <a:graphicData uri="http://schemas.openxmlformats.org/drawingml/2006/picture">
                <pic:pic>
                  <pic:nvPicPr>
                    <pic:cNvPr descr="images/WaXwkAeRoj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 графики изменения оборотных средств без учета социально-психологического фактора</w:t>
      </w:r>
    </w:p>
    <w:p>
      <w:pPr>
        <w:numPr>
          <w:ilvl w:val="0"/>
          <w:numId w:val="1004"/>
        </w:numPr>
        <w:pStyle w:val="Compact"/>
      </w:pPr>
      <w:r>
        <w:t xml:space="preserve">Построим графики изменения оборотных средств фирмы 1 и фирмы 2 для случая 2 (с учетом социально-психологического фактора)</w:t>
      </w:r>
    </w:p>
    <w:p>
      <w:pPr>
        <w:pStyle w:val="CaptionedFigure"/>
      </w:pPr>
      <w:r>
        <w:drawing>
          <wp:inline>
            <wp:extent cx="5334000" cy="2042081"/>
            <wp:effectExtent b="0" l="0" r="0" t="0"/>
            <wp:docPr descr="Рис 3. графики изменения оборотных средств c учетом социально-психологического фактора" title="" id="31" name="Picture"/>
            <a:graphic>
              <a:graphicData uri="http://schemas.openxmlformats.org/drawingml/2006/picture">
                <pic:pic>
                  <pic:nvPicPr>
                    <pic:cNvPr descr="images/uR6Ea5u7WV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 графики изменения оборотных средств c учетом социально-психологического фактора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Ознакомилась с моделью конкуренции двух фирм для двух случаев (без учета и с учетом социально-психологического фактора). Построила соответствующие графики.</w:t>
      </w:r>
    </w:p>
    <w:bookmarkEnd w:id="34"/>
    <w:bookmarkStart w:id="35" w:name="библиография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Библиография</w:t>
      </w:r>
    </w:p>
    <w:p>
      <w:pPr>
        <w:numPr>
          <w:ilvl w:val="0"/>
          <w:numId w:val="1005"/>
        </w:numPr>
        <w:pStyle w:val="Compact"/>
      </w:pPr>
      <w:r>
        <w:t xml:space="preserve">Методические материалы курса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Бармина Ольга Константиновна</dc:creator>
  <dc:language>ru-RU</dc:language>
  <cp:keywords/>
  <dcterms:created xsi:type="dcterms:W3CDTF">2022-03-28T16:13:21Z</dcterms:created>
  <dcterms:modified xsi:type="dcterms:W3CDTF">2022-03-28T16:13:21Z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 March 31th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group">
    <vt:lpwstr>NFIbd-01-19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institute">
    <vt:lpwstr>RUDN University, Moscow, Russian Federation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Модель конкуренции двух фирм. Вариант 34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title">
    <vt:lpwstr>Содержание</vt:lpwstr>
  </property>
  <property fmtid="{D5CDD505-2E9C-101B-9397-08002B2CF9AE}" pid="85" name="toc_depth">
    <vt:lpwstr>2</vt:lpwstr>
  </property>
</Properties>
</file>