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22th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применение режима однократного гаммирования. [1]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Загрузила библиотеки, необходимы для работы со строками и рандомными значениями.</w:t>
      </w:r>
    </w:p>
    <w:p>
      <w:pPr>
        <w:pStyle w:val="CaptionedFigure"/>
      </w:pPr>
      <w:r>
        <w:drawing>
          <wp:inline>
            <wp:extent cx="1714500" cy="695325"/>
            <wp:effectExtent b="0" l="0" r="0" t="0"/>
            <wp:docPr descr="рис 1. библиотеки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библиотеки</w:t>
      </w:r>
    </w:p>
    <w:p>
      <w:pPr>
        <w:numPr>
          <w:ilvl w:val="0"/>
          <w:numId w:val="1002"/>
        </w:numPr>
        <w:pStyle w:val="Compact"/>
      </w:pPr>
      <w:r>
        <w:t xml:space="preserve">Написала функцию шифрования, которая определяет вид шифротекста при известном ключе и известном открытом тексте. Написала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CaptionedFigure"/>
      </w:pPr>
      <w:r>
        <w:drawing>
          <wp:inline>
            <wp:extent cx="5334000" cy="1675571"/>
            <wp:effectExtent b="0" l="0" r="0" t="0"/>
            <wp:docPr descr="рис 2. функции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функции</w:t>
      </w:r>
    </w:p>
    <w:p>
      <w:pPr>
        <w:numPr>
          <w:ilvl w:val="0"/>
          <w:numId w:val="1003"/>
        </w:numPr>
        <w:pStyle w:val="Compact"/>
      </w:pPr>
      <w:r>
        <w:t xml:space="preserve">Задала сообщение, создала ключ и его шестнадцатеричное представление.</w:t>
      </w:r>
    </w:p>
    <w:p>
      <w:pPr>
        <w:pStyle w:val="CaptionedFigure"/>
      </w:pPr>
      <w:r>
        <w:drawing>
          <wp:inline>
            <wp:extent cx="5334000" cy="915982"/>
            <wp:effectExtent b="0" l="0" r="0" t="0"/>
            <wp:docPr descr="рис 3. задание ключа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задание ключа</w:t>
      </w:r>
    </w:p>
    <w:p>
      <w:pPr>
        <w:numPr>
          <w:ilvl w:val="0"/>
          <w:numId w:val="1004"/>
        </w:numPr>
        <w:pStyle w:val="Compact"/>
      </w:pPr>
      <w:r>
        <w:t xml:space="preserve">Зашифровала текст в шестнадцатеричном представлении.</w:t>
      </w:r>
    </w:p>
    <w:p>
      <w:pPr>
        <w:pStyle w:val="CaptionedFigure"/>
      </w:pPr>
      <w:r>
        <w:drawing>
          <wp:inline>
            <wp:extent cx="5334000" cy="1075334"/>
            <wp:effectExtent b="0" l="0" r="0" t="0"/>
            <wp:docPr descr="рис 4. зашифрованный текст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зашифрованный текст</w:t>
      </w:r>
    </w:p>
    <w:p>
      <w:pPr>
        <w:numPr>
          <w:ilvl w:val="0"/>
          <w:numId w:val="1005"/>
        </w:numPr>
        <w:pStyle w:val="Compact"/>
      </w:pPr>
      <w:r>
        <w:t xml:space="preserve">Расшифровала сообщение при помощи ключа.</w:t>
      </w:r>
    </w:p>
    <w:p>
      <w:pPr>
        <w:pStyle w:val="CaptionedFigure"/>
      </w:pPr>
      <w:r>
        <w:drawing>
          <wp:inline>
            <wp:extent cx="5334000" cy="1152802"/>
            <wp:effectExtent b="0" l="0" r="0" t="0"/>
            <wp:docPr descr="рис 5. расшифрованный текст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расшифрованный текст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6"/>
        </w:numPr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6"/>
        </w:numPr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</w:p>
    <w:p>
      <w:pPr>
        <w:numPr>
          <w:ilvl w:val="0"/>
          <w:numId w:val="1006"/>
        </w:numPr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6"/>
        </w:numPr>
      </w:pPr>
      <w:r>
        <w:t xml:space="preserve">Получение шифротекста по открытому тексту и ключу:</w:t>
      </w:r>
    </w:p>
    <w:p>
      <w:pPr>
        <w:numPr>
          <w:ilvl w:val="0"/>
          <w:numId w:val="1006"/>
        </w:numPr>
      </w:pPr>
      <w:r>
        <w:t xml:space="preserve">Получение ключа по окрытому тексту и шифротексту:</w:t>
      </w:r>
    </w:p>
    <w:p>
      <w:pPr>
        <w:numPr>
          <w:ilvl w:val="0"/>
          <w:numId w:val="1006"/>
        </w:numPr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освоили на практике применение режима однократного гаммирования.</w:t>
      </w:r>
    </w:p>
    <w:bookmarkEnd w:id="28"/>
    <w:bookmarkStart w:id="2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Бармина Ольга Константиновна</dc:creator>
  <dc:language>ru-RU</dc:language>
  <cp:keywords/>
  <dcterms:created xsi:type="dcterms:W3CDTF">2022-09-27T11:09:49Z</dcterms:created>
  <dcterms:modified xsi:type="dcterms:W3CDTF">2022-09-27T11:09:49Z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22th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Элементы криптографии. Однократное гаммирование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