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Первая лабораторная работа. Шифры простой замены</w:t>
      </w:r>
    </w:p>
    <w:p>
      <w:pPr>
        <w:pStyle w:val="Subtitle"/>
      </w:pPr>
      <w:r>
        <w:t xml:space="preserve">НПИмд-01-23</w:t>
      </w:r>
    </w:p>
    <w:p>
      <w:pPr>
        <w:pStyle w:val="Author"/>
      </w:pPr>
      <w:r>
        <w:t xml:space="preserve">Бармина Ольга Константиновна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работы - ознакомиться с шифрами простой замены: шифр Цезаря и шифр Атбаш, а также научиться применять их на практике.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Реализовать шифр Цезаря с произвольным ключом k</w:t>
      </w:r>
    </w:p>
    <w:p>
      <w:pPr>
        <w:pStyle w:val="Compact"/>
        <w:numPr>
          <w:ilvl w:val="0"/>
          <w:numId w:val="1001"/>
        </w:numPr>
      </w:pPr>
      <w:r>
        <w:t xml:space="preserve">Реализовать шифр Атбаш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Шифр Цезаря - это моноалфавитная подстановка, т.е каждой букве открытого текста ставится в соответствие одна буква шифртекста.</w:t>
      </w:r>
      <w:r>
        <w:t xml:space="preserve"> </w:t>
      </w:r>
      <w:r>
        <w:t xml:space="preserve">Шифр Цезаря — это вид шифра подстановки, в котором каждый символ в открытом тексте заменяется символом, находящимся на некотором постоянном числе позиций левее или правее него в алфавите. Например, в шифре со сдвигом вправо на 3, А была бы заменена на Г, Б станет Д, и так далее.</w:t>
      </w:r>
    </w:p>
    <w:p>
      <w:pPr>
        <w:pStyle w:val="BodyText"/>
      </w:pPr>
      <w:r>
        <w:t xml:space="preserve">Шифр назван в честь римского полководца Гая Юлия Цезаря, использовавшего его для секретной переписки со своими генералами.</w:t>
      </w:r>
    </w:p>
    <w:p>
      <w:pPr>
        <w:pStyle w:val="BodyText"/>
      </w:pPr>
      <w:r>
        <w:t xml:space="preserve">Атбаш — простой шифр подстановки для алфавитного письма. Правило шифрования состоит в замене i-й буквы алфавита буквой с номером n-i+1, где n — число букв в алфавите.</w:t>
      </w:r>
    </w:p>
    <w:bookmarkEnd w:id="22"/>
    <w:bookmarkStart w:id="3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Произведено ознакомление с шифрами Цезаря и Атбаш по методическим материалам курса</w:t>
      </w:r>
    </w:p>
    <w:p>
      <w:pPr>
        <w:numPr>
          <w:ilvl w:val="0"/>
          <w:numId w:val="1002"/>
        </w:numPr>
      </w:pPr>
      <w:r>
        <w:t xml:space="preserve">Прописан код для шифра Цезаря на языке программирования Python. Код для англоязычных сообщений. Сначала определяем, является ли символ буквой, затем проверяем на верхний и нижний регистр. После этого по формуле определяем символ, полученный в результате сдвига элемента на значение k. Символы, не являющиеся буквами, остаются неизменными. Выводим на экран результат применения шифра Цезаря для произвольного текста со сдвигом на значение k = 3.</w:t>
      </w:r>
    </w:p>
    <w:bookmarkStart w:id="26" w:name="fig:001"/>
    <w:p>
      <w:pPr>
        <w:pStyle w:val="CaptionedFigure"/>
      </w:pPr>
      <w:r>
        <w:drawing>
          <wp:inline>
            <wp:extent cx="3733800" cy="2659864"/>
            <wp:effectExtent b="0" l="0" r="0" t="0"/>
            <wp:docPr descr="Рис. 1: Шифр Цезаря" title="" id="24" name="Picture"/>
            <a:graphic>
              <a:graphicData uri="http://schemas.openxmlformats.org/drawingml/2006/picture">
                <pic:pic>
                  <pic:nvPicPr>
                    <pic:cNvPr descr="images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9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Шифр Цезаря</w:t>
      </w:r>
    </w:p>
    <w:bookmarkEnd w:id="26"/>
    <w:p>
      <w:pPr>
        <w:pStyle w:val="Compact"/>
        <w:numPr>
          <w:ilvl w:val="0"/>
          <w:numId w:val="1003"/>
        </w:numPr>
      </w:pPr>
      <w:r>
        <w:t xml:space="preserve">Прописан код для шифра Атбаш на языке программирования Python. Код для англоязычных сообщений. Сначала определяем, является ли символ буквой, затем проверяем на верхний и нижний регистр. После этого по формуле определяем символ, полученный в результате отзеркаливание элемента. Символы, не являющиеся буквами, остаются неизменными. Выводим на экран результат применения шифра Атбаш.</w:t>
      </w:r>
    </w:p>
    <w:bookmarkStart w:id="30" w:name="fig:003"/>
    <w:p>
      <w:pPr>
        <w:pStyle w:val="CaptionedFigure"/>
      </w:pPr>
      <w:r>
        <w:drawing>
          <wp:inline>
            <wp:extent cx="3733800" cy="3352641"/>
            <wp:effectExtent b="0" l="0" r="0" t="0"/>
            <wp:docPr descr="Рис. 2: Шифр Атбаш" title="" id="28" name="Picture"/>
            <a:graphic>
              <a:graphicData uri="http://schemas.openxmlformats.org/drawingml/2006/picture">
                <pic:pic>
                  <pic:nvPicPr>
                    <pic:cNvPr descr="images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52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Шифр Атбаш</w:t>
      </w:r>
    </w:p>
    <w:bookmarkEnd w:id="30"/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рамках данной лабораторной работы было произведено ознакомление с шифром Цезаря и шифром Атбаш.</w:t>
      </w:r>
      <w:r>
        <w:t xml:space="preserve"> </w:t>
      </w:r>
      <w:r>
        <w:t xml:space="preserve">Оба шифра были реализованы на языке программирования Python.</w:t>
      </w:r>
    </w:p>
    <w:bookmarkEnd w:id="32"/>
    <w:bookmarkStart w:id="33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pStyle w:val="Compact"/>
        <w:numPr>
          <w:ilvl w:val="0"/>
          <w:numId w:val="1004"/>
        </w:numPr>
      </w:pPr>
      <w:r>
        <w:t xml:space="preserve">Методические материалы курса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7" Target="media/rId2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Первая лабораторная работа. Шифры простой замены</dc:title>
  <dc:creator>Бармина Ольга Константиновна</dc:creator>
  <dc:language>ru-RU</dc:language>
  <cp:keywords/>
  <dcterms:created xsi:type="dcterms:W3CDTF">2024-09-07T16:06:17Z</dcterms:created>
  <dcterms:modified xsi:type="dcterms:W3CDTF">2024-09-07T16:06:17Z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ccsDelim">
    <vt:lpwstr>, </vt:lpwstr>
  </property>
  <property fmtid="{D5CDD505-2E9C-101B-9397-08002B2CF9AE}" pid="10" name="ccsLabelSep">
    <vt:lpwstr> — </vt:lpwstr>
  </property>
  <property fmtid="{D5CDD505-2E9C-101B-9397-08002B2CF9AE}" pid="11" name="ccsTemplate">
    <vt:lpwstr>iccsLabelSept</vt:lpwstr>
  </property>
  <property fmtid="{D5CDD505-2E9C-101B-9397-08002B2CF9AE}" pid="12" name="chapDelim">
    <vt:lpwstr>.</vt:lpwstr>
  </property>
  <property fmtid="{D5CDD505-2E9C-101B-9397-08002B2CF9AE}" pid="13" name="chapters">
    <vt:lpwstr>False</vt:lpwstr>
  </property>
  <property fmtid="{D5CDD505-2E9C-101B-9397-08002B2CF9AE}" pid="14" name="chaptersDepth">
    <vt:lpwstr>1</vt:lpwstr>
  </property>
  <property fmtid="{D5CDD505-2E9C-101B-9397-08002B2CF9AE}" pid="15" name="codeBlockCaptions">
    <vt:lpwstr>False</vt:lpwstr>
  </property>
  <property fmtid="{D5CDD505-2E9C-101B-9397-08002B2CF9AE}" pid="16" name="cref">
    <vt:lpwstr>False</vt:lpwstr>
  </property>
  <property fmtid="{D5CDD505-2E9C-101B-9397-08002B2CF9AE}" pid="17" name="crossrefYaml">
    <vt:lpwstr>pandoc-crossref.yaml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Рис.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temTitleDelim">
    <vt:lpwstr>.</vt:lpwstr>
  </property>
  <property fmtid="{D5CDD505-2E9C-101B-9397-08002B2CF9AE}" pid="39" name="listingTemplate">
    <vt:lpwstr>listingTitle ititleDelim t</vt:lpwstr>
  </property>
  <property fmtid="{D5CDD505-2E9C-101B-9397-08002B2CF9AE}" pid="40" name="listingTitle">
    <vt:lpwstr>Листинг</vt:lpwstr>
  </property>
  <property fmtid="{D5CDD505-2E9C-101B-9397-08002B2CF9AE}" pid="41" name="listings">
    <vt:lpwstr>False</vt:lpwstr>
  </property>
  <property fmtid="{D5CDD505-2E9C-101B-9397-08002B2CF9AE}" pid="42" name="lof">
    <vt:lpwstr>True</vt:lpwstr>
  </property>
  <property fmtid="{D5CDD505-2E9C-101B-9397-08002B2CF9AE}" pid="43" name="lofItemTemplate">
    <vt:lpwstr>lofItemTitleilistItemTitleDelimt </vt:lpwstr>
  </property>
  <property fmtid="{D5CDD505-2E9C-101B-9397-08002B2CF9AE}" pid="44" name="lofItemTitle">
    <vt:lpwstr/>
  </property>
  <property fmtid="{D5CDD505-2E9C-101B-9397-08002B2CF9AE}" pid="45" name="lofTitle">
    <vt:lpwstr>Список иллюстраций</vt:lpwstr>
  </property>
  <property fmtid="{D5CDD505-2E9C-101B-9397-08002B2CF9AE}" pid="46" name="lolItemTemplate">
    <vt:lpwstr>lolItemTitleilistItemTitleDelimt </vt:lpwstr>
  </property>
  <property fmtid="{D5CDD505-2E9C-101B-9397-08002B2CF9AE}" pid="47" name="lolItemTitle">
    <vt:lpwstr/>
  </property>
  <property fmtid="{D5CDD505-2E9C-101B-9397-08002B2CF9AE}" pid="48" name="lolTitle">
    <vt:lpwstr>Листинги</vt:lpwstr>
  </property>
  <property fmtid="{D5CDD505-2E9C-101B-9397-08002B2CF9AE}" pid="49" name="lot">
    <vt:lpwstr>True</vt:lpwstr>
  </property>
  <property fmtid="{D5CDD505-2E9C-101B-9397-08002B2CF9AE}" pid="50" name="lotItemTemplate">
    <vt:lpwstr>lotItemTitleilistItemTitleDelimt </vt:lpwstr>
  </property>
  <property fmtid="{D5CDD505-2E9C-101B-9397-08002B2CF9AE}" pid="51" name="lotItemTitle">
    <vt:lpwstr/>
  </property>
  <property fmtid="{D5CDD505-2E9C-101B-9397-08002B2CF9AE}" pid="52" name="lotTitle">
    <vt:lpwstr>Список таблиц</vt:lpwstr>
  </property>
  <property fmtid="{D5CDD505-2E9C-101B-9397-08002B2CF9AE}" pid="53" name="lstLabels">
    <vt:lpwstr>arabic</vt:lpwstr>
  </property>
  <property fmtid="{D5CDD505-2E9C-101B-9397-08002B2CF9AE}" pid="54" name="lstPrefix">
    <vt:lpwstr/>
  </property>
  <property fmtid="{D5CDD505-2E9C-101B-9397-08002B2CF9AE}" pid="55" name="lstPrefixTemplate">
    <vt:lpwstr>p i</vt:lpwstr>
  </property>
  <property fmtid="{D5CDD505-2E9C-101B-9397-08002B2CF9AE}" pid="56" name="mainfont">
    <vt:lpwstr>PT Serif</vt:lpwstr>
  </property>
  <property fmtid="{D5CDD505-2E9C-101B-9397-08002B2CF9AE}" pid="57" name="mainfontoptions">
    <vt:lpwstr>Ligatures=TeX</vt:lpwstr>
  </property>
  <property fmtid="{D5CDD505-2E9C-101B-9397-08002B2CF9AE}" pid="58" name="monofont">
    <vt:lpwstr>PT Mono</vt:lpwstr>
  </property>
  <property fmtid="{D5CDD505-2E9C-101B-9397-08002B2CF9AE}" pid="59" name="monofontoptions">
    <vt:lpwstr>Scale=MatchLowercase,Scale=0.9</vt:lpwstr>
  </property>
  <property fmtid="{D5CDD505-2E9C-101B-9397-08002B2CF9AE}" pid="60" name="nameInLink">
    <vt:lpwstr>False</vt:lpwstr>
  </property>
  <property fmtid="{D5CDD505-2E9C-101B-9397-08002B2CF9AE}" pid="61" name="numberSections">
    <vt:lpwstr>False</vt:lpwstr>
  </property>
  <property fmtid="{D5CDD505-2E9C-101B-9397-08002B2CF9AE}" pid="62" name="pairDelim">
    <vt:lpwstr>, </vt:lpwstr>
  </property>
  <property fmtid="{D5CDD505-2E9C-101B-9397-08002B2CF9AE}" pid="63" name="papersize">
    <vt:lpwstr>a4</vt:lpwstr>
  </property>
  <property fmtid="{D5CDD505-2E9C-101B-9397-08002B2CF9AE}" pid="64" name="polyglossia-lang">
    <vt:lpwstr/>
  </property>
  <property fmtid="{D5CDD505-2E9C-101B-9397-08002B2CF9AE}" pid="65" name="polyglossia-otherlangs">
    <vt:lpwstr/>
  </property>
  <property fmtid="{D5CDD505-2E9C-101B-9397-08002B2CF9AE}" pid="66" name="rangeDelim">
    <vt:lpwstr>-</vt:lpwstr>
  </property>
  <property fmtid="{D5CDD505-2E9C-101B-9397-08002B2CF9AE}" pid="67" name="refDelim">
    <vt:lpwstr>, </vt:lpwstr>
  </property>
  <property fmtid="{D5CDD505-2E9C-101B-9397-08002B2CF9AE}" pid="68" name="refIndexTemplate">
    <vt:lpwstr>isuf</vt:lpwstr>
  </property>
  <property fmtid="{D5CDD505-2E9C-101B-9397-08002B2CF9AE}" pid="69" name="romanfont">
    <vt:lpwstr>PT Serif</vt:lpwstr>
  </property>
  <property fmtid="{D5CDD505-2E9C-101B-9397-08002B2CF9AE}" pid="70" name="romanfontoptions">
    <vt:lpwstr>Ligatures=TeX</vt:lpwstr>
  </property>
  <property fmtid="{D5CDD505-2E9C-101B-9397-08002B2CF9AE}" pid="71" name="sansfont">
    <vt:lpwstr>PT Sans</vt:lpwstr>
  </property>
  <property fmtid="{D5CDD505-2E9C-101B-9397-08002B2CF9AE}" pid="72" name="sansfontoptions">
    <vt:lpwstr>Ligatures=TeX,Scale=MatchLowercase</vt:lpwstr>
  </property>
  <property fmtid="{D5CDD505-2E9C-101B-9397-08002B2CF9AE}" pid="73" name="secHeaderDelim">
    <vt:lpwstr> </vt:lpwstr>
  </property>
  <property fmtid="{D5CDD505-2E9C-101B-9397-08002B2CF9AE}" pid="74" name="secHeaderTemplate">
    <vt:lpwstr>isecHeaderDelim[n]t</vt:lpwstr>
  </property>
  <property fmtid="{D5CDD505-2E9C-101B-9397-08002B2CF9AE}" pid="75" name="secLabels">
    <vt:lpwstr>arabic</vt:lpwstr>
  </property>
  <property fmtid="{D5CDD505-2E9C-101B-9397-08002B2CF9AE}" pid="76" name="secPrefix">
    <vt:lpwstr/>
  </property>
  <property fmtid="{D5CDD505-2E9C-101B-9397-08002B2CF9AE}" pid="77" name="secPrefixTemplate">
    <vt:lpwstr>p i</vt:lpwstr>
  </property>
  <property fmtid="{D5CDD505-2E9C-101B-9397-08002B2CF9AE}" pid="78" name="sectionsDepth">
    <vt:lpwstr>0</vt:lpwstr>
  </property>
  <property fmtid="{D5CDD505-2E9C-101B-9397-08002B2CF9AE}" pid="79" name="subfigGrid">
    <vt:lpwstr>False</vt:lpwstr>
  </property>
  <property fmtid="{D5CDD505-2E9C-101B-9397-08002B2CF9AE}" pid="80" name="subfigLabels">
    <vt:lpwstr>alpha a</vt:lpwstr>
  </property>
  <property fmtid="{D5CDD505-2E9C-101B-9397-08002B2CF9AE}" pid="81" name="subfigureChildTemplate">
    <vt:lpwstr>i</vt:lpwstr>
  </property>
  <property fmtid="{D5CDD505-2E9C-101B-9397-08002B2CF9AE}" pid="82" name="subfigureRefIndexTemplate">
    <vt:lpwstr>isuf (s)</vt:lpwstr>
  </property>
  <property fmtid="{D5CDD505-2E9C-101B-9397-08002B2CF9AE}" pid="83" name="subfigureTemplate">
    <vt:lpwstr>figureTitle ititleDelim t. ccs</vt:lpwstr>
  </property>
  <property fmtid="{D5CDD505-2E9C-101B-9397-08002B2CF9AE}" pid="84" name="subtitle">
    <vt:lpwstr>НПИмд-01-23</vt:lpwstr>
  </property>
  <property fmtid="{D5CDD505-2E9C-101B-9397-08002B2CF9AE}" pid="85" name="tableEqns">
    <vt:lpwstr>False</vt:lpwstr>
  </property>
  <property fmtid="{D5CDD505-2E9C-101B-9397-08002B2CF9AE}" pid="86" name="tableTemplate">
    <vt:lpwstr>tableTitle ititleDelim t</vt:lpwstr>
  </property>
  <property fmtid="{D5CDD505-2E9C-101B-9397-08002B2CF9AE}" pid="87" name="tableTitle">
    <vt:lpwstr>Таблица</vt:lpwstr>
  </property>
  <property fmtid="{D5CDD505-2E9C-101B-9397-08002B2CF9AE}" pid="88" name="tblLabels">
    <vt:lpwstr>arabic</vt:lpwstr>
  </property>
  <property fmtid="{D5CDD505-2E9C-101B-9397-08002B2CF9AE}" pid="89" name="tblPrefix">
    <vt:lpwstr/>
  </property>
  <property fmtid="{D5CDD505-2E9C-101B-9397-08002B2CF9AE}" pid="90" name="tblPrefixTemplate">
    <vt:lpwstr>p i</vt:lpwstr>
  </property>
  <property fmtid="{D5CDD505-2E9C-101B-9397-08002B2CF9AE}" pid="91" name="titleDelim">
    <vt:lpwstr>:</vt:lpwstr>
  </property>
  <property fmtid="{D5CDD505-2E9C-101B-9397-08002B2CF9AE}" pid="92" name="toc">
    <vt:lpwstr>True</vt:lpwstr>
  </property>
  <property fmtid="{D5CDD505-2E9C-101B-9397-08002B2CF9AE}" pid="93" name="toc-depth">
    <vt:lpwstr>2</vt:lpwstr>
  </property>
  <property fmtid="{D5CDD505-2E9C-101B-9397-08002B2CF9AE}" pid="94" name="toc-title">
    <vt:lpwstr>Содержание</vt:lpwstr>
  </property>
</Properties>
</file>