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6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gridCol w:w="6405"/>
        <w:tblGridChange w:id="0">
          <w:tblGrid>
            <w:gridCol w:w="975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3.3333333333335"/>
              <w:gridCol w:w="3183.3333333333335"/>
              <w:gridCol w:w="3183.3333333333335"/>
              <w:tblGridChange w:id="0">
                <w:tblGrid>
                  <w:gridCol w:w="3183.3333333333335"/>
                  <w:gridCol w:w="3183.3333333333335"/>
                  <w:gridCol w:w="31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It is a software testing approach where we test without running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It analyzes and tests the internal structure and workings of an application while it is running.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We can find a potential bug on the earliest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Reality testing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During code review it’s possible to get immediate feedback on the code and make changes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Applying Code coverage metric helps be sure, that all critical paths, conditions, and scenarios within the code are tested during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The time spent for identifying and fixing issues decreases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Here it’s also possible to get immediate feedback on the code and make changes immediately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Static testing does not count real scenarios of interacting the user with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It also can not include real possible negative scenarios of interaction between the user and the system and we can get false positive and false negative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Some issues can’t be identified and test cases can be false positive but the time for testing is already spent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Dynamic testing implementation also  needs special tools, knowledges and it can be expensive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(і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Static testing implementation needs special tools, knowledges and it can be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It is focused on analyzing the structure, design, and implementation of the code to identify potential issues. It helps in the early finding of defects, code quality issues, and security vulnerabilities, but it is not too accurate, because the code is checked in ideal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It helps to verify software behavior during runtime. it’s the best way to combine dynamic testing with static testing approaches to ensure comprehensive test coverage and improve overall software quality.</w:t>
                  </w:r>
                </w:p>
              </w:tc>
            </w:tr>
          </w:tbl>
          <w:p w:rsidR="00000000" w:rsidDel="00000000" w:rsidP="00000000" w:rsidRDefault="00000000" w:rsidRPr="00000000" w14:paraId="00000021">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4">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5">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6">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7">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u w:val="single"/>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2A">
            <w:pPr>
              <w:widowControl w:val="0"/>
              <w:numPr>
                <w:ilvl w:val="1"/>
                <w:numId w:val="3"/>
              </w:numPr>
              <w:spacing w:line="240" w:lineRule="auto"/>
              <w:ind w:left="1440" w:hanging="360"/>
              <w:rPr>
                <w:rFonts w:ascii="Nunito Sans" w:cs="Nunito Sans" w:eastAsia="Nunito Sans" w:hAnsi="Nunito Sans"/>
                <w:color w:val="3f3f3f"/>
                <w:sz w:val="24"/>
                <w:szCs w:val="24"/>
              </w:rPr>
            </w:pPr>
            <w:commentRangeStart w:id="0"/>
            <w:r w:rsidDel="00000000" w:rsidR="00000000" w:rsidRPr="00000000">
              <w:rPr>
                <w:rFonts w:ascii="Nunito Sans" w:cs="Nunito Sans" w:eastAsia="Nunito Sans" w:hAnsi="Nunito Sans"/>
                <w:color w:val="3f3f3f"/>
                <w:sz w:val="24"/>
                <w:szCs w:val="24"/>
                <w:u w:val="single"/>
                <w:rtl w:val="0"/>
              </w:rPr>
              <w:t xml:space="preserve">Коректно. Результат будь-якого тесту умови IF буде або правдими, або ні.</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2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2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E">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2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0">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1">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u w:val="single"/>
                <w:rtl w:val="0"/>
              </w:rPr>
              <w:t xml:space="preserve">1 – для покриття операторів, 2 – для покриття рішень</w:t>
            </w:r>
          </w:p>
          <w:p w:rsidR="00000000" w:rsidDel="00000000" w:rsidP="00000000" w:rsidRDefault="00000000" w:rsidRPr="00000000" w14:paraId="00000032">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3">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4">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27480" cy="1725759"/>
                          </a:xfrm>
                          <a:prstGeom prst="rect"/>
                          <a:ln/>
                        </pic:spPr>
                      </pic:pic>
                    </a:graphicData>
                  </a:graphic>
                </wp:inline>
              </w:drawing>
            </w:r>
            <w:r w:rsidDel="00000000" w:rsidR="00000000" w:rsidRPr="00000000">
              <w:rPr>
                <w:rFonts w:ascii="Nunito Sans" w:cs="Nunito Sans" w:eastAsia="Nunito Sans" w:hAnsi="Nunito Sans"/>
                <w:color w:val="3f3f3f"/>
                <w:sz w:val="24"/>
                <w:szCs w:val="24"/>
                <w:rtl w:val="0"/>
              </w:rPr>
              <w:br w:type="textWrapping"/>
            </w:r>
          </w:p>
          <w:p w:rsidR="00000000" w:rsidDel="00000000" w:rsidP="00000000" w:rsidRDefault="00000000" w:rsidRPr="00000000" w14:paraId="00000037">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38">
            <w:pPr>
              <w:widowControl w:val="0"/>
              <w:numPr>
                <w:ilvl w:val="1"/>
                <w:numId w:val="3"/>
              </w:numPr>
              <w:spacing w:line="240" w:lineRule="auto"/>
              <w:ind w:left="1440" w:hanging="360"/>
              <w:rPr>
                <w:rFonts w:ascii="Nunito Sans" w:cs="Nunito Sans" w:eastAsia="Nunito Sans" w:hAnsi="Nunito Sans"/>
                <w:color w:val="3f3f3f"/>
                <w:sz w:val="24"/>
                <w:szCs w:val="24"/>
              </w:rPr>
            </w:pPr>
            <w:commentRangeStart w:id="1"/>
            <w:r w:rsidDel="00000000" w:rsidR="00000000" w:rsidRPr="00000000">
              <w:rPr>
                <w:rFonts w:ascii="Nunito Sans" w:cs="Nunito Sans" w:eastAsia="Nunito Sans" w:hAnsi="Nunito Sans"/>
                <w:color w:val="3f3f3f"/>
                <w:sz w:val="24"/>
                <w:szCs w:val="24"/>
                <w:rtl w:val="0"/>
              </w:rPr>
              <w:t xml:space="preserve">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u w:val="single"/>
                <w:rtl w:val="0"/>
              </w:rPr>
              <w:t xml:space="preserve">3</w:t>
            </w:r>
          </w:p>
          <w:p w:rsidR="00000000" w:rsidDel="00000000" w:rsidP="00000000" w:rsidRDefault="00000000" w:rsidRPr="00000000" w14:paraId="0000003A">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br w:type="textWrapping"/>
              <w:t xml:space="preserve">P&gt;50 -&gt;P+Q&gt;100 P Large</w:t>
              <w:br w:type="textWrapping"/>
              <w:t xml:space="preserve">P&lt;50 -&gt;P+Q&gt;100 Large</w:t>
              <w:br w:type="textWrapping"/>
              <w:t xml:space="preserve">P&gt;50 -&gt;P+Q&lt;100 P</w:t>
              <w:br w:type="textWrapping"/>
              <w:t xml:space="preserve">P&lt;50 -&gt;P+Q&lt;100 ???</w:t>
              <w:br w:type="textWrapping"/>
            </w:r>
            <w:r w:rsidDel="00000000" w:rsidR="00000000" w:rsidRPr="00000000">
              <w:rPr>
                <w:rFonts w:ascii="Nunito Sans" w:cs="Nunito Sans" w:eastAsia="Nunito Sans" w:hAnsi="Nunito Sans"/>
                <w:color w:val="3f3f3f"/>
                <w:sz w:val="24"/>
                <w:szCs w:val="24"/>
                <w:u w:val="single"/>
                <w:rtl w:val="0"/>
              </w:rPr>
              <w:t xml:space="preserve">3 tests</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3C">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D">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3E">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3F">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41">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4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4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4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4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4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4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4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4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4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4E">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50">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8">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9">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51">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r w:rsidDel="00000000" w:rsidR="00000000" w:rsidRPr="00000000">
              <w:rPr>
                <w:rtl w:val="0"/>
              </w:rPr>
            </w:r>
          </w:p>
          <w:p w:rsidR="00000000" w:rsidDel="00000000" w:rsidP="00000000" w:rsidRDefault="00000000" w:rsidRPr="00000000" w14:paraId="00000052">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53">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Selena" w:id="1" w:date="2024-07-15T16:24:25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https://istqbrm.blogspot.com/2014/07/statement-coverage-branch-coverage-and.html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Ось тут гарно пояснено відповідь та різницю між різними техніками</w:t>
      </w:r>
    </w:p>
  </w:comment>
  <w:comment w:author="Selena" w:id="0" w:date="2024-07-15T16:24:01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правильно, тому що про твердження немає ніяких згадок. МОва йде лише про покриття рішень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4">
    <w:pPr>
      <w:spacing w:line="276" w:lineRule="auto"/>
      <w:jc w:val="right"/>
      <w:rPr/>
    </w:pPr>
    <w:r w:rsidDel="00000000" w:rsidR="00000000" w:rsidRPr="00000000">
      <w:rPr/>
      <w:drawing>
        <wp:inline distB="114300" distT="114300" distL="114300" distR="114300">
          <wp:extent cx="1176338" cy="47636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mir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figma.com/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