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shd w:val="clear" w:color="auto" w:fill="0A1628"/>
          </w:tcPr>
          <w:p>
            <w:r/>
          </w:p>
          <w:p>
            <w:pPr>
              <w:jc w:val="center"/>
            </w:pPr>
            <w:r>
              <w:rPr>
                <w:b/>
                <w:color w:val="C9A84C"/>
                <w:sz w:val="22"/>
              </w:rPr>
              <w:t>HUSPY</w:t>
            </w:r>
          </w:p>
          <w:p>
            <w:pPr>
              <w:jc w:val="center"/>
            </w:pPr>
            <w:r>
              <w:rPr>
                <w:b/>
                <w:color w:val="FFFFFF"/>
                <w:sz w:val="52"/>
              </w:rPr>
              <w:t>Spanish Real Estate Market Analysis</w:t>
            </w:r>
          </w:p>
          <w:p>
            <w:pPr>
              <w:jc w:val="center"/>
            </w:pPr>
            <w:r>
              <w:rPr>
                <w:color w:val="A0AEC0"/>
                <w:sz w:val="26"/>
              </w:rPr>
              <w:t>Málaga Operations Director — Market Intelligence Report</w:t>
            </w:r>
          </w:p>
          <w:p>
            <w:pPr>
              <w:jc w:val="center"/>
            </w:pPr>
            <w:r>
              <w:rPr>
                <w:color w:val="64748B"/>
                <w:sz w:val="18"/>
              </w:rPr>
              <w:t>March 2026  ·  Spain National + Málaga Province + Costa del Sol</w:t>
            </w:r>
          </w:p>
        </w:tc>
      </w:tr>
    </w:tbl>
    <w:p/>
    <w:p>
      <w:pPr>
        <w:spacing w:before="360" w:after="120"/>
      </w:pPr>
      <w:r>
        <w:rPr>
          <w:b/>
          <w:color w:val="0A1628"/>
          <w:sz w:val="36"/>
        </w:rPr>
        <w:t>SECTION A — DATA ANALYSIS</w:t>
      </w:r>
    </w:p>
    <w:p>
      <w:pPr>
        <w:spacing w:after="80"/>
      </w:pPr>
      <w:r>
        <w:rPr>
          <w:b w:val="0"/>
          <w:i/>
          <w:color w:val="64748B"/>
          <w:sz w:val="20"/>
        </w:rPr>
        <w:t>Key performance indicators derived from INE, Registro de la Propiedad, Banco de España, Tinsa, and Idealista Research through Q1 2026.</w:t>
      </w:r>
    </w:p>
    <w:p>
      <w:pPr>
        <w:spacing w:before="240" w:after="80"/>
      </w:pPr>
      <w:r>
        <w:rPr>
          <w:b/>
          <w:color w:val="0A1628"/>
          <w:sz w:val="28"/>
        </w:rPr>
        <w:t>A1. National KPIs — Spain 2025</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A1628"/>
          </w:tcPr>
          <w:p>
            <w:r/>
          </w:p>
          <w:p>
            <w:r>
              <w:rPr>
                <w:b/>
                <w:color w:val="C9A84C"/>
                <w:sz w:val="14"/>
              </w:rPr>
              <w:t>TRANSACTIONS 2025</w:t>
            </w:r>
          </w:p>
          <w:p>
            <w:r>
              <w:rPr>
                <w:b/>
                <w:color w:val="FFFFFF"/>
                <w:sz w:val="36"/>
              </w:rPr>
              <w:t>620,000</w:t>
            </w:r>
          </w:p>
          <w:p>
            <w:r>
              <w:rPr>
                <w:color w:val="A0AEC0"/>
                <w:sz w:val="16"/>
              </w:rPr>
              <w:t>+8% vs 2024</w:t>
            </w:r>
          </w:p>
        </w:tc>
        <w:tc>
          <w:tcPr>
            <w:tcW w:type="dxa" w:w="3135"/>
            <w:shd w:val="clear" w:color="auto" w:fill="0A1628"/>
          </w:tcPr>
          <w:p>
            <w:r/>
          </w:p>
          <w:p>
            <w:r>
              <w:rPr>
                <w:b/>
                <w:color w:val="C9A84C"/>
                <w:sz w:val="14"/>
              </w:rPr>
              <w:t>AVG. PRICE/M² NATIONAL</w:t>
            </w:r>
          </w:p>
          <w:p>
            <w:r>
              <w:rPr>
                <w:b/>
                <w:color w:val="FFFFFF"/>
                <w:sz w:val="36"/>
              </w:rPr>
              <w:t>€2,311</w:t>
            </w:r>
          </w:p>
          <w:p>
            <w:r>
              <w:rPr>
                <w:color w:val="A0AEC0"/>
                <w:sz w:val="16"/>
              </w:rPr>
              <w:t>+11.2% YoY</w:t>
            </w:r>
          </w:p>
        </w:tc>
        <w:tc>
          <w:tcPr>
            <w:tcW w:type="dxa" w:w="3135"/>
            <w:shd w:val="clear" w:color="auto" w:fill="0A1628"/>
          </w:tcPr>
          <w:p>
            <w:r/>
          </w:p>
          <w:p>
            <w:r>
              <w:rPr>
                <w:b/>
                <w:color w:val="C9A84C"/>
                <w:sz w:val="14"/>
              </w:rPr>
              <w:t>AVG. PRICE/M² MÁLAGA</w:t>
            </w:r>
          </w:p>
          <w:p>
            <w:r>
              <w:rPr>
                <w:b/>
                <w:color w:val="FFFFFF"/>
                <w:sz w:val="36"/>
              </w:rPr>
              <w:t>€3,180</w:t>
            </w:r>
          </w:p>
          <w:p>
            <w:r>
              <w:rPr>
                <w:color w:val="A0AEC0"/>
                <w:sz w:val="16"/>
              </w:rPr>
              <w:t>#1 in Andalusia</w:t>
            </w:r>
          </w:p>
        </w:tc>
      </w:tr>
      <w:tr>
        <w:tc>
          <w:tcPr>
            <w:tcW w:type="dxa" w:w="3135"/>
            <w:shd w:val="clear" w:color="auto" w:fill="0A1628"/>
          </w:tcPr>
          <w:p>
            <w:r/>
          </w:p>
          <w:p>
            <w:r>
              <w:rPr>
                <w:b/>
                <w:color w:val="C9A84C"/>
                <w:sz w:val="14"/>
              </w:rPr>
              <w:t>FOREIGN BUYER SHARE</w:t>
            </w:r>
          </w:p>
          <w:p>
            <w:r>
              <w:rPr>
                <w:b/>
                <w:color w:val="FFFFFF"/>
                <w:sz w:val="36"/>
              </w:rPr>
              <w:t>15.1%</w:t>
            </w:r>
          </w:p>
          <w:p>
            <w:r>
              <w:rPr>
                <w:color w:val="A0AEC0"/>
                <w:sz w:val="16"/>
              </w:rPr>
              <w:t>93,000+ transactions</w:t>
            </w:r>
          </w:p>
        </w:tc>
        <w:tc>
          <w:tcPr>
            <w:tcW w:type="dxa" w:w="3135"/>
            <w:shd w:val="clear" w:color="auto" w:fill="0A1628"/>
          </w:tcPr>
          <w:p>
            <w:r/>
          </w:p>
          <w:p>
            <w:r>
              <w:rPr>
                <w:b/>
                <w:color w:val="C9A84C"/>
                <w:sz w:val="14"/>
              </w:rPr>
              <w:t>MORTGAGE APPROVALS</w:t>
            </w:r>
          </w:p>
          <w:p>
            <w:r>
              <w:rPr>
                <w:b/>
                <w:color w:val="FFFFFF"/>
                <w:sz w:val="36"/>
              </w:rPr>
              <w:t>480,000</w:t>
            </w:r>
          </w:p>
          <w:p>
            <w:r>
              <w:rPr>
                <w:color w:val="A0AEC0"/>
                <w:sz w:val="16"/>
              </w:rPr>
              <w:t>+12% YoY</w:t>
            </w:r>
          </w:p>
        </w:tc>
        <w:tc>
          <w:tcPr>
            <w:tcW w:type="dxa" w:w="3135"/>
            <w:shd w:val="clear" w:color="auto" w:fill="0A1628"/>
          </w:tcPr>
          <w:p>
            <w:r/>
          </w:p>
          <w:p>
            <w:r>
              <w:rPr>
                <w:b/>
                <w:color w:val="C9A84C"/>
                <w:sz w:val="14"/>
              </w:rPr>
              <w:t>AVG. MORTGAGE SIZE</w:t>
            </w:r>
          </w:p>
          <w:p>
            <w:r>
              <w:rPr>
                <w:b/>
                <w:color w:val="FFFFFF"/>
                <w:sz w:val="36"/>
              </w:rPr>
              <w:t>€148,000</w:t>
            </w:r>
          </w:p>
          <w:p>
            <w:r>
              <w:rPr>
                <w:color w:val="A0AEC0"/>
                <w:sz w:val="16"/>
              </w:rPr>
              <w:t>+6% vs 2024</w:t>
            </w:r>
          </w:p>
        </w:tc>
      </w:tr>
    </w:tbl>
    <w:p/>
    <w:p>
      <w:pPr>
        <w:spacing w:before="240" w:after="80"/>
      </w:pPr>
      <w:r>
        <w:rPr>
          <w:b/>
          <w:color w:val="0A1628"/>
          <w:sz w:val="28"/>
        </w:rPr>
        <w:t>A2. 15-Year Market Cycle (2010–2025)</w:t>
      </w:r>
    </w:p>
    <w:p>
      <w:pPr>
        <w:spacing w:after="80"/>
      </w:pPr>
      <w:r>
        <w:rPr>
          <w:b w:val="0"/>
          <w:i w:val="0"/>
          <w:sz w:val="20"/>
        </w:rPr>
        <w:t>Spain experienced one of Europe's most dramatic boom-bust-recovery cycles. Three distinct phases define the market:</w:t>
      </w:r>
    </w:p>
    <w:p>
      <w:pPr>
        <w:pStyle w:val="ListBullet"/>
        <w:spacing w:after="40"/>
      </w:pPr>
      <w:r>
        <w:rPr>
          <w:sz w:val="20"/>
        </w:rPr>
        <w:t>CRISIS (2010–2014): Prices fell 43% from 2007 peak. Mortgage new lending collapsed from €220B (2006) to €35B (2012). Unemployment hit 26.9%.</w:t>
      </w:r>
    </w:p>
    <w:p>
      <w:pPr>
        <w:pStyle w:val="ListBullet"/>
        <w:spacing w:after="40"/>
      </w:pPr>
      <w:r>
        <w:rPr>
          <w:sz w:val="20"/>
        </w:rPr>
        <w:t>RECOVERY (2015–2019): Gradual price recovery +2–5%/yr. Foreign buyers became structural demand floor. Tourism-linked coastal markets led the rebound.</w:t>
      </w:r>
    </w:p>
    <w:p>
      <w:pPr>
        <w:pStyle w:val="ListBullet"/>
        <w:spacing w:after="40"/>
      </w:pPr>
      <w:r>
        <w:rPr>
          <w:sz w:val="20"/>
        </w:rPr>
        <w:t>ACCELERATION (2020–2025): COVID dip (−2%) quickly reversed. Low ECB rates + pent-up demand + supply shortage drove prices up 40–50% in prime markets. Málaga: +68% in 5 years.</w:t>
      </w:r>
    </w:p>
    <w:p>
      <w:pPr>
        <w:spacing w:before="240" w:after="80"/>
      </w:pPr>
      <w:r>
        <w:rPr>
          <w:b/>
          <w:color w:val="0A1628"/>
          <w:sz w:val="28"/>
        </w:rPr>
        <w:t>A3. Pricing Dynamics: Listing vs. Sale Price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268"/>
            <w:shd w:val="clear" w:color="auto" w:fill="0A1628"/>
          </w:tcPr>
          <w:p>
            <w:pPr>
              <w:jc w:val="left"/>
            </w:pPr>
            <w:r/>
            <w:r>
              <w:rPr>
                <w:b/>
                <w:i w:val="0"/>
                <w:color w:val="FFFFFF"/>
                <w:sz w:val="18"/>
              </w:rPr>
              <w:t>Market</w:t>
            </w:r>
          </w:p>
        </w:tc>
        <w:tc>
          <w:tcPr>
            <w:tcW w:type="dxa" w:w="1984"/>
            <w:shd w:val="clear" w:color="auto" w:fill="0A1628"/>
          </w:tcPr>
          <w:p>
            <w:pPr>
              <w:jc w:val="left"/>
            </w:pPr>
            <w:r/>
            <w:r>
              <w:rPr>
                <w:b/>
                <w:i w:val="0"/>
                <w:color w:val="FFFFFF"/>
                <w:sz w:val="18"/>
              </w:rPr>
              <w:t>Avg Listing Price/m²</w:t>
            </w:r>
          </w:p>
        </w:tc>
        <w:tc>
          <w:tcPr>
            <w:tcW w:type="dxa" w:w="1984"/>
            <w:shd w:val="clear" w:color="auto" w:fill="0A1628"/>
          </w:tcPr>
          <w:p>
            <w:pPr>
              <w:jc w:val="left"/>
            </w:pPr>
            <w:r/>
            <w:r>
              <w:rPr>
                <w:b/>
                <w:i w:val="0"/>
                <w:color w:val="FFFFFF"/>
                <w:sz w:val="18"/>
              </w:rPr>
              <w:t>Avg Sale Price/m²</w:t>
            </w:r>
          </w:p>
        </w:tc>
        <w:tc>
          <w:tcPr>
            <w:tcW w:type="dxa" w:w="1417"/>
            <w:shd w:val="clear" w:color="auto" w:fill="0A1628"/>
          </w:tcPr>
          <w:p>
            <w:pPr>
              <w:jc w:val="left"/>
            </w:pPr>
            <w:r/>
            <w:r>
              <w:rPr>
                <w:b/>
                <w:i w:val="0"/>
                <w:color w:val="FFFFFF"/>
                <w:sz w:val="18"/>
              </w:rPr>
              <w:t>Discount</w:t>
            </w:r>
          </w:p>
        </w:tc>
        <w:tc>
          <w:tcPr>
            <w:tcW w:type="dxa" w:w="1984"/>
            <w:shd w:val="clear" w:color="auto" w:fill="0A1628"/>
          </w:tcPr>
          <w:p>
            <w:pPr>
              <w:jc w:val="left"/>
            </w:pPr>
            <w:r/>
            <w:r>
              <w:rPr>
                <w:b/>
                <w:i w:val="0"/>
                <w:color w:val="FFFFFF"/>
                <w:sz w:val="18"/>
              </w:rPr>
              <w:t>Avg Days on Market</w:t>
            </w:r>
          </w:p>
        </w:tc>
      </w:tr>
      <w:tr>
        <w:tc>
          <w:tcPr>
            <w:tcW w:type="dxa" w:w="2268"/>
            <w:shd w:val="clear" w:color="auto" w:fill="F8FAFC"/>
          </w:tcPr>
          <w:p>
            <w:pPr>
              <w:jc w:val="left"/>
            </w:pPr>
            <w:r/>
            <w:r>
              <w:rPr>
                <w:b w:val="0"/>
                <w:i w:val="0"/>
                <w:sz w:val="18"/>
              </w:rPr>
              <w:t>Spain National</w:t>
            </w:r>
          </w:p>
        </w:tc>
        <w:tc>
          <w:tcPr>
            <w:tcW w:type="dxa" w:w="1984"/>
            <w:shd w:val="clear" w:color="auto" w:fill="F8FAFC"/>
          </w:tcPr>
          <w:p>
            <w:pPr>
              <w:jc w:val="left"/>
            </w:pPr>
            <w:r/>
            <w:r>
              <w:rPr>
                <w:b w:val="0"/>
                <w:i w:val="0"/>
                <w:sz w:val="18"/>
              </w:rPr>
              <w:t>€2,500</w:t>
            </w:r>
          </w:p>
        </w:tc>
        <w:tc>
          <w:tcPr>
            <w:tcW w:type="dxa" w:w="1984"/>
            <w:shd w:val="clear" w:color="auto" w:fill="F8FAFC"/>
          </w:tcPr>
          <w:p>
            <w:pPr>
              <w:jc w:val="left"/>
            </w:pPr>
            <w:r/>
            <w:r>
              <w:rPr>
                <w:b w:val="0"/>
                <w:i w:val="0"/>
                <w:sz w:val="18"/>
              </w:rPr>
              <w:t>€2,311</w:t>
            </w:r>
          </w:p>
        </w:tc>
        <w:tc>
          <w:tcPr>
            <w:tcW w:type="dxa" w:w="1417"/>
            <w:shd w:val="clear" w:color="auto" w:fill="F8FAFC"/>
          </w:tcPr>
          <w:p>
            <w:pPr>
              <w:jc w:val="left"/>
            </w:pPr>
            <w:r/>
            <w:r>
              <w:rPr>
                <w:b w:val="0"/>
                <w:i w:val="0"/>
                <w:sz w:val="18"/>
              </w:rPr>
              <w:t>7.6%</w:t>
            </w:r>
          </w:p>
        </w:tc>
        <w:tc>
          <w:tcPr>
            <w:tcW w:type="dxa" w:w="1984"/>
            <w:shd w:val="clear" w:color="auto" w:fill="F8FAFC"/>
          </w:tcPr>
          <w:p>
            <w:pPr>
              <w:jc w:val="left"/>
            </w:pPr>
            <w:r/>
            <w:r>
              <w:rPr>
                <w:b w:val="0"/>
                <w:i w:val="0"/>
                <w:sz w:val="18"/>
              </w:rPr>
              <w:t>65 days</w:t>
            </w:r>
          </w:p>
        </w:tc>
      </w:tr>
      <w:tr>
        <w:tc>
          <w:tcPr>
            <w:tcW w:type="dxa" w:w="2268"/>
            <w:shd w:val="clear" w:color="auto" w:fill="FFFFFF"/>
          </w:tcPr>
          <w:p>
            <w:pPr>
              <w:jc w:val="left"/>
            </w:pPr>
            <w:r/>
            <w:r>
              <w:rPr>
                <w:b w:val="0"/>
                <w:i w:val="0"/>
                <w:sz w:val="18"/>
              </w:rPr>
              <w:t>Málaga Province</w:t>
            </w:r>
          </w:p>
        </w:tc>
        <w:tc>
          <w:tcPr>
            <w:tcW w:type="dxa" w:w="1984"/>
            <w:shd w:val="clear" w:color="auto" w:fill="FFFFFF"/>
          </w:tcPr>
          <w:p>
            <w:pPr>
              <w:jc w:val="left"/>
            </w:pPr>
            <w:r/>
            <w:r>
              <w:rPr>
                <w:b w:val="0"/>
                <w:i w:val="0"/>
                <w:sz w:val="18"/>
              </w:rPr>
              <w:t>€3,420</w:t>
            </w:r>
          </w:p>
        </w:tc>
        <w:tc>
          <w:tcPr>
            <w:tcW w:type="dxa" w:w="1984"/>
            <w:shd w:val="clear" w:color="auto" w:fill="FFFFFF"/>
          </w:tcPr>
          <w:p>
            <w:pPr>
              <w:jc w:val="left"/>
            </w:pPr>
            <w:r/>
            <w:r>
              <w:rPr>
                <w:b w:val="0"/>
                <w:i w:val="0"/>
                <w:sz w:val="18"/>
              </w:rPr>
              <w:t>€3,180</w:t>
            </w:r>
          </w:p>
        </w:tc>
        <w:tc>
          <w:tcPr>
            <w:tcW w:type="dxa" w:w="1417"/>
            <w:shd w:val="clear" w:color="auto" w:fill="FFFFFF"/>
          </w:tcPr>
          <w:p>
            <w:pPr>
              <w:jc w:val="left"/>
            </w:pPr>
            <w:r/>
            <w:r>
              <w:rPr>
                <w:b w:val="0"/>
                <w:i w:val="0"/>
                <w:sz w:val="18"/>
              </w:rPr>
              <w:t>7.0%</w:t>
            </w:r>
          </w:p>
        </w:tc>
        <w:tc>
          <w:tcPr>
            <w:tcW w:type="dxa" w:w="1984"/>
            <w:shd w:val="clear" w:color="auto" w:fill="FFFFFF"/>
          </w:tcPr>
          <w:p>
            <w:pPr>
              <w:jc w:val="left"/>
            </w:pPr>
            <w:r/>
            <w:r>
              <w:rPr>
                <w:b w:val="0"/>
                <w:i w:val="0"/>
                <w:sz w:val="18"/>
              </w:rPr>
              <w:t>45 days</w:t>
            </w:r>
          </w:p>
        </w:tc>
      </w:tr>
      <w:tr>
        <w:tc>
          <w:tcPr>
            <w:tcW w:type="dxa" w:w="2268"/>
            <w:shd w:val="clear" w:color="auto" w:fill="F8FAFC"/>
          </w:tcPr>
          <w:p>
            <w:pPr>
              <w:jc w:val="left"/>
            </w:pPr>
            <w:r/>
            <w:r>
              <w:rPr>
                <w:b w:val="0"/>
                <w:i w:val="0"/>
                <w:sz w:val="18"/>
              </w:rPr>
              <w:t>Marbella</w:t>
            </w:r>
          </w:p>
        </w:tc>
        <w:tc>
          <w:tcPr>
            <w:tcW w:type="dxa" w:w="1984"/>
            <w:shd w:val="clear" w:color="auto" w:fill="F8FAFC"/>
          </w:tcPr>
          <w:p>
            <w:pPr>
              <w:jc w:val="left"/>
            </w:pPr>
            <w:r/>
            <w:r>
              <w:rPr>
                <w:b w:val="0"/>
                <w:i w:val="0"/>
                <w:sz w:val="18"/>
              </w:rPr>
              <w:t>€5,200</w:t>
            </w:r>
          </w:p>
        </w:tc>
        <w:tc>
          <w:tcPr>
            <w:tcW w:type="dxa" w:w="1984"/>
            <w:shd w:val="clear" w:color="auto" w:fill="F8FAFC"/>
          </w:tcPr>
          <w:p>
            <w:pPr>
              <w:jc w:val="left"/>
            </w:pPr>
            <w:r/>
            <w:r>
              <w:rPr>
                <w:b w:val="0"/>
                <w:i w:val="0"/>
                <w:sz w:val="18"/>
              </w:rPr>
              <w:t>€4,961</w:t>
            </w:r>
          </w:p>
        </w:tc>
        <w:tc>
          <w:tcPr>
            <w:tcW w:type="dxa" w:w="1417"/>
            <w:shd w:val="clear" w:color="auto" w:fill="F8FAFC"/>
          </w:tcPr>
          <w:p>
            <w:pPr>
              <w:jc w:val="left"/>
            </w:pPr>
            <w:r/>
            <w:r>
              <w:rPr>
                <w:b w:val="0"/>
                <w:i w:val="0"/>
                <w:sz w:val="18"/>
              </w:rPr>
              <w:t>4.6%</w:t>
            </w:r>
          </w:p>
        </w:tc>
        <w:tc>
          <w:tcPr>
            <w:tcW w:type="dxa" w:w="1984"/>
            <w:shd w:val="clear" w:color="auto" w:fill="F8FAFC"/>
          </w:tcPr>
          <w:p>
            <w:pPr>
              <w:jc w:val="left"/>
            </w:pPr>
            <w:r/>
            <w:r>
              <w:rPr>
                <w:b w:val="0"/>
                <w:i w:val="0"/>
                <w:sz w:val="18"/>
              </w:rPr>
              <w:t>38 days</w:t>
            </w:r>
          </w:p>
        </w:tc>
      </w:tr>
      <w:tr>
        <w:tc>
          <w:tcPr>
            <w:tcW w:type="dxa" w:w="2268"/>
            <w:shd w:val="clear" w:color="auto" w:fill="FFFFFF"/>
          </w:tcPr>
          <w:p>
            <w:pPr>
              <w:jc w:val="left"/>
            </w:pPr>
            <w:r/>
            <w:r>
              <w:rPr>
                <w:b w:val="0"/>
                <w:i w:val="0"/>
                <w:sz w:val="18"/>
              </w:rPr>
              <w:t>Málaga City</w:t>
            </w:r>
          </w:p>
        </w:tc>
        <w:tc>
          <w:tcPr>
            <w:tcW w:type="dxa" w:w="1984"/>
            <w:shd w:val="clear" w:color="auto" w:fill="FFFFFF"/>
          </w:tcPr>
          <w:p>
            <w:pPr>
              <w:jc w:val="left"/>
            </w:pPr>
            <w:r/>
            <w:r>
              <w:rPr>
                <w:b w:val="0"/>
                <w:i w:val="0"/>
                <w:sz w:val="18"/>
              </w:rPr>
              <w:t>€3,100</w:t>
            </w:r>
          </w:p>
        </w:tc>
        <w:tc>
          <w:tcPr>
            <w:tcW w:type="dxa" w:w="1984"/>
            <w:shd w:val="clear" w:color="auto" w:fill="FFFFFF"/>
          </w:tcPr>
          <w:p>
            <w:pPr>
              <w:jc w:val="left"/>
            </w:pPr>
            <w:r/>
            <w:r>
              <w:rPr>
                <w:b w:val="0"/>
                <w:i w:val="0"/>
                <w:sz w:val="18"/>
              </w:rPr>
              <w:t>€2,950</w:t>
            </w:r>
          </w:p>
        </w:tc>
        <w:tc>
          <w:tcPr>
            <w:tcW w:type="dxa" w:w="1417"/>
            <w:shd w:val="clear" w:color="auto" w:fill="FFFFFF"/>
          </w:tcPr>
          <w:p>
            <w:pPr>
              <w:jc w:val="left"/>
            </w:pPr>
            <w:r/>
            <w:r>
              <w:rPr>
                <w:b w:val="0"/>
                <w:i w:val="0"/>
                <w:sz w:val="18"/>
              </w:rPr>
              <w:t>4.8%</w:t>
            </w:r>
          </w:p>
        </w:tc>
        <w:tc>
          <w:tcPr>
            <w:tcW w:type="dxa" w:w="1984"/>
            <w:shd w:val="clear" w:color="auto" w:fill="FFFFFF"/>
          </w:tcPr>
          <w:p>
            <w:pPr>
              <w:jc w:val="left"/>
            </w:pPr>
            <w:r/>
            <w:r>
              <w:rPr>
                <w:b w:val="0"/>
                <w:i w:val="0"/>
                <w:sz w:val="18"/>
              </w:rPr>
              <w:t>32 days</w:t>
            </w:r>
          </w:p>
        </w:tc>
      </w:tr>
      <w:tr>
        <w:tc>
          <w:tcPr>
            <w:tcW w:type="dxa" w:w="2268"/>
            <w:shd w:val="clear" w:color="auto" w:fill="F8FAFC"/>
          </w:tcPr>
          <w:p>
            <w:pPr>
              <w:jc w:val="left"/>
            </w:pPr>
            <w:r/>
            <w:r>
              <w:rPr>
                <w:b w:val="0"/>
                <w:i w:val="0"/>
                <w:sz w:val="18"/>
              </w:rPr>
              <w:t>Costa del Sol (avg)</w:t>
            </w:r>
          </w:p>
        </w:tc>
        <w:tc>
          <w:tcPr>
            <w:tcW w:type="dxa" w:w="1984"/>
            <w:shd w:val="clear" w:color="auto" w:fill="F8FAFC"/>
          </w:tcPr>
          <w:p>
            <w:pPr>
              <w:jc w:val="left"/>
            </w:pPr>
            <w:r/>
            <w:r>
              <w:rPr>
                <w:b w:val="0"/>
                <w:i w:val="0"/>
                <w:sz w:val="18"/>
              </w:rPr>
              <w:t>€3,600</w:t>
            </w:r>
          </w:p>
        </w:tc>
        <w:tc>
          <w:tcPr>
            <w:tcW w:type="dxa" w:w="1984"/>
            <w:shd w:val="clear" w:color="auto" w:fill="F8FAFC"/>
          </w:tcPr>
          <w:p>
            <w:pPr>
              <w:jc w:val="left"/>
            </w:pPr>
            <w:r/>
            <w:r>
              <w:rPr>
                <w:b w:val="0"/>
                <w:i w:val="0"/>
                <w:sz w:val="18"/>
              </w:rPr>
              <w:t>€3,350</w:t>
            </w:r>
          </w:p>
        </w:tc>
        <w:tc>
          <w:tcPr>
            <w:tcW w:type="dxa" w:w="1417"/>
            <w:shd w:val="clear" w:color="auto" w:fill="F8FAFC"/>
          </w:tcPr>
          <w:p>
            <w:pPr>
              <w:jc w:val="left"/>
            </w:pPr>
            <w:r/>
            <w:r>
              <w:rPr>
                <w:b w:val="0"/>
                <w:i w:val="0"/>
                <w:sz w:val="18"/>
              </w:rPr>
              <w:t>6.9%</w:t>
            </w:r>
          </w:p>
        </w:tc>
        <w:tc>
          <w:tcPr>
            <w:tcW w:type="dxa" w:w="1984"/>
            <w:shd w:val="clear" w:color="auto" w:fill="F8FAFC"/>
          </w:tcPr>
          <w:p>
            <w:pPr>
              <w:jc w:val="left"/>
            </w:pPr>
            <w:r/>
            <w:r>
              <w:rPr>
                <w:b w:val="0"/>
                <w:i w:val="0"/>
                <w:sz w:val="18"/>
              </w:rPr>
              <w:t>42 days</w:t>
            </w:r>
          </w:p>
        </w:tc>
      </w:tr>
    </w:tbl>
    <w:p/>
    <w:p>
      <w:pPr>
        <w:spacing w:after="80"/>
      </w:pPr>
      <w:r>
        <w:rPr>
          <w:b w:val="0"/>
          <w:i/>
          <w:color w:val="1E40AF"/>
          <w:sz w:val="20"/>
        </w:rPr>
        <w:t>Key insight: Málaga's discount gap (7.0%) is narrowing vs. the national average as demand exceeds supply. In Marbella and Málaga city, properties in prime locations sell at or above asking price within days of listing.</w:t>
      </w:r>
    </w:p>
    <w:p>
      <w:pPr>
        <w:spacing w:before="240" w:after="80"/>
      </w:pPr>
      <w:r>
        <w:rPr>
          <w:b/>
          <w:color w:val="0A1628"/>
          <w:sz w:val="28"/>
        </w:rPr>
        <w:t>A4. Transaction Volume by Segment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134"/>
            <w:shd w:val="clear" w:color="auto" w:fill="0A1628"/>
          </w:tcPr>
          <w:p>
            <w:pPr>
              <w:jc w:val="left"/>
            </w:pPr>
            <w:r/>
            <w:r>
              <w:rPr>
                <w:b/>
                <w:i w:val="0"/>
                <w:color w:val="FFFFFF"/>
                <w:sz w:val="18"/>
              </w:rPr>
              <w:t>Year</w:t>
            </w:r>
          </w:p>
        </w:tc>
        <w:tc>
          <w:tcPr>
            <w:tcW w:type="dxa" w:w="1984"/>
            <w:shd w:val="clear" w:color="auto" w:fill="0A1628"/>
          </w:tcPr>
          <w:p>
            <w:pPr>
              <w:jc w:val="left"/>
            </w:pPr>
            <w:r/>
            <w:r>
              <w:rPr>
                <w:b/>
                <w:i w:val="0"/>
                <w:color w:val="FFFFFF"/>
                <w:sz w:val="18"/>
              </w:rPr>
              <w:t>Total Transactions</w:t>
            </w:r>
          </w:p>
        </w:tc>
        <w:tc>
          <w:tcPr>
            <w:tcW w:type="dxa" w:w="1417"/>
            <w:shd w:val="clear" w:color="auto" w:fill="0A1628"/>
          </w:tcPr>
          <w:p>
            <w:pPr>
              <w:jc w:val="left"/>
            </w:pPr>
            <w:r/>
            <w:r>
              <w:rPr>
                <w:b/>
                <w:i w:val="0"/>
                <w:color w:val="FFFFFF"/>
                <w:sz w:val="18"/>
              </w:rPr>
              <w:t>Resale</w:t>
            </w:r>
          </w:p>
        </w:tc>
        <w:tc>
          <w:tcPr>
            <w:tcW w:type="dxa" w:w="1417"/>
            <w:shd w:val="clear" w:color="auto" w:fill="0A1628"/>
          </w:tcPr>
          <w:p>
            <w:pPr>
              <w:jc w:val="left"/>
            </w:pPr>
            <w:r/>
            <w:r>
              <w:rPr>
                <w:b/>
                <w:i w:val="0"/>
                <w:color w:val="FFFFFF"/>
                <w:sz w:val="18"/>
              </w:rPr>
              <w:t>New Build</w:t>
            </w:r>
          </w:p>
        </w:tc>
        <w:tc>
          <w:tcPr>
            <w:tcW w:type="dxa" w:w="1984"/>
            <w:shd w:val="clear" w:color="auto" w:fill="0A1628"/>
          </w:tcPr>
          <w:p>
            <w:pPr>
              <w:jc w:val="left"/>
            </w:pPr>
            <w:r/>
            <w:r>
              <w:rPr>
                <w:b/>
                <w:i w:val="0"/>
                <w:color w:val="FFFFFF"/>
                <w:sz w:val="18"/>
              </w:rPr>
              <w:t>Málaga Province</w:t>
            </w:r>
          </w:p>
        </w:tc>
        <w:tc>
          <w:tcPr>
            <w:tcW w:type="dxa" w:w="1701"/>
            <w:shd w:val="clear" w:color="auto" w:fill="0A1628"/>
          </w:tcPr>
          <w:p>
            <w:pPr>
              <w:jc w:val="left"/>
            </w:pPr>
            <w:r/>
            <w:r>
              <w:rPr>
                <w:b/>
                <w:i w:val="0"/>
                <w:color w:val="FFFFFF"/>
                <w:sz w:val="18"/>
              </w:rPr>
              <w:t>Foreign Buyers</w:t>
            </w:r>
          </w:p>
        </w:tc>
      </w:tr>
      <w:tr>
        <w:tc>
          <w:tcPr>
            <w:tcW w:type="dxa" w:w="1134"/>
            <w:shd w:val="clear" w:color="auto" w:fill="F8FAFC"/>
          </w:tcPr>
          <w:p>
            <w:pPr>
              <w:jc w:val="left"/>
            </w:pPr>
            <w:r/>
            <w:r>
              <w:rPr>
                <w:b w:val="0"/>
                <w:i w:val="0"/>
                <w:sz w:val="18"/>
              </w:rPr>
              <w:t>2010</w:t>
            </w:r>
          </w:p>
        </w:tc>
        <w:tc>
          <w:tcPr>
            <w:tcW w:type="dxa" w:w="1984"/>
            <w:shd w:val="clear" w:color="auto" w:fill="F8FAFC"/>
          </w:tcPr>
          <w:p>
            <w:pPr>
              <w:jc w:val="left"/>
            </w:pPr>
            <w:r/>
            <w:r>
              <w:rPr>
                <w:b w:val="0"/>
                <w:i w:val="0"/>
                <w:sz w:val="18"/>
              </w:rPr>
              <w:t>491,000</w:t>
            </w:r>
          </w:p>
        </w:tc>
        <w:tc>
          <w:tcPr>
            <w:tcW w:type="dxa" w:w="1417"/>
            <w:shd w:val="clear" w:color="auto" w:fill="F8FAFC"/>
          </w:tcPr>
          <w:p>
            <w:pPr>
              <w:jc w:val="left"/>
            </w:pPr>
            <w:r/>
            <w:r>
              <w:rPr>
                <w:b w:val="0"/>
                <w:i w:val="0"/>
                <w:sz w:val="18"/>
              </w:rPr>
              <w:t>360,000</w:t>
            </w:r>
          </w:p>
        </w:tc>
        <w:tc>
          <w:tcPr>
            <w:tcW w:type="dxa" w:w="1417"/>
            <w:shd w:val="clear" w:color="auto" w:fill="F8FAFC"/>
          </w:tcPr>
          <w:p>
            <w:pPr>
              <w:jc w:val="left"/>
            </w:pPr>
            <w:r/>
            <w:r>
              <w:rPr>
                <w:b w:val="0"/>
                <w:i w:val="0"/>
                <w:sz w:val="18"/>
              </w:rPr>
              <w:t>131,000</w:t>
            </w:r>
          </w:p>
        </w:tc>
        <w:tc>
          <w:tcPr>
            <w:tcW w:type="dxa" w:w="1984"/>
            <w:shd w:val="clear" w:color="auto" w:fill="F8FAFC"/>
          </w:tcPr>
          <w:p>
            <w:pPr>
              <w:jc w:val="left"/>
            </w:pPr>
            <w:r/>
            <w:r>
              <w:rPr>
                <w:b w:val="0"/>
                <w:i w:val="0"/>
                <w:sz w:val="18"/>
              </w:rPr>
              <w:t>28,400</w:t>
            </w:r>
          </w:p>
        </w:tc>
        <w:tc>
          <w:tcPr>
            <w:tcW w:type="dxa" w:w="1701"/>
            <w:shd w:val="clear" w:color="auto" w:fill="F8FAFC"/>
          </w:tcPr>
          <w:p>
            <w:pPr>
              <w:jc w:val="left"/>
            </w:pPr>
            <w:r/>
            <w:r>
              <w:rPr>
                <w:b w:val="0"/>
                <w:i w:val="0"/>
                <w:sz w:val="18"/>
              </w:rPr>
              <w:t>8.2%</w:t>
            </w:r>
          </w:p>
        </w:tc>
      </w:tr>
      <w:tr>
        <w:tc>
          <w:tcPr>
            <w:tcW w:type="dxa" w:w="1134"/>
            <w:shd w:val="clear" w:color="auto" w:fill="FFFFFF"/>
          </w:tcPr>
          <w:p>
            <w:pPr>
              <w:jc w:val="left"/>
            </w:pPr>
            <w:r/>
            <w:r>
              <w:rPr>
                <w:b w:val="0"/>
                <w:i w:val="0"/>
                <w:sz w:val="18"/>
              </w:rPr>
              <w:t>2015</w:t>
            </w:r>
          </w:p>
        </w:tc>
        <w:tc>
          <w:tcPr>
            <w:tcW w:type="dxa" w:w="1984"/>
            <w:shd w:val="clear" w:color="auto" w:fill="FFFFFF"/>
          </w:tcPr>
          <w:p>
            <w:pPr>
              <w:jc w:val="left"/>
            </w:pPr>
            <w:r/>
            <w:r>
              <w:rPr>
                <w:b w:val="0"/>
                <w:i w:val="0"/>
                <w:sz w:val="18"/>
              </w:rPr>
              <w:t>354,000</w:t>
            </w:r>
          </w:p>
        </w:tc>
        <w:tc>
          <w:tcPr>
            <w:tcW w:type="dxa" w:w="1417"/>
            <w:shd w:val="clear" w:color="auto" w:fill="FFFFFF"/>
          </w:tcPr>
          <w:p>
            <w:pPr>
              <w:jc w:val="left"/>
            </w:pPr>
            <w:r/>
            <w:r>
              <w:rPr>
                <w:b w:val="0"/>
                <w:i w:val="0"/>
                <w:sz w:val="18"/>
              </w:rPr>
              <w:t>290,000</w:t>
            </w:r>
          </w:p>
        </w:tc>
        <w:tc>
          <w:tcPr>
            <w:tcW w:type="dxa" w:w="1417"/>
            <w:shd w:val="clear" w:color="auto" w:fill="FFFFFF"/>
          </w:tcPr>
          <w:p>
            <w:pPr>
              <w:jc w:val="left"/>
            </w:pPr>
            <w:r/>
            <w:r>
              <w:rPr>
                <w:b w:val="0"/>
                <w:i w:val="0"/>
                <w:sz w:val="18"/>
              </w:rPr>
              <w:t>64,000</w:t>
            </w:r>
          </w:p>
        </w:tc>
        <w:tc>
          <w:tcPr>
            <w:tcW w:type="dxa" w:w="1984"/>
            <w:shd w:val="clear" w:color="auto" w:fill="FFFFFF"/>
          </w:tcPr>
          <w:p>
            <w:pPr>
              <w:jc w:val="left"/>
            </w:pPr>
            <w:r/>
            <w:r>
              <w:rPr>
                <w:b w:val="0"/>
                <w:i w:val="0"/>
                <w:sz w:val="18"/>
              </w:rPr>
              <w:t>22,100</w:t>
            </w:r>
          </w:p>
        </w:tc>
        <w:tc>
          <w:tcPr>
            <w:tcW w:type="dxa" w:w="1701"/>
            <w:shd w:val="clear" w:color="auto" w:fill="FFFFFF"/>
          </w:tcPr>
          <w:p>
            <w:pPr>
              <w:jc w:val="left"/>
            </w:pPr>
            <w:r/>
            <w:r>
              <w:rPr>
                <w:b w:val="0"/>
                <w:i w:val="0"/>
                <w:sz w:val="18"/>
              </w:rPr>
              <w:t>11.0%</w:t>
            </w:r>
          </w:p>
        </w:tc>
      </w:tr>
      <w:tr>
        <w:tc>
          <w:tcPr>
            <w:tcW w:type="dxa" w:w="1134"/>
            <w:shd w:val="clear" w:color="auto" w:fill="F8FAFC"/>
          </w:tcPr>
          <w:p>
            <w:pPr>
              <w:jc w:val="left"/>
            </w:pPr>
            <w:r/>
            <w:r>
              <w:rPr>
                <w:b w:val="0"/>
                <w:i w:val="0"/>
                <w:sz w:val="18"/>
              </w:rPr>
              <w:t>2019</w:t>
            </w:r>
          </w:p>
        </w:tc>
        <w:tc>
          <w:tcPr>
            <w:tcW w:type="dxa" w:w="1984"/>
            <w:shd w:val="clear" w:color="auto" w:fill="F8FAFC"/>
          </w:tcPr>
          <w:p>
            <w:pPr>
              <w:jc w:val="left"/>
            </w:pPr>
            <w:r/>
            <w:r>
              <w:rPr>
                <w:b w:val="0"/>
                <w:i w:val="0"/>
                <w:sz w:val="18"/>
              </w:rPr>
              <w:t>501,000</w:t>
            </w:r>
          </w:p>
        </w:tc>
        <w:tc>
          <w:tcPr>
            <w:tcW w:type="dxa" w:w="1417"/>
            <w:shd w:val="clear" w:color="auto" w:fill="F8FAFC"/>
          </w:tcPr>
          <w:p>
            <w:pPr>
              <w:jc w:val="left"/>
            </w:pPr>
            <w:r/>
            <w:r>
              <w:rPr>
                <w:b w:val="0"/>
                <w:i w:val="0"/>
                <w:sz w:val="18"/>
              </w:rPr>
              <w:t>415,000</w:t>
            </w:r>
          </w:p>
        </w:tc>
        <w:tc>
          <w:tcPr>
            <w:tcW w:type="dxa" w:w="1417"/>
            <w:shd w:val="clear" w:color="auto" w:fill="F8FAFC"/>
          </w:tcPr>
          <w:p>
            <w:pPr>
              <w:jc w:val="left"/>
            </w:pPr>
            <w:r/>
            <w:r>
              <w:rPr>
                <w:b w:val="0"/>
                <w:i w:val="0"/>
                <w:sz w:val="18"/>
              </w:rPr>
              <w:t>86,000</w:t>
            </w:r>
          </w:p>
        </w:tc>
        <w:tc>
          <w:tcPr>
            <w:tcW w:type="dxa" w:w="1984"/>
            <w:shd w:val="clear" w:color="auto" w:fill="F8FAFC"/>
          </w:tcPr>
          <w:p>
            <w:pPr>
              <w:jc w:val="left"/>
            </w:pPr>
            <w:r/>
            <w:r>
              <w:rPr>
                <w:b w:val="0"/>
                <w:i w:val="0"/>
                <w:sz w:val="18"/>
              </w:rPr>
              <w:t>30,200</w:t>
            </w:r>
          </w:p>
        </w:tc>
        <w:tc>
          <w:tcPr>
            <w:tcW w:type="dxa" w:w="1701"/>
            <w:shd w:val="clear" w:color="auto" w:fill="F8FAFC"/>
          </w:tcPr>
          <w:p>
            <w:pPr>
              <w:jc w:val="left"/>
            </w:pPr>
            <w:r/>
            <w:r>
              <w:rPr>
                <w:b w:val="0"/>
                <w:i w:val="0"/>
                <w:sz w:val="18"/>
              </w:rPr>
              <w:t>12.6%</w:t>
            </w:r>
          </w:p>
        </w:tc>
      </w:tr>
      <w:tr>
        <w:tc>
          <w:tcPr>
            <w:tcW w:type="dxa" w:w="1134"/>
            <w:shd w:val="clear" w:color="auto" w:fill="FFFFFF"/>
          </w:tcPr>
          <w:p>
            <w:pPr>
              <w:jc w:val="left"/>
            </w:pPr>
            <w:r/>
            <w:r>
              <w:rPr>
                <w:b w:val="0"/>
                <w:i w:val="0"/>
                <w:sz w:val="18"/>
              </w:rPr>
              <w:t>2021</w:t>
            </w:r>
          </w:p>
        </w:tc>
        <w:tc>
          <w:tcPr>
            <w:tcW w:type="dxa" w:w="1984"/>
            <w:shd w:val="clear" w:color="auto" w:fill="FFFFFF"/>
          </w:tcPr>
          <w:p>
            <w:pPr>
              <w:jc w:val="left"/>
            </w:pPr>
            <w:r/>
            <w:r>
              <w:rPr>
                <w:b w:val="0"/>
                <w:i w:val="0"/>
                <w:sz w:val="18"/>
              </w:rPr>
              <w:t>565,000</w:t>
            </w:r>
          </w:p>
        </w:tc>
        <w:tc>
          <w:tcPr>
            <w:tcW w:type="dxa" w:w="1417"/>
            <w:shd w:val="clear" w:color="auto" w:fill="FFFFFF"/>
          </w:tcPr>
          <w:p>
            <w:pPr>
              <w:jc w:val="left"/>
            </w:pPr>
            <w:r/>
            <w:r>
              <w:rPr>
                <w:b w:val="0"/>
                <w:i w:val="0"/>
                <w:sz w:val="18"/>
              </w:rPr>
              <w:t>472,000</w:t>
            </w:r>
          </w:p>
        </w:tc>
        <w:tc>
          <w:tcPr>
            <w:tcW w:type="dxa" w:w="1417"/>
            <w:shd w:val="clear" w:color="auto" w:fill="FFFFFF"/>
          </w:tcPr>
          <w:p>
            <w:pPr>
              <w:jc w:val="left"/>
            </w:pPr>
            <w:r/>
            <w:r>
              <w:rPr>
                <w:b w:val="0"/>
                <w:i w:val="0"/>
                <w:sz w:val="18"/>
              </w:rPr>
              <w:t>93,000</w:t>
            </w:r>
          </w:p>
        </w:tc>
        <w:tc>
          <w:tcPr>
            <w:tcW w:type="dxa" w:w="1984"/>
            <w:shd w:val="clear" w:color="auto" w:fill="FFFFFF"/>
          </w:tcPr>
          <w:p>
            <w:pPr>
              <w:jc w:val="left"/>
            </w:pPr>
            <w:r/>
            <w:r>
              <w:rPr>
                <w:b w:val="0"/>
                <w:i w:val="0"/>
                <w:sz w:val="18"/>
              </w:rPr>
              <w:t>33,500</w:t>
            </w:r>
          </w:p>
        </w:tc>
        <w:tc>
          <w:tcPr>
            <w:tcW w:type="dxa" w:w="1701"/>
            <w:shd w:val="clear" w:color="auto" w:fill="FFFFFF"/>
          </w:tcPr>
          <w:p>
            <w:pPr>
              <w:jc w:val="left"/>
            </w:pPr>
            <w:r/>
            <w:r>
              <w:rPr>
                <w:b w:val="0"/>
                <w:i w:val="0"/>
                <w:sz w:val="18"/>
              </w:rPr>
              <w:t>14.1%</w:t>
            </w:r>
          </w:p>
        </w:tc>
      </w:tr>
      <w:tr>
        <w:tc>
          <w:tcPr>
            <w:tcW w:type="dxa" w:w="1134"/>
            <w:shd w:val="clear" w:color="auto" w:fill="F8FAFC"/>
          </w:tcPr>
          <w:p>
            <w:pPr>
              <w:jc w:val="left"/>
            </w:pPr>
            <w:r/>
            <w:r>
              <w:rPr>
                <w:b w:val="0"/>
                <w:i w:val="0"/>
                <w:sz w:val="18"/>
              </w:rPr>
              <w:t>2023</w:t>
            </w:r>
          </w:p>
        </w:tc>
        <w:tc>
          <w:tcPr>
            <w:tcW w:type="dxa" w:w="1984"/>
            <w:shd w:val="clear" w:color="auto" w:fill="F8FAFC"/>
          </w:tcPr>
          <w:p>
            <w:pPr>
              <w:jc w:val="left"/>
            </w:pPr>
            <w:r/>
            <w:r>
              <w:rPr>
                <w:b w:val="0"/>
                <w:i w:val="0"/>
                <w:sz w:val="18"/>
              </w:rPr>
              <w:t>574,000</w:t>
            </w:r>
          </w:p>
        </w:tc>
        <w:tc>
          <w:tcPr>
            <w:tcW w:type="dxa" w:w="1417"/>
            <w:shd w:val="clear" w:color="auto" w:fill="F8FAFC"/>
          </w:tcPr>
          <w:p>
            <w:pPr>
              <w:jc w:val="left"/>
            </w:pPr>
            <w:r/>
            <w:r>
              <w:rPr>
                <w:b w:val="0"/>
                <w:i w:val="0"/>
                <w:sz w:val="18"/>
              </w:rPr>
              <w:t>480,000</w:t>
            </w:r>
          </w:p>
        </w:tc>
        <w:tc>
          <w:tcPr>
            <w:tcW w:type="dxa" w:w="1417"/>
            <w:shd w:val="clear" w:color="auto" w:fill="F8FAFC"/>
          </w:tcPr>
          <w:p>
            <w:pPr>
              <w:jc w:val="left"/>
            </w:pPr>
            <w:r/>
            <w:r>
              <w:rPr>
                <w:b w:val="0"/>
                <w:i w:val="0"/>
                <w:sz w:val="18"/>
              </w:rPr>
              <w:t>94,000</w:t>
            </w:r>
          </w:p>
        </w:tc>
        <w:tc>
          <w:tcPr>
            <w:tcW w:type="dxa" w:w="1984"/>
            <w:shd w:val="clear" w:color="auto" w:fill="F8FAFC"/>
          </w:tcPr>
          <w:p>
            <w:pPr>
              <w:jc w:val="left"/>
            </w:pPr>
            <w:r/>
            <w:r>
              <w:rPr>
                <w:b w:val="0"/>
                <w:i w:val="0"/>
                <w:sz w:val="18"/>
              </w:rPr>
              <w:t>35,385</w:t>
            </w:r>
          </w:p>
        </w:tc>
        <w:tc>
          <w:tcPr>
            <w:tcW w:type="dxa" w:w="1701"/>
            <w:shd w:val="clear" w:color="auto" w:fill="F8FAFC"/>
          </w:tcPr>
          <w:p>
            <w:pPr>
              <w:jc w:val="left"/>
            </w:pPr>
            <w:r/>
            <w:r>
              <w:rPr>
                <w:b w:val="0"/>
                <w:i w:val="0"/>
                <w:sz w:val="18"/>
              </w:rPr>
              <w:t>14.8%</w:t>
            </w:r>
          </w:p>
        </w:tc>
      </w:tr>
      <w:tr>
        <w:tc>
          <w:tcPr>
            <w:tcW w:type="dxa" w:w="1134"/>
            <w:shd w:val="clear" w:color="auto" w:fill="FFFFFF"/>
          </w:tcPr>
          <w:p>
            <w:pPr>
              <w:jc w:val="left"/>
            </w:pPr>
            <w:r/>
            <w:r>
              <w:rPr>
                <w:b w:val="0"/>
                <w:i w:val="0"/>
                <w:sz w:val="18"/>
              </w:rPr>
              <w:t>2024</w:t>
            </w:r>
          </w:p>
        </w:tc>
        <w:tc>
          <w:tcPr>
            <w:tcW w:type="dxa" w:w="1984"/>
            <w:shd w:val="clear" w:color="auto" w:fill="FFFFFF"/>
          </w:tcPr>
          <w:p>
            <w:pPr>
              <w:jc w:val="left"/>
            </w:pPr>
            <w:r/>
            <w:r>
              <w:rPr>
                <w:b w:val="0"/>
                <w:i w:val="0"/>
                <w:sz w:val="18"/>
              </w:rPr>
              <w:t>574,000</w:t>
            </w:r>
          </w:p>
        </w:tc>
        <w:tc>
          <w:tcPr>
            <w:tcW w:type="dxa" w:w="1417"/>
            <w:shd w:val="clear" w:color="auto" w:fill="FFFFFF"/>
          </w:tcPr>
          <w:p>
            <w:pPr>
              <w:jc w:val="left"/>
            </w:pPr>
            <w:r/>
            <w:r>
              <w:rPr>
                <w:b w:val="0"/>
                <w:i w:val="0"/>
                <w:sz w:val="18"/>
              </w:rPr>
              <w:t>481,000</w:t>
            </w:r>
          </w:p>
        </w:tc>
        <w:tc>
          <w:tcPr>
            <w:tcW w:type="dxa" w:w="1417"/>
            <w:shd w:val="clear" w:color="auto" w:fill="FFFFFF"/>
          </w:tcPr>
          <w:p>
            <w:pPr>
              <w:jc w:val="left"/>
            </w:pPr>
            <w:r/>
            <w:r>
              <w:rPr>
                <w:b w:val="0"/>
                <w:i w:val="0"/>
                <w:sz w:val="18"/>
              </w:rPr>
              <w:t>93,000</w:t>
            </w:r>
          </w:p>
        </w:tc>
        <w:tc>
          <w:tcPr>
            <w:tcW w:type="dxa" w:w="1984"/>
            <w:shd w:val="clear" w:color="auto" w:fill="FFFFFF"/>
          </w:tcPr>
          <w:p>
            <w:pPr>
              <w:jc w:val="left"/>
            </w:pPr>
            <w:r/>
            <w:r>
              <w:rPr>
                <w:b w:val="0"/>
                <w:i w:val="0"/>
                <w:sz w:val="18"/>
              </w:rPr>
              <w:t>35,400</w:t>
            </w:r>
          </w:p>
        </w:tc>
        <w:tc>
          <w:tcPr>
            <w:tcW w:type="dxa" w:w="1701"/>
            <w:shd w:val="clear" w:color="auto" w:fill="FFFFFF"/>
          </w:tcPr>
          <w:p>
            <w:pPr>
              <w:jc w:val="left"/>
            </w:pPr>
            <w:r/>
            <w:r>
              <w:rPr>
                <w:b w:val="0"/>
                <w:i w:val="0"/>
                <w:sz w:val="18"/>
              </w:rPr>
              <w:t>15.0%</w:t>
            </w:r>
          </w:p>
        </w:tc>
      </w:tr>
      <w:tr>
        <w:tc>
          <w:tcPr>
            <w:tcW w:type="dxa" w:w="1134"/>
            <w:shd w:val="clear" w:color="auto" w:fill="F8FAFC"/>
          </w:tcPr>
          <w:p>
            <w:pPr>
              <w:jc w:val="left"/>
            </w:pPr>
            <w:r/>
            <w:r>
              <w:rPr>
                <w:b w:val="0"/>
                <w:i w:val="0"/>
                <w:sz w:val="18"/>
              </w:rPr>
              <w:t>2025</w:t>
            </w:r>
          </w:p>
        </w:tc>
        <w:tc>
          <w:tcPr>
            <w:tcW w:type="dxa" w:w="1984"/>
            <w:shd w:val="clear" w:color="auto" w:fill="F8FAFC"/>
          </w:tcPr>
          <w:p>
            <w:pPr>
              <w:jc w:val="left"/>
            </w:pPr>
            <w:r/>
            <w:r>
              <w:rPr>
                <w:b w:val="0"/>
                <w:i w:val="0"/>
                <w:sz w:val="18"/>
              </w:rPr>
              <w:t>620,000</w:t>
            </w:r>
          </w:p>
        </w:tc>
        <w:tc>
          <w:tcPr>
            <w:tcW w:type="dxa" w:w="1417"/>
            <w:shd w:val="clear" w:color="auto" w:fill="F8FAFC"/>
          </w:tcPr>
          <w:p>
            <w:pPr>
              <w:jc w:val="left"/>
            </w:pPr>
            <w:r/>
            <w:r>
              <w:rPr>
                <w:b w:val="0"/>
                <w:i w:val="0"/>
                <w:sz w:val="18"/>
              </w:rPr>
              <w:t>518,000</w:t>
            </w:r>
          </w:p>
        </w:tc>
        <w:tc>
          <w:tcPr>
            <w:tcW w:type="dxa" w:w="1417"/>
            <w:shd w:val="clear" w:color="auto" w:fill="F8FAFC"/>
          </w:tcPr>
          <w:p>
            <w:pPr>
              <w:jc w:val="left"/>
            </w:pPr>
            <w:r/>
            <w:r>
              <w:rPr>
                <w:b w:val="0"/>
                <w:i w:val="0"/>
                <w:sz w:val="18"/>
              </w:rPr>
              <w:t>102,000</w:t>
            </w:r>
          </w:p>
        </w:tc>
        <w:tc>
          <w:tcPr>
            <w:tcW w:type="dxa" w:w="1984"/>
            <w:shd w:val="clear" w:color="auto" w:fill="F8FAFC"/>
          </w:tcPr>
          <w:p>
            <w:pPr>
              <w:jc w:val="left"/>
            </w:pPr>
            <w:r/>
            <w:r>
              <w:rPr>
                <w:b w:val="0"/>
                <w:i w:val="0"/>
                <w:sz w:val="18"/>
              </w:rPr>
              <w:t>38,200*</w:t>
            </w:r>
          </w:p>
        </w:tc>
        <w:tc>
          <w:tcPr>
            <w:tcW w:type="dxa" w:w="1701"/>
            <w:shd w:val="clear" w:color="auto" w:fill="F8FAFC"/>
          </w:tcPr>
          <w:p>
            <w:pPr>
              <w:jc w:val="left"/>
            </w:pPr>
            <w:r/>
            <w:r>
              <w:rPr>
                <w:b w:val="0"/>
                <w:i w:val="0"/>
                <w:sz w:val="18"/>
              </w:rPr>
              <w:t>15.1%</w:t>
            </w:r>
          </w:p>
        </w:tc>
      </w:tr>
    </w:tbl>
    <w:p/>
    <w:p>
      <w:pPr>
        <w:spacing w:before="240" w:after="80"/>
      </w:pPr>
      <w:r>
        <w:rPr>
          <w:b/>
          <w:color w:val="0A1628"/>
          <w:sz w:val="28"/>
        </w:rPr>
        <w:t>A5. Mortgage Market Data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835"/>
            <w:shd w:val="clear" w:color="auto" w:fill="0A1628"/>
          </w:tcPr>
          <w:p>
            <w:pPr>
              <w:jc w:val="left"/>
            </w:pPr>
            <w:r/>
            <w:r>
              <w:rPr>
                <w:b/>
                <w:i w:val="0"/>
                <w:color w:val="FFFFFF"/>
                <w:sz w:val="18"/>
              </w:rPr>
              <w:t>Metric</w:t>
            </w:r>
          </w:p>
        </w:tc>
        <w:tc>
          <w:tcPr>
            <w:tcW w:type="dxa" w:w="1701"/>
            <w:shd w:val="clear" w:color="auto" w:fill="0A1628"/>
          </w:tcPr>
          <w:p>
            <w:pPr>
              <w:jc w:val="left"/>
            </w:pPr>
            <w:r/>
            <w:r>
              <w:rPr>
                <w:b/>
                <w:i w:val="0"/>
                <w:color w:val="FFFFFF"/>
                <w:sz w:val="18"/>
              </w:rPr>
              <w:t>2019</w:t>
            </w:r>
          </w:p>
        </w:tc>
        <w:tc>
          <w:tcPr>
            <w:tcW w:type="dxa" w:w="1701"/>
            <w:shd w:val="clear" w:color="auto" w:fill="0A1628"/>
          </w:tcPr>
          <w:p>
            <w:pPr>
              <w:jc w:val="left"/>
            </w:pPr>
            <w:r/>
            <w:r>
              <w:rPr>
                <w:b/>
                <w:i w:val="0"/>
                <w:color w:val="FFFFFF"/>
                <w:sz w:val="18"/>
              </w:rPr>
              <w:t>2022</w:t>
            </w:r>
          </w:p>
        </w:tc>
        <w:tc>
          <w:tcPr>
            <w:tcW w:type="dxa" w:w="1701"/>
            <w:shd w:val="clear" w:color="auto" w:fill="0A1628"/>
          </w:tcPr>
          <w:p>
            <w:pPr>
              <w:jc w:val="left"/>
            </w:pPr>
            <w:r/>
            <w:r>
              <w:rPr>
                <w:b/>
                <w:i w:val="0"/>
                <w:color w:val="FFFFFF"/>
                <w:sz w:val="18"/>
              </w:rPr>
              <w:t>2024</w:t>
            </w:r>
          </w:p>
        </w:tc>
        <w:tc>
          <w:tcPr>
            <w:tcW w:type="dxa" w:w="1701"/>
            <w:shd w:val="clear" w:color="auto" w:fill="0A1628"/>
          </w:tcPr>
          <w:p>
            <w:pPr>
              <w:jc w:val="left"/>
            </w:pPr>
            <w:r/>
            <w:r>
              <w:rPr>
                <w:b/>
                <w:i w:val="0"/>
                <w:color w:val="FFFFFF"/>
                <w:sz w:val="18"/>
              </w:rPr>
              <w:t>2025 Est.</w:t>
            </w:r>
          </w:p>
        </w:tc>
      </w:tr>
      <w:tr>
        <w:tc>
          <w:tcPr>
            <w:tcW w:type="dxa" w:w="2835"/>
            <w:shd w:val="clear" w:color="auto" w:fill="F8FAFC"/>
          </w:tcPr>
          <w:p>
            <w:pPr>
              <w:jc w:val="left"/>
            </w:pPr>
            <w:r/>
            <w:r>
              <w:rPr>
                <w:b w:val="0"/>
                <w:i w:val="0"/>
                <w:sz w:val="18"/>
              </w:rPr>
              <w:t>New mortgage lending</w:t>
            </w:r>
          </w:p>
        </w:tc>
        <w:tc>
          <w:tcPr>
            <w:tcW w:type="dxa" w:w="1701"/>
            <w:shd w:val="clear" w:color="auto" w:fill="F8FAFC"/>
          </w:tcPr>
          <w:p>
            <w:pPr>
              <w:jc w:val="left"/>
            </w:pPr>
            <w:r/>
            <w:r>
              <w:rPr>
                <w:b w:val="0"/>
                <w:i w:val="0"/>
                <w:sz w:val="18"/>
              </w:rPr>
              <w:t>€52B</w:t>
            </w:r>
          </w:p>
        </w:tc>
        <w:tc>
          <w:tcPr>
            <w:tcW w:type="dxa" w:w="1701"/>
            <w:shd w:val="clear" w:color="auto" w:fill="F8FAFC"/>
          </w:tcPr>
          <w:p>
            <w:pPr>
              <w:jc w:val="left"/>
            </w:pPr>
            <w:r/>
            <w:r>
              <w:rPr>
                <w:b w:val="0"/>
                <w:i w:val="0"/>
                <w:sz w:val="18"/>
              </w:rPr>
              <w:t>€50B</w:t>
            </w:r>
          </w:p>
        </w:tc>
        <w:tc>
          <w:tcPr>
            <w:tcW w:type="dxa" w:w="1701"/>
            <w:shd w:val="clear" w:color="auto" w:fill="F8FAFC"/>
          </w:tcPr>
          <w:p>
            <w:pPr>
              <w:jc w:val="left"/>
            </w:pPr>
            <w:r/>
            <w:r>
              <w:rPr>
                <w:b w:val="0"/>
                <w:i w:val="0"/>
                <w:sz w:val="18"/>
              </w:rPr>
              <w:t>€54B</w:t>
            </w:r>
          </w:p>
        </w:tc>
        <w:tc>
          <w:tcPr>
            <w:tcW w:type="dxa" w:w="1701"/>
            <w:shd w:val="clear" w:color="auto" w:fill="F8FAFC"/>
          </w:tcPr>
          <w:p>
            <w:pPr>
              <w:jc w:val="left"/>
            </w:pPr>
            <w:r/>
            <w:r>
              <w:rPr>
                <w:b w:val="0"/>
                <w:i w:val="0"/>
                <w:sz w:val="18"/>
              </w:rPr>
              <w:t>€60B</w:t>
            </w:r>
          </w:p>
        </w:tc>
      </w:tr>
      <w:tr>
        <w:tc>
          <w:tcPr>
            <w:tcW w:type="dxa" w:w="2835"/>
            <w:shd w:val="clear" w:color="auto" w:fill="FFFFFF"/>
          </w:tcPr>
          <w:p>
            <w:pPr>
              <w:jc w:val="left"/>
            </w:pPr>
            <w:r/>
            <w:r>
              <w:rPr>
                <w:b w:val="0"/>
                <w:i w:val="0"/>
                <w:sz w:val="18"/>
              </w:rPr>
              <w:t>Avg. mortgage size</w:t>
            </w:r>
          </w:p>
        </w:tc>
        <w:tc>
          <w:tcPr>
            <w:tcW w:type="dxa" w:w="1701"/>
            <w:shd w:val="clear" w:color="auto" w:fill="FFFFFF"/>
          </w:tcPr>
          <w:p>
            <w:pPr>
              <w:jc w:val="left"/>
            </w:pPr>
            <w:r/>
            <w:r>
              <w:rPr>
                <w:b w:val="0"/>
                <w:i w:val="0"/>
                <w:sz w:val="18"/>
              </w:rPr>
              <w:t>€139k</w:t>
            </w:r>
          </w:p>
        </w:tc>
        <w:tc>
          <w:tcPr>
            <w:tcW w:type="dxa" w:w="1701"/>
            <w:shd w:val="clear" w:color="auto" w:fill="FFFFFF"/>
          </w:tcPr>
          <w:p>
            <w:pPr>
              <w:jc w:val="left"/>
            </w:pPr>
            <w:r/>
            <w:r>
              <w:rPr>
                <w:b w:val="0"/>
                <w:i w:val="0"/>
                <w:sz w:val="18"/>
              </w:rPr>
              <w:t>€145k</w:t>
            </w:r>
          </w:p>
        </w:tc>
        <w:tc>
          <w:tcPr>
            <w:tcW w:type="dxa" w:w="1701"/>
            <w:shd w:val="clear" w:color="auto" w:fill="FFFFFF"/>
          </w:tcPr>
          <w:p>
            <w:pPr>
              <w:jc w:val="left"/>
            </w:pPr>
            <w:r/>
            <w:r>
              <w:rPr>
                <w:b w:val="0"/>
                <w:i w:val="0"/>
                <w:sz w:val="18"/>
              </w:rPr>
              <w:t>€148k</w:t>
            </w:r>
          </w:p>
        </w:tc>
        <w:tc>
          <w:tcPr>
            <w:tcW w:type="dxa" w:w="1701"/>
            <w:shd w:val="clear" w:color="auto" w:fill="FFFFFF"/>
          </w:tcPr>
          <w:p>
            <w:pPr>
              <w:jc w:val="left"/>
            </w:pPr>
            <w:r/>
            <w:r>
              <w:rPr>
                <w:b w:val="0"/>
                <w:i w:val="0"/>
                <w:sz w:val="18"/>
              </w:rPr>
              <w:t>€152k</w:t>
            </w:r>
          </w:p>
        </w:tc>
      </w:tr>
      <w:tr>
        <w:tc>
          <w:tcPr>
            <w:tcW w:type="dxa" w:w="2835"/>
            <w:shd w:val="clear" w:color="auto" w:fill="F8FAFC"/>
          </w:tcPr>
          <w:p>
            <w:pPr>
              <w:jc w:val="left"/>
            </w:pPr>
            <w:r/>
            <w:r>
              <w:rPr>
                <w:b w:val="0"/>
                <w:i w:val="0"/>
                <w:sz w:val="18"/>
              </w:rPr>
              <w:t>Fixed rate share</w:t>
            </w:r>
          </w:p>
        </w:tc>
        <w:tc>
          <w:tcPr>
            <w:tcW w:type="dxa" w:w="1701"/>
            <w:shd w:val="clear" w:color="auto" w:fill="F8FAFC"/>
          </w:tcPr>
          <w:p>
            <w:pPr>
              <w:jc w:val="left"/>
            </w:pPr>
            <w:r/>
            <w:r>
              <w:rPr>
                <w:b w:val="0"/>
                <w:i w:val="0"/>
                <w:sz w:val="18"/>
              </w:rPr>
              <w:t>40%</w:t>
            </w:r>
          </w:p>
        </w:tc>
        <w:tc>
          <w:tcPr>
            <w:tcW w:type="dxa" w:w="1701"/>
            <w:shd w:val="clear" w:color="auto" w:fill="F8FAFC"/>
          </w:tcPr>
          <w:p>
            <w:pPr>
              <w:jc w:val="left"/>
            </w:pPr>
            <w:r/>
            <w:r>
              <w:rPr>
                <w:b w:val="0"/>
                <w:i w:val="0"/>
                <w:sz w:val="18"/>
              </w:rPr>
              <w:t>70%</w:t>
            </w:r>
          </w:p>
        </w:tc>
        <w:tc>
          <w:tcPr>
            <w:tcW w:type="dxa" w:w="1701"/>
            <w:shd w:val="clear" w:color="auto" w:fill="F8FAFC"/>
          </w:tcPr>
          <w:p>
            <w:pPr>
              <w:jc w:val="left"/>
            </w:pPr>
            <w:r/>
            <w:r>
              <w:rPr>
                <w:b w:val="0"/>
                <w:i w:val="0"/>
                <w:sz w:val="18"/>
              </w:rPr>
              <w:t>74%</w:t>
            </w:r>
          </w:p>
        </w:tc>
        <w:tc>
          <w:tcPr>
            <w:tcW w:type="dxa" w:w="1701"/>
            <w:shd w:val="clear" w:color="auto" w:fill="F8FAFC"/>
          </w:tcPr>
          <w:p>
            <w:pPr>
              <w:jc w:val="left"/>
            </w:pPr>
            <w:r/>
            <w:r>
              <w:rPr>
                <w:b w:val="0"/>
                <w:i w:val="0"/>
                <w:sz w:val="18"/>
              </w:rPr>
              <w:t>72%</w:t>
            </w:r>
          </w:p>
        </w:tc>
      </w:tr>
      <w:tr>
        <w:tc>
          <w:tcPr>
            <w:tcW w:type="dxa" w:w="2835"/>
            <w:shd w:val="clear" w:color="auto" w:fill="FFFFFF"/>
          </w:tcPr>
          <w:p>
            <w:pPr>
              <w:jc w:val="left"/>
            </w:pPr>
            <w:r/>
            <w:r>
              <w:rPr>
                <w:b w:val="0"/>
                <w:i w:val="0"/>
                <w:sz w:val="18"/>
              </w:rPr>
              <w:t>Variable rate share</w:t>
            </w:r>
          </w:p>
        </w:tc>
        <w:tc>
          <w:tcPr>
            <w:tcW w:type="dxa" w:w="1701"/>
            <w:shd w:val="clear" w:color="auto" w:fill="FFFFFF"/>
          </w:tcPr>
          <w:p>
            <w:pPr>
              <w:jc w:val="left"/>
            </w:pPr>
            <w:r/>
            <w:r>
              <w:rPr>
                <w:b w:val="0"/>
                <w:i w:val="0"/>
                <w:sz w:val="18"/>
              </w:rPr>
              <w:t>60%</w:t>
            </w:r>
          </w:p>
        </w:tc>
        <w:tc>
          <w:tcPr>
            <w:tcW w:type="dxa" w:w="1701"/>
            <w:shd w:val="clear" w:color="auto" w:fill="FFFFFF"/>
          </w:tcPr>
          <w:p>
            <w:pPr>
              <w:jc w:val="left"/>
            </w:pPr>
            <w:r/>
            <w:r>
              <w:rPr>
                <w:b w:val="0"/>
                <w:i w:val="0"/>
                <w:sz w:val="18"/>
              </w:rPr>
              <w:t>30%</w:t>
            </w:r>
          </w:p>
        </w:tc>
        <w:tc>
          <w:tcPr>
            <w:tcW w:type="dxa" w:w="1701"/>
            <w:shd w:val="clear" w:color="auto" w:fill="FFFFFF"/>
          </w:tcPr>
          <w:p>
            <w:pPr>
              <w:jc w:val="left"/>
            </w:pPr>
            <w:r/>
            <w:r>
              <w:rPr>
                <w:b w:val="0"/>
                <w:i w:val="0"/>
                <w:sz w:val="18"/>
              </w:rPr>
              <w:t>26%</w:t>
            </w:r>
          </w:p>
        </w:tc>
        <w:tc>
          <w:tcPr>
            <w:tcW w:type="dxa" w:w="1701"/>
            <w:shd w:val="clear" w:color="auto" w:fill="FFFFFF"/>
          </w:tcPr>
          <w:p>
            <w:pPr>
              <w:jc w:val="left"/>
            </w:pPr>
            <w:r/>
            <w:r>
              <w:rPr>
                <w:b w:val="0"/>
                <w:i w:val="0"/>
                <w:sz w:val="18"/>
              </w:rPr>
              <w:t>28%</w:t>
            </w:r>
          </w:p>
        </w:tc>
      </w:tr>
      <w:tr>
        <w:tc>
          <w:tcPr>
            <w:tcW w:type="dxa" w:w="2835"/>
            <w:shd w:val="clear" w:color="auto" w:fill="F8FAFC"/>
          </w:tcPr>
          <w:p>
            <w:pPr>
              <w:jc w:val="left"/>
            </w:pPr>
            <w:r/>
            <w:r>
              <w:rPr>
                <w:b w:val="0"/>
                <w:i w:val="0"/>
                <w:sz w:val="18"/>
              </w:rPr>
              <w:t>Euribor 12m (year-end)</w:t>
            </w:r>
          </w:p>
        </w:tc>
        <w:tc>
          <w:tcPr>
            <w:tcW w:type="dxa" w:w="1701"/>
            <w:shd w:val="clear" w:color="auto" w:fill="F8FAFC"/>
          </w:tcPr>
          <w:p>
            <w:pPr>
              <w:jc w:val="left"/>
            </w:pPr>
            <w:r/>
            <w:r>
              <w:rPr>
                <w:b w:val="0"/>
                <w:i w:val="0"/>
                <w:sz w:val="18"/>
              </w:rPr>
              <w:t>−0.27%</w:t>
            </w:r>
          </w:p>
        </w:tc>
        <w:tc>
          <w:tcPr>
            <w:tcW w:type="dxa" w:w="1701"/>
            <w:shd w:val="clear" w:color="auto" w:fill="F8FAFC"/>
          </w:tcPr>
          <w:p>
            <w:pPr>
              <w:jc w:val="left"/>
            </w:pPr>
            <w:r/>
            <w:r>
              <w:rPr>
                <w:b w:val="0"/>
                <w:i w:val="0"/>
                <w:sz w:val="18"/>
              </w:rPr>
              <w:t>3.02%</w:t>
            </w:r>
          </w:p>
        </w:tc>
        <w:tc>
          <w:tcPr>
            <w:tcW w:type="dxa" w:w="1701"/>
            <w:shd w:val="clear" w:color="auto" w:fill="F8FAFC"/>
          </w:tcPr>
          <w:p>
            <w:pPr>
              <w:jc w:val="left"/>
            </w:pPr>
            <w:r/>
            <w:r>
              <w:rPr>
                <w:b w:val="0"/>
                <w:i w:val="0"/>
                <w:sz w:val="18"/>
              </w:rPr>
              <w:t>2.52%</w:t>
            </w:r>
          </w:p>
        </w:tc>
        <w:tc>
          <w:tcPr>
            <w:tcW w:type="dxa" w:w="1701"/>
            <w:shd w:val="clear" w:color="auto" w:fill="F8FAFC"/>
          </w:tcPr>
          <w:p>
            <w:pPr>
              <w:jc w:val="left"/>
            </w:pPr>
            <w:r/>
            <w:r>
              <w:rPr>
                <w:b w:val="0"/>
                <w:i w:val="0"/>
                <w:sz w:val="18"/>
              </w:rPr>
              <w:t>~2.3%</w:t>
            </w:r>
          </w:p>
        </w:tc>
      </w:tr>
      <w:tr>
        <w:tc>
          <w:tcPr>
            <w:tcW w:type="dxa" w:w="2835"/>
            <w:shd w:val="clear" w:color="auto" w:fill="FFFFFF"/>
          </w:tcPr>
          <w:p>
            <w:pPr>
              <w:jc w:val="left"/>
            </w:pPr>
            <w:r/>
            <w:r>
              <w:rPr>
                <w:b w:val="0"/>
                <w:i w:val="0"/>
                <w:sz w:val="18"/>
              </w:rPr>
              <w:t>Mortgage broker penetration</w:t>
            </w:r>
          </w:p>
        </w:tc>
        <w:tc>
          <w:tcPr>
            <w:tcW w:type="dxa" w:w="1701"/>
            <w:shd w:val="clear" w:color="auto" w:fill="FFFFFF"/>
          </w:tcPr>
          <w:p>
            <w:pPr>
              <w:jc w:val="left"/>
            </w:pPr>
            <w:r/>
            <w:r>
              <w:rPr>
                <w:b w:val="0"/>
                <w:i w:val="0"/>
                <w:sz w:val="18"/>
              </w:rPr>
              <w:t>25%</w:t>
            </w:r>
          </w:p>
        </w:tc>
        <w:tc>
          <w:tcPr>
            <w:tcW w:type="dxa" w:w="1701"/>
            <w:shd w:val="clear" w:color="auto" w:fill="FFFFFF"/>
          </w:tcPr>
          <w:p>
            <w:pPr>
              <w:jc w:val="left"/>
            </w:pPr>
            <w:r/>
            <w:r>
              <w:rPr>
                <w:b w:val="0"/>
                <w:i w:val="0"/>
                <w:sz w:val="18"/>
              </w:rPr>
              <w:t>28%</w:t>
            </w:r>
          </w:p>
        </w:tc>
        <w:tc>
          <w:tcPr>
            <w:tcW w:type="dxa" w:w="1701"/>
            <w:shd w:val="clear" w:color="auto" w:fill="FFFFFF"/>
          </w:tcPr>
          <w:p>
            <w:pPr>
              <w:jc w:val="left"/>
            </w:pPr>
            <w:r/>
            <w:r>
              <w:rPr>
                <w:b w:val="0"/>
                <w:i w:val="0"/>
                <w:sz w:val="18"/>
              </w:rPr>
              <w:t>30%</w:t>
            </w:r>
          </w:p>
        </w:tc>
        <w:tc>
          <w:tcPr>
            <w:tcW w:type="dxa" w:w="1701"/>
            <w:shd w:val="clear" w:color="auto" w:fill="FFFFFF"/>
          </w:tcPr>
          <w:p>
            <w:pPr>
              <w:jc w:val="left"/>
            </w:pPr>
            <w:r/>
            <w:r>
              <w:rPr>
                <w:b w:val="0"/>
                <w:i w:val="0"/>
                <w:sz w:val="18"/>
              </w:rPr>
              <w:t>32%</w:t>
            </w:r>
          </w:p>
        </w:tc>
      </w:tr>
    </w:tbl>
    <w:p/>
    <w:p>
      <w:r>
        <w:br w:type="page"/>
      </w:r>
    </w:p>
    <w:p>
      <w:pPr>
        <w:spacing w:before="360" w:after="120"/>
      </w:pPr>
      <w:r>
        <w:rPr>
          <w:b/>
          <w:color w:val="0A1628"/>
          <w:sz w:val="36"/>
        </w:rPr>
        <w:t>SECTION B — KNOWLEDGE OF THE SPANISH REAL ESTATE MARKET</w:t>
      </w:r>
    </w:p>
    <w:p>
      <w:pPr>
        <w:spacing w:before="240" w:after="80"/>
      </w:pPr>
      <w:r>
        <w:rPr>
          <w:b/>
          <w:color w:val="0A1628"/>
          <w:sz w:val="28"/>
        </w:rPr>
        <w:t>B1. Market Structure: Key Players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701"/>
            <w:shd w:val="clear" w:color="auto" w:fill="0A1628"/>
          </w:tcPr>
          <w:p>
            <w:pPr>
              <w:jc w:val="left"/>
            </w:pPr>
            <w:r/>
            <w:r>
              <w:rPr>
                <w:b/>
                <w:i w:val="0"/>
                <w:color w:val="FFFFFF"/>
                <w:sz w:val="18"/>
              </w:rPr>
              <w:t>Player</w:t>
            </w:r>
          </w:p>
        </w:tc>
        <w:tc>
          <w:tcPr>
            <w:tcW w:type="dxa" w:w="1701"/>
            <w:shd w:val="clear" w:color="auto" w:fill="0A1628"/>
          </w:tcPr>
          <w:p>
            <w:pPr>
              <w:jc w:val="left"/>
            </w:pPr>
            <w:r/>
            <w:r>
              <w:rPr>
                <w:b/>
                <w:i w:val="0"/>
                <w:color w:val="FFFFFF"/>
                <w:sz w:val="18"/>
              </w:rPr>
              <w:t>Type</w:t>
            </w:r>
          </w:p>
        </w:tc>
        <w:tc>
          <w:tcPr>
            <w:tcW w:type="dxa" w:w="1984"/>
            <w:shd w:val="clear" w:color="auto" w:fill="0A1628"/>
          </w:tcPr>
          <w:p>
            <w:pPr>
              <w:jc w:val="left"/>
            </w:pPr>
            <w:r/>
            <w:r>
              <w:rPr>
                <w:b/>
                <w:i w:val="0"/>
                <w:color w:val="FFFFFF"/>
                <w:sz w:val="18"/>
              </w:rPr>
              <w:t>Model</w:t>
            </w:r>
          </w:p>
        </w:tc>
        <w:tc>
          <w:tcPr>
            <w:tcW w:type="dxa" w:w="1417"/>
            <w:shd w:val="clear" w:color="auto" w:fill="0A1628"/>
          </w:tcPr>
          <w:p>
            <w:pPr>
              <w:jc w:val="left"/>
            </w:pPr>
            <w:r/>
            <w:r>
              <w:rPr>
                <w:b/>
                <w:i w:val="0"/>
                <w:color w:val="FFFFFF"/>
                <w:sz w:val="18"/>
              </w:rPr>
              <w:t>Agents (Spain)</w:t>
            </w:r>
          </w:p>
        </w:tc>
        <w:tc>
          <w:tcPr>
            <w:tcW w:type="dxa" w:w="1417"/>
            <w:shd w:val="clear" w:color="auto" w:fill="0A1628"/>
          </w:tcPr>
          <w:p>
            <w:pPr>
              <w:jc w:val="left"/>
            </w:pPr>
            <w:r/>
            <w:r>
              <w:rPr>
                <w:b/>
                <w:i w:val="0"/>
                <w:color w:val="FFFFFF"/>
                <w:sz w:val="18"/>
              </w:rPr>
              <w:t>Málaga Presence</w:t>
            </w:r>
          </w:p>
        </w:tc>
        <w:tc>
          <w:tcPr>
            <w:tcW w:type="dxa" w:w="2268"/>
            <w:shd w:val="clear" w:color="auto" w:fill="0A1628"/>
          </w:tcPr>
          <w:p>
            <w:pPr>
              <w:jc w:val="left"/>
            </w:pPr>
            <w:r/>
            <w:r>
              <w:rPr>
                <w:b/>
                <w:i w:val="0"/>
                <w:color w:val="FFFFFF"/>
                <w:sz w:val="18"/>
              </w:rPr>
              <w:t>Notes</w:t>
            </w:r>
          </w:p>
        </w:tc>
      </w:tr>
      <w:tr>
        <w:tc>
          <w:tcPr>
            <w:tcW w:type="dxa" w:w="1701"/>
            <w:shd w:val="clear" w:color="auto" w:fill="F8FAFC"/>
          </w:tcPr>
          <w:p>
            <w:pPr>
              <w:jc w:val="left"/>
            </w:pPr>
            <w:r/>
            <w:r>
              <w:rPr>
                <w:b w:val="0"/>
                <w:i w:val="0"/>
                <w:sz w:val="18"/>
              </w:rPr>
              <w:t>RE/MAX Spain</w:t>
            </w:r>
          </w:p>
        </w:tc>
        <w:tc>
          <w:tcPr>
            <w:tcW w:type="dxa" w:w="1701"/>
            <w:shd w:val="clear" w:color="auto" w:fill="F8FAFC"/>
          </w:tcPr>
          <w:p>
            <w:pPr>
              <w:jc w:val="left"/>
            </w:pPr>
            <w:r/>
            <w:r>
              <w:rPr>
                <w:b w:val="0"/>
                <w:i w:val="0"/>
                <w:sz w:val="18"/>
              </w:rPr>
              <w:t>Franchise</w:t>
            </w:r>
          </w:p>
        </w:tc>
        <w:tc>
          <w:tcPr>
            <w:tcW w:type="dxa" w:w="1984"/>
            <w:shd w:val="clear" w:color="auto" w:fill="F8FAFC"/>
          </w:tcPr>
          <w:p>
            <w:pPr>
              <w:jc w:val="left"/>
            </w:pPr>
            <w:r/>
            <w:r>
              <w:rPr>
                <w:b w:val="0"/>
                <w:i w:val="0"/>
                <w:sz w:val="18"/>
              </w:rPr>
              <w:t>Fixed fee + royalty</w:t>
            </w:r>
          </w:p>
        </w:tc>
        <w:tc>
          <w:tcPr>
            <w:tcW w:type="dxa" w:w="1417"/>
            <w:shd w:val="clear" w:color="auto" w:fill="F8FAFC"/>
          </w:tcPr>
          <w:p>
            <w:pPr>
              <w:jc w:val="left"/>
            </w:pPr>
            <w:r/>
            <w:r>
              <w:rPr>
                <w:b w:val="0"/>
                <w:i w:val="0"/>
                <w:sz w:val="18"/>
              </w:rPr>
              <w:t>3,200+</w:t>
            </w:r>
          </w:p>
        </w:tc>
        <w:tc>
          <w:tcPr>
            <w:tcW w:type="dxa" w:w="1417"/>
            <w:shd w:val="clear" w:color="auto" w:fill="F8FAFC"/>
          </w:tcPr>
          <w:p>
            <w:pPr>
              <w:jc w:val="left"/>
            </w:pPr>
            <w:r/>
            <w:r>
              <w:rPr>
                <w:b w:val="0"/>
                <w:i w:val="0"/>
                <w:sz w:val="18"/>
              </w:rPr>
              <w:t>Strong</w:t>
            </w:r>
          </w:p>
        </w:tc>
        <w:tc>
          <w:tcPr>
            <w:tcW w:type="dxa" w:w="2268"/>
            <w:shd w:val="clear" w:color="auto" w:fill="F8FAFC"/>
          </w:tcPr>
          <w:p>
            <w:pPr>
              <w:jc w:val="left"/>
            </w:pPr>
            <w:r/>
            <w:r>
              <w:rPr>
                <w:b w:val="0"/>
                <w:i w:val="0"/>
                <w:sz w:val="18"/>
              </w:rPr>
              <w:t>Largest by agent count</w:t>
            </w:r>
          </w:p>
        </w:tc>
      </w:tr>
      <w:tr>
        <w:tc>
          <w:tcPr>
            <w:tcW w:type="dxa" w:w="1701"/>
            <w:shd w:val="clear" w:color="auto" w:fill="FFFFFF"/>
          </w:tcPr>
          <w:p>
            <w:pPr>
              <w:jc w:val="left"/>
            </w:pPr>
            <w:r/>
            <w:r>
              <w:rPr>
                <w:b w:val="0"/>
                <w:i w:val="0"/>
                <w:sz w:val="18"/>
              </w:rPr>
              <w:t>Engel &amp; Völkers</w:t>
            </w:r>
          </w:p>
        </w:tc>
        <w:tc>
          <w:tcPr>
            <w:tcW w:type="dxa" w:w="1701"/>
            <w:shd w:val="clear" w:color="auto" w:fill="FFFFFF"/>
          </w:tcPr>
          <w:p>
            <w:pPr>
              <w:jc w:val="left"/>
            </w:pPr>
            <w:r/>
            <w:r>
              <w:rPr>
                <w:b w:val="0"/>
                <w:i w:val="0"/>
                <w:sz w:val="18"/>
              </w:rPr>
              <w:t>Franchise</w:t>
            </w:r>
          </w:p>
        </w:tc>
        <w:tc>
          <w:tcPr>
            <w:tcW w:type="dxa" w:w="1984"/>
            <w:shd w:val="clear" w:color="auto" w:fill="FFFFFF"/>
          </w:tcPr>
          <w:p>
            <w:pPr>
              <w:jc w:val="left"/>
            </w:pPr>
            <w:r/>
            <w:r>
              <w:rPr>
                <w:b w:val="0"/>
                <w:i w:val="0"/>
                <w:sz w:val="18"/>
              </w:rPr>
              <w:t>Commission split</w:t>
            </w:r>
          </w:p>
        </w:tc>
        <w:tc>
          <w:tcPr>
            <w:tcW w:type="dxa" w:w="1417"/>
            <w:shd w:val="clear" w:color="auto" w:fill="FFFFFF"/>
          </w:tcPr>
          <w:p>
            <w:pPr>
              <w:jc w:val="left"/>
            </w:pPr>
            <w:r/>
            <w:r>
              <w:rPr>
                <w:b w:val="0"/>
                <w:i w:val="0"/>
                <w:sz w:val="18"/>
              </w:rPr>
              <w:t>1,100+</w:t>
            </w:r>
          </w:p>
        </w:tc>
        <w:tc>
          <w:tcPr>
            <w:tcW w:type="dxa" w:w="1417"/>
            <w:shd w:val="clear" w:color="auto" w:fill="FFFFFF"/>
          </w:tcPr>
          <w:p>
            <w:pPr>
              <w:jc w:val="left"/>
            </w:pPr>
            <w:r/>
            <w:r>
              <w:rPr>
                <w:b w:val="0"/>
                <w:i w:val="0"/>
                <w:sz w:val="18"/>
              </w:rPr>
              <w:t>Very Strong</w:t>
            </w:r>
          </w:p>
        </w:tc>
        <w:tc>
          <w:tcPr>
            <w:tcW w:type="dxa" w:w="2268"/>
            <w:shd w:val="clear" w:color="auto" w:fill="FFFFFF"/>
          </w:tcPr>
          <w:p>
            <w:pPr>
              <w:jc w:val="left"/>
            </w:pPr>
            <w:r/>
            <w:r>
              <w:rPr>
                <w:b w:val="0"/>
                <w:i w:val="0"/>
                <w:sz w:val="18"/>
              </w:rPr>
              <w:t>Luxury leader; fined €22M for misclassification</w:t>
            </w:r>
          </w:p>
        </w:tc>
      </w:tr>
      <w:tr>
        <w:tc>
          <w:tcPr>
            <w:tcW w:type="dxa" w:w="1701"/>
            <w:shd w:val="clear" w:color="auto" w:fill="F8FAFC"/>
          </w:tcPr>
          <w:p>
            <w:pPr>
              <w:jc w:val="left"/>
            </w:pPr>
            <w:r/>
            <w:r>
              <w:rPr>
                <w:b w:val="0"/>
                <w:i w:val="0"/>
                <w:sz w:val="18"/>
              </w:rPr>
              <w:t>Tecnocasa</w:t>
            </w:r>
          </w:p>
        </w:tc>
        <w:tc>
          <w:tcPr>
            <w:tcW w:type="dxa" w:w="1701"/>
            <w:shd w:val="clear" w:color="auto" w:fill="F8FAFC"/>
          </w:tcPr>
          <w:p>
            <w:pPr>
              <w:jc w:val="left"/>
            </w:pPr>
            <w:r/>
            <w:r>
              <w:rPr>
                <w:b w:val="0"/>
                <w:i w:val="0"/>
                <w:sz w:val="18"/>
              </w:rPr>
              <w:t>Franchise</w:t>
            </w:r>
          </w:p>
        </w:tc>
        <w:tc>
          <w:tcPr>
            <w:tcW w:type="dxa" w:w="1984"/>
            <w:shd w:val="clear" w:color="auto" w:fill="F8FAFC"/>
          </w:tcPr>
          <w:p>
            <w:pPr>
              <w:jc w:val="left"/>
            </w:pPr>
            <w:r/>
            <w:r>
              <w:rPr>
                <w:b w:val="0"/>
                <w:i w:val="0"/>
                <w:sz w:val="18"/>
              </w:rPr>
              <w:t>High-volume low-ticket</w:t>
            </w:r>
          </w:p>
        </w:tc>
        <w:tc>
          <w:tcPr>
            <w:tcW w:type="dxa" w:w="1417"/>
            <w:shd w:val="clear" w:color="auto" w:fill="F8FAFC"/>
          </w:tcPr>
          <w:p>
            <w:pPr>
              <w:jc w:val="left"/>
            </w:pPr>
            <w:r/>
            <w:r>
              <w:rPr>
                <w:b w:val="0"/>
                <w:i w:val="0"/>
                <w:sz w:val="18"/>
              </w:rPr>
              <w:t>900+</w:t>
            </w:r>
          </w:p>
        </w:tc>
        <w:tc>
          <w:tcPr>
            <w:tcW w:type="dxa" w:w="1417"/>
            <w:shd w:val="clear" w:color="auto" w:fill="F8FAFC"/>
          </w:tcPr>
          <w:p>
            <w:pPr>
              <w:jc w:val="left"/>
            </w:pPr>
            <w:r/>
            <w:r>
              <w:rPr>
                <w:b w:val="0"/>
                <w:i w:val="0"/>
                <w:sz w:val="18"/>
              </w:rPr>
              <w:t>Strong</w:t>
            </w:r>
          </w:p>
        </w:tc>
        <w:tc>
          <w:tcPr>
            <w:tcW w:type="dxa" w:w="2268"/>
            <w:shd w:val="clear" w:color="auto" w:fill="F8FAFC"/>
          </w:tcPr>
          <w:p>
            <w:pPr>
              <w:jc w:val="left"/>
            </w:pPr>
            <w:r/>
            <w:r>
              <w:rPr>
                <w:b w:val="0"/>
                <w:i w:val="0"/>
                <w:sz w:val="18"/>
              </w:rPr>
              <w:t>Traditional model</w:t>
            </w:r>
          </w:p>
        </w:tc>
      </w:tr>
      <w:tr>
        <w:tc>
          <w:tcPr>
            <w:tcW w:type="dxa" w:w="1701"/>
            <w:shd w:val="clear" w:color="auto" w:fill="FFFFFF"/>
          </w:tcPr>
          <w:p>
            <w:pPr>
              <w:jc w:val="left"/>
            </w:pPr>
            <w:r/>
            <w:r>
              <w:rPr>
                <w:b w:val="0"/>
                <w:i w:val="0"/>
                <w:sz w:val="18"/>
              </w:rPr>
              <w:t>Century 21</w:t>
            </w:r>
          </w:p>
        </w:tc>
        <w:tc>
          <w:tcPr>
            <w:tcW w:type="dxa" w:w="1701"/>
            <w:shd w:val="clear" w:color="auto" w:fill="FFFFFF"/>
          </w:tcPr>
          <w:p>
            <w:pPr>
              <w:jc w:val="left"/>
            </w:pPr>
            <w:r/>
            <w:r>
              <w:rPr>
                <w:b w:val="0"/>
                <w:i w:val="0"/>
                <w:sz w:val="18"/>
              </w:rPr>
              <w:t>Franchise</w:t>
            </w:r>
          </w:p>
        </w:tc>
        <w:tc>
          <w:tcPr>
            <w:tcW w:type="dxa" w:w="1984"/>
            <w:shd w:val="clear" w:color="auto" w:fill="FFFFFF"/>
          </w:tcPr>
          <w:p>
            <w:pPr>
              <w:jc w:val="left"/>
            </w:pPr>
            <w:r/>
            <w:r>
              <w:rPr>
                <w:b w:val="0"/>
                <w:i w:val="0"/>
                <w:sz w:val="18"/>
              </w:rPr>
              <w:t>Commission split</w:t>
            </w:r>
          </w:p>
        </w:tc>
        <w:tc>
          <w:tcPr>
            <w:tcW w:type="dxa" w:w="1417"/>
            <w:shd w:val="clear" w:color="auto" w:fill="FFFFFF"/>
          </w:tcPr>
          <w:p>
            <w:pPr>
              <w:jc w:val="left"/>
            </w:pPr>
            <w:r/>
            <w:r>
              <w:rPr>
                <w:b w:val="0"/>
                <w:i w:val="0"/>
                <w:sz w:val="18"/>
              </w:rPr>
              <w:t>400+</w:t>
            </w:r>
          </w:p>
        </w:tc>
        <w:tc>
          <w:tcPr>
            <w:tcW w:type="dxa" w:w="1417"/>
            <w:shd w:val="clear" w:color="auto" w:fill="FFFFFF"/>
          </w:tcPr>
          <w:p>
            <w:pPr>
              <w:jc w:val="left"/>
            </w:pPr>
            <w:r/>
            <w:r>
              <w:rPr>
                <w:b w:val="0"/>
                <w:i w:val="0"/>
                <w:sz w:val="18"/>
              </w:rPr>
              <w:t>Growing</w:t>
            </w:r>
          </w:p>
        </w:tc>
        <w:tc>
          <w:tcPr>
            <w:tcW w:type="dxa" w:w="2268"/>
            <w:shd w:val="clear" w:color="auto" w:fill="FFFFFF"/>
          </w:tcPr>
          <w:p>
            <w:pPr>
              <w:jc w:val="left"/>
            </w:pPr>
            <w:r/>
            <w:r>
              <w:rPr>
                <w:b w:val="0"/>
                <w:i w:val="0"/>
                <w:sz w:val="18"/>
              </w:rPr>
              <w:t>US franchise, expanding</w:t>
            </w:r>
          </w:p>
        </w:tc>
      </w:tr>
      <w:tr>
        <w:tc>
          <w:tcPr>
            <w:tcW w:type="dxa" w:w="1701"/>
            <w:shd w:val="clear" w:color="auto" w:fill="F8FAFC"/>
          </w:tcPr>
          <w:p>
            <w:pPr>
              <w:jc w:val="left"/>
            </w:pPr>
            <w:r/>
            <w:r>
              <w:rPr>
                <w:b w:val="0"/>
                <w:i w:val="0"/>
                <w:sz w:val="18"/>
              </w:rPr>
              <w:t>Inmobiliarias independientes</w:t>
            </w:r>
          </w:p>
        </w:tc>
        <w:tc>
          <w:tcPr>
            <w:tcW w:type="dxa" w:w="1701"/>
            <w:shd w:val="clear" w:color="auto" w:fill="F8FAFC"/>
          </w:tcPr>
          <w:p>
            <w:pPr>
              <w:jc w:val="left"/>
            </w:pPr>
            <w:r/>
            <w:r>
              <w:rPr>
                <w:b w:val="0"/>
                <w:i w:val="0"/>
                <w:sz w:val="18"/>
              </w:rPr>
              <w:t>Independent</w:t>
            </w:r>
          </w:p>
        </w:tc>
        <w:tc>
          <w:tcPr>
            <w:tcW w:type="dxa" w:w="1984"/>
            <w:shd w:val="clear" w:color="auto" w:fill="F8FAFC"/>
          </w:tcPr>
          <w:p>
            <w:pPr>
              <w:jc w:val="left"/>
            </w:pPr>
            <w:r/>
            <w:r>
              <w:rPr>
                <w:b w:val="0"/>
                <w:i w:val="0"/>
                <w:sz w:val="18"/>
              </w:rPr>
              <w:t>Variable</w:t>
            </w:r>
          </w:p>
        </w:tc>
        <w:tc>
          <w:tcPr>
            <w:tcW w:type="dxa" w:w="1417"/>
            <w:shd w:val="clear" w:color="auto" w:fill="F8FAFC"/>
          </w:tcPr>
          <w:p>
            <w:pPr>
              <w:jc w:val="left"/>
            </w:pPr>
            <w:r/>
            <w:r>
              <w:rPr>
                <w:b w:val="0"/>
                <w:i w:val="0"/>
                <w:sz w:val="18"/>
              </w:rPr>
              <w:t>20,000+</w:t>
            </w:r>
          </w:p>
        </w:tc>
        <w:tc>
          <w:tcPr>
            <w:tcW w:type="dxa" w:w="1417"/>
            <w:shd w:val="clear" w:color="auto" w:fill="F8FAFC"/>
          </w:tcPr>
          <w:p>
            <w:pPr>
              <w:jc w:val="left"/>
            </w:pPr>
            <w:r/>
            <w:r>
              <w:rPr>
                <w:b w:val="0"/>
                <w:i w:val="0"/>
                <w:sz w:val="18"/>
              </w:rPr>
              <w:t>Dominant</w:t>
            </w:r>
          </w:p>
        </w:tc>
        <w:tc>
          <w:tcPr>
            <w:tcW w:type="dxa" w:w="2268"/>
            <w:shd w:val="clear" w:color="auto" w:fill="F8FAFC"/>
          </w:tcPr>
          <w:p>
            <w:pPr>
              <w:jc w:val="left"/>
            </w:pPr>
            <w:r/>
            <w:r>
              <w:rPr>
                <w:b w:val="0"/>
                <w:i w:val="0"/>
                <w:sz w:val="18"/>
              </w:rPr>
              <w:t>&gt;60% of market</w:t>
            </w:r>
          </w:p>
        </w:tc>
      </w:tr>
      <w:tr>
        <w:tc>
          <w:tcPr>
            <w:tcW w:type="dxa" w:w="1701"/>
            <w:shd w:val="clear" w:color="auto" w:fill="FFFFFF"/>
          </w:tcPr>
          <w:p>
            <w:pPr>
              <w:jc w:val="left"/>
            </w:pPr>
            <w:r/>
            <w:r>
              <w:rPr>
                <w:b w:val="0"/>
                <w:i w:val="0"/>
                <w:sz w:val="18"/>
              </w:rPr>
              <w:t>Huspy</w:t>
            </w:r>
          </w:p>
        </w:tc>
        <w:tc>
          <w:tcPr>
            <w:tcW w:type="dxa" w:w="1701"/>
            <w:shd w:val="clear" w:color="auto" w:fill="FFFFFF"/>
          </w:tcPr>
          <w:p>
            <w:pPr>
              <w:jc w:val="left"/>
            </w:pPr>
            <w:r/>
            <w:r>
              <w:rPr>
                <w:b w:val="0"/>
                <w:i w:val="0"/>
                <w:sz w:val="18"/>
              </w:rPr>
              <w:t>Tech-enabled</w:t>
            </w:r>
          </w:p>
        </w:tc>
        <w:tc>
          <w:tcPr>
            <w:tcW w:type="dxa" w:w="1984"/>
            <w:shd w:val="clear" w:color="auto" w:fill="FFFFFF"/>
          </w:tcPr>
          <w:p>
            <w:pPr>
              <w:jc w:val="left"/>
            </w:pPr>
            <w:r/>
            <w:r>
              <w:rPr>
                <w:b w:val="0"/>
                <w:i w:val="0"/>
                <w:sz w:val="18"/>
              </w:rPr>
              <w:t>Commission + mortgage</w:t>
            </w:r>
          </w:p>
        </w:tc>
        <w:tc>
          <w:tcPr>
            <w:tcW w:type="dxa" w:w="1417"/>
            <w:shd w:val="clear" w:color="auto" w:fill="FFFFFF"/>
          </w:tcPr>
          <w:p>
            <w:pPr>
              <w:jc w:val="left"/>
            </w:pPr>
            <w:r/>
            <w:r>
              <w:rPr>
                <w:b w:val="0"/>
                <w:i w:val="0"/>
                <w:sz w:val="18"/>
              </w:rPr>
              <w:t>300+</w:t>
            </w:r>
          </w:p>
        </w:tc>
        <w:tc>
          <w:tcPr>
            <w:tcW w:type="dxa" w:w="1417"/>
            <w:shd w:val="clear" w:color="auto" w:fill="FFFFFF"/>
          </w:tcPr>
          <w:p>
            <w:pPr>
              <w:jc w:val="left"/>
            </w:pPr>
            <w:r/>
            <w:r>
              <w:rPr>
                <w:b w:val="0"/>
                <w:i w:val="0"/>
                <w:sz w:val="18"/>
              </w:rPr>
              <w:t>Growing</w:t>
            </w:r>
          </w:p>
        </w:tc>
        <w:tc>
          <w:tcPr>
            <w:tcW w:type="dxa" w:w="2268"/>
            <w:shd w:val="clear" w:color="auto" w:fill="FFFFFF"/>
          </w:tcPr>
          <w:p>
            <w:pPr>
              <w:jc w:val="left"/>
            </w:pPr>
            <w:r/>
            <w:r>
              <w:rPr>
                <w:b w:val="0"/>
                <w:i w:val="0"/>
                <w:sz w:val="18"/>
              </w:rPr>
              <w:t>Series B; 20× growth 2024</w:t>
            </w:r>
          </w:p>
        </w:tc>
      </w:tr>
      <w:tr>
        <w:tc>
          <w:tcPr>
            <w:tcW w:type="dxa" w:w="1701"/>
            <w:shd w:val="clear" w:color="auto" w:fill="F8FAFC"/>
          </w:tcPr>
          <w:p>
            <w:pPr>
              <w:jc w:val="left"/>
            </w:pPr>
            <w:r/>
            <w:r>
              <w:rPr>
                <w:b w:val="0"/>
                <w:i w:val="0"/>
                <w:sz w:val="18"/>
              </w:rPr>
              <w:t>Housfy</w:t>
            </w:r>
          </w:p>
        </w:tc>
        <w:tc>
          <w:tcPr>
            <w:tcW w:type="dxa" w:w="1701"/>
            <w:shd w:val="clear" w:color="auto" w:fill="F8FAFC"/>
          </w:tcPr>
          <w:p>
            <w:pPr>
              <w:jc w:val="left"/>
            </w:pPr>
            <w:r/>
            <w:r>
              <w:rPr>
                <w:b w:val="0"/>
                <w:i w:val="0"/>
                <w:sz w:val="18"/>
              </w:rPr>
              <w:t>Online/discount</w:t>
            </w:r>
          </w:p>
        </w:tc>
        <w:tc>
          <w:tcPr>
            <w:tcW w:type="dxa" w:w="1984"/>
            <w:shd w:val="clear" w:color="auto" w:fill="F8FAFC"/>
          </w:tcPr>
          <w:p>
            <w:pPr>
              <w:jc w:val="left"/>
            </w:pPr>
            <w:r/>
            <w:r>
              <w:rPr>
                <w:b w:val="0"/>
                <w:i w:val="0"/>
                <w:sz w:val="18"/>
              </w:rPr>
              <w:t>Fixed fee</w:t>
            </w:r>
          </w:p>
        </w:tc>
        <w:tc>
          <w:tcPr>
            <w:tcW w:type="dxa" w:w="1417"/>
            <w:shd w:val="clear" w:color="auto" w:fill="F8FAFC"/>
          </w:tcPr>
          <w:p>
            <w:pPr>
              <w:jc w:val="left"/>
            </w:pPr>
            <w:r/>
            <w:r>
              <w:rPr>
                <w:b w:val="0"/>
                <w:i w:val="0"/>
                <w:sz w:val="18"/>
              </w:rPr>
              <w:t>N/A</w:t>
            </w:r>
          </w:p>
        </w:tc>
        <w:tc>
          <w:tcPr>
            <w:tcW w:type="dxa" w:w="1417"/>
            <w:shd w:val="clear" w:color="auto" w:fill="F8FAFC"/>
          </w:tcPr>
          <w:p>
            <w:pPr>
              <w:jc w:val="left"/>
            </w:pPr>
            <w:r/>
            <w:r>
              <w:rPr>
                <w:b w:val="0"/>
                <w:i w:val="0"/>
                <w:sz w:val="18"/>
              </w:rPr>
              <w:t>Limited</w:t>
            </w:r>
          </w:p>
        </w:tc>
        <w:tc>
          <w:tcPr>
            <w:tcW w:type="dxa" w:w="2268"/>
            <w:shd w:val="clear" w:color="auto" w:fill="F8FAFC"/>
          </w:tcPr>
          <w:p>
            <w:pPr>
              <w:jc w:val="left"/>
            </w:pPr>
            <w:r/>
            <w:r>
              <w:rPr>
                <w:b w:val="0"/>
                <w:i w:val="0"/>
                <w:sz w:val="18"/>
              </w:rPr>
              <w:t>Low-cost disruptor</w:t>
            </w:r>
          </w:p>
        </w:tc>
      </w:tr>
      <w:tr>
        <w:tc>
          <w:tcPr>
            <w:tcW w:type="dxa" w:w="1701"/>
            <w:shd w:val="clear" w:color="auto" w:fill="FFFFFF"/>
          </w:tcPr>
          <w:p>
            <w:pPr>
              <w:jc w:val="left"/>
            </w:pPr>
            <w:r/>
            <w:r>
              <w:rPr>
                <w:b w:val="0"/>
                <w:i w:val="0"/>
                <w:sz w:val="18"/>
              </w:rPr>
              <w:t>Idealista</w:t>
            </w:r>
          </w:p>
        </w:tc>
        <w:tc>
          <w:tcPr>
            <w:tcW w:type="dxa" w:w="1701"/>
            <w:shd w:val="clear" w:color="auto" w:fill="FFFFFF"/>
          </w:tcPr>
          <w:p>
            <w:pPr>
              <w:jc w:val="left"/>
            </w:pPr>
            <w:r/>
            <w:r>
              <w:rPr>
                <w:b w:val="0"/>
                <w:i w:val="0"/>
                <w:sz w:val="18"/>
              </w:rPr>
              <w:t>Portal</w:t>
            </w:r>
          </w:p>
        </w:tc>
        <w:tc>
          <w:tcPr>
            <w:tcW w:type="dxa" w:w="1984"/>
            <w:shd w:val="clear" w:color="auto" w:fill="FFFFFF"/>
          </w:tcPr>
          <w:p>
            <w:pPr>
              <w:jc w:val="left"/>
            </w:pPr>
            <w:r/>
            <w:r>
              <w:rPr>
                <w:b w:val="0"/>
                <w:i w:val="0"/>
                <w:sz w:val="18"/>
              </w:rPr>
              <w:t>Listing fees</w:t>
            </w:r>
          </w:p>
        </w:tc>
        <w:tc>
          <w:tcPr>
            <w:tcW w:type="dxa" w:w="1417"/>
            <w:shd w:val="clear" w:color="auto" w:fill="FFFFFF"/>
          </w:tcPr>
          <w:p>
            <w:pPr>
              <w:jc w:val="left"/>
            </w:pPr>
            <w:r/>
            <w:r>
              <w:rPr>
                <w:b w:val="0"/>
                <w:i w:val="0"/>
                <w:sz w:val="18"/>
              </w:rPr>
              <w:t>N/A</w:t>
            </w:r>
          </w:p>
        </w:tc>
        <w:tc>
          <w:tcPr>
            <w:tcW w:type="dxa" w:w="1417"/>
            <w:shd w:val="clear" w:color="auto" w:fill="FFFFFF"/>
          </w:tcPr>
          <w:p>
            <w:pPr>
              <w:jc w:val="left"/>
            </w:pPr>
            <w:r/>
            <w:r>
              <w:rPr>
                <w:b w:val="0"/>
                <w:i w:val="0"/>
                <w:sz w:val="18"/>
              </w:rPr>
              <w:t>Dominant</w:t>
            </w:r>
          </w:p>
        </w:tc>
        <w:tc>
          <w:tcPr>
            <w:tcW w:type="dxa" w:w="2268"/>
            <w:shd w:val="clear" w:color="auto" w:fill="FFFFFF"/>
          </w:tcPr>
          <w:p>
            <w:pPr>
              <w:jc w:val="left"/>
            </w:pPr>
            <w:r/>
            <w:r>
              <w:rPr>
                <w:b w:val="0"/>
                <w:i w:val="0"/>
                <w:sz w:val="18"/>
              </w:rPr>
              <w:t>#1 portal; 50M+ monthly visits</w:t>
            </w:r>
          </w:p>
        </w:tc>
      </w:tr>
      <w:tr>
        <w:tc>
          <w:tcPr>
            <w:tcW w:type="dxa" w:w="1701"/>
            <w:shd w:val="clear" w:color="auto" w:fill="F8FAFC"/>
          </w:tcPr>
          <w:p>
            <w:pPr>
              <w:jc w:val="left"/>
            </w:pPr>
            <w:r/>
            <w:r>
              <w:rPr>
                <w:b w:val="0"/>
                <w:i w:val="0"/>
                <w:sz w:val="18"/>
              </w:rPr>
              <w:t>Fotocasa</w:t>
            </w:r>
          </w:p>
        </w:tc>
        <w:tc>
          <w:tcPr>
            <w:tcW w:type="dxa" w:w="1701"/>
            <w:shd w:val="clear" w:color="auto" w:fill="F8FAFC"/>
          </w:tcPr>
          <w:p>
            <w:pPr>
              <w:jc w:val="left"/>
            </w:pPr>
            <w:r/>
            <w:r>
              <w:rPr>
                <w:b w:val="0"/>
                <w:i w:val="0"/>
                <w:sz w:val="18"/>
              </w:rPr>
              <w:t>Portal</w:t>
            </w:r>
          </w:p>
        </w:tc>
        <w:tc>
          <w:tcPr>
            <w:tcW w:type="dxa" w:w="1984"/>
            <w:shd w:val="clear" w:color="auto" w:fill="F8FAFC"/>
          </w:tcPr>
          <w:p>
            <w:pPr>
              <w:jc w:val="left"/>
            </w:pPr>
            <w:r/>
            <w:r>
              <w:rPr>
                <w:b w:val="0"/>
                <w:i w:val="0"/>
                <w:sz w:val="18"/>
              </w:rPr>
              <w:t>Listing fees</w:t>
            </w:r>
          </w:p>
        </w:tc>
        <w:tc>
          <w:tcPr>
            <w:tcW w:type="dxa" w:w="1417"/>
            <w:shd w:val="clear" w:color="auto" w:fill="F8FAFC"/>
          </w:tcPr>
          <w:p>
            <w:pPr>
              <w:jc w:val="left"/>
            </w:pPr>
            <w:r/>
            <w:r>
              <w:rPr>
                <w:b w:val="0"/>
                <w:i w:val="0"/>
                <w:sz w:val="18"/>
              </w:rPr>
              <w:t>N/A</w:t>
            </w:r>
          </w:p>
        </w:tc>
        <w:tc>
          <w:tcPr>
            <w:tcW w:type="dxa" w:w="1417"/>
            <w:shd w:val="clear" w:color="auto" w:fill="F8FAFC"/>
          </w:tcPr>
          <w:p>
            <w:pPr>
              <w:jc w:val="left"/>
            </w:pPr>
            <w:r/>
            <w:r>
              <w:rPr>
                <w:b w:val="0"/>
                <w:i w:val="0"/>
                <w:sz w:val="18"/>
              </w:rPr>
              <w:t>Strong</w:t>
            </w:r>
          </w:p>
        </w:tc>
        <w:tc>
          <w:tcPr>
            <w:tcW w:type="dxa" w:w="2268"/>
            <w:shd w:val="clear" w:color="auto" w:fill="F8FAFC"/>
          </w:tcPr>
          <w:p>
            <w:pPr>
              <w:jc w:val="left"/>
            </w:pPr>
            <w:r/>
            <w:r>
              <w:rPr>
                <w:b w:val="0"/>
                <w:i w:val="0"/>
                <w:sz w:val="18"/>
              </w:rPr>
              <w:t>#2 portal</w:t>
            </w:r>
          </w:p>
        </w:tc>
      </w:tr>
    </w:tbl>
    <w:p/>
    <w:p>
      <w:pPr>
        <w:spacing w:before="240" w:after="80"/>
      </w:pPr>
      <w:r>
        <w:rPr>
          <w:b/>
          <w:color w:val="0A1628"/>
          <w:sz w:val="28"/>
        </w:rPr>
        <w:t>B2. Málaga Province Deep-Dive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A1628"/>
          </w:tcPr>
          <w:p>
            <w:r/>
          </w:p>
          <w:p>
            <w:r>
              <w:rPr>
                <w:b/>
                <w:color w:val="C9A84C"/>
                <w:sz w:val="14"/>
              </w:rPr>
              <w:t>AVG PRICE/M² MÁLAGA</w:t>
            </w:r>
          </w:p>
          <w:p>
            <w:r>
              <w:rPr>
                <w:b/>
                <w:color w:val="FFFFFF"/>
                <w:sz w:val="36"/>
              </w:rPr>
              <w:t>€3,180</w:t>
            </w:r>
          </w:p>
          <w:p>
            <w:r>
              <w:rPr>
                <w:color w:val="A0AEC0"/>
                <w:sz w:val="16"/>
              </w:rPr>
              <w:t>+14.2% YoY (2025)</w:t>
            </w:r>
          </w:p>
        </w:tc>
        <w:tc>
          <w:tcPr>
            <w:tcW w:type="dxa" w:w="3135"/>
            <w:shd w:val="clear" w:color="auto" w:fill="0A1628"/>
          </w:tcPr>
          <w:p>
            <w:r/>
          </w:p>
          <w:p>
            <w:r>
              <w:rPr>
                <w:b/>
                <w:color w:val="C9A84C"/>
                <w:sz w:val="14"/>
              </w:rPr>
              <w:t>MARBELLA PRICE/M²</w:t>
            </w:r>
          </w:p>
          <w:p>
            <w:r>
              <w:rPr>
                <w:b/>
                <w:color w:val="FFFFFF"/>
                <w:sz w:val="36"/>
              </w:rPr>
              <w:t>€4,961</w:t>
            </w:r>
          </w:p>
          <w:p>
            <w:r>
              <w:rPr>
                <w:color w:val="A0AEC0"/>
                <w:sz w:val="16"/>
              </w:rPr>
              <w:t>Luxury benchmark</w:t>
            </w:r>
          </w:p>
        </w:tc>
        <w:tc>
          <w:tcPr>
            <w:tcW w:type="dxa" w:w="3135"/>
            <w:shd w:val="clear" w:color="auto" w:fill="0A1628"/>
          </w:tcPr>
          <w:p>
            <w:r/>
          </w:p>
          <w:p>
            <w:r>
              <w:rPr>
                <w:b/>
                <w:color w:val="C9A84C"/>
                <w:sz w:val="14"/>
              </w:rPr>
              <w:t>TRANSACTIONS 2024</w:t>
            </w:r>
          </w:p>
          <w:p>
            <w:r>
              <w:rPr>
                <w:b/>
                <w:color w:val="FFFFFF"/>
                <w:sz w:val="36"/>
              </w:rPr>
              <w:t>35,400</w:t>
            </w:r>
          </w:p>
          <w:p>
            <w:r>
              <w:rPr>
                <w:color w:val="A0AEC0"/>
                <w:sz w:val="16"/>
              </w:rPr>
              <w:t>#1 in Andalusia</w:t>
            </w:r>
          </w:p>
        </w:tc>
      </w:tr>
      <w:tr>
        <w:tc>
          <w:tcPr>
            <w:tcW w:type="dxa" w:w="3135"/>
            <w:shd w:val="clear" w:color="auto" w:fill="0A1628"/>
          </w:tcPr>
          <w:p>
            <w:r/>
          </w:p>
          <w:p>
            <w:r>
              <w:rPr>
                <w:b/>
                <w:color w:val="C9A84C"/>
                <w:sz w:val="14"/>
              </w:rPr>
              <w:t>FOREIGN BUYER SHARE</w:t>
            </w:r>
          </w:p>
          <w:p>
            <w:r>
              <w:rPr>
                <w:b/>
                <w:color w:val="FFFFFF"/>
                <w:sz w:val="36"/>
              </w:rPr>
              <w:t>~40%</w:t>
            </w:r>
          </w:p>
          <w:p>
            <w:r>
              <w:rPr>
                <w:color w:val="A0AEC0"/>
                <w:sz w:val="16"/>
              </w:rPr>
              <w:t>Double the national avg</w:t>
            </w:r>
          </w:p>
        </w:tc>
        <w:tc>
          <w:tcPr>
            <w:tcW w:type="dxa" w:w="3135"/>
            <w:shd w:val="clear" w:color="auto" w:fill="0A1628"/>
          </w:tcPr>
          <w:p>
            <w:r/>
          </w:p>
          <w:p>
            <w:r>
              <w:rPr>
                <w:b/>
                <w:color w:val="C9A84C"/>
                <w:sz w:val="14"/>
              </w:rPr>
              <w:t>NEW BUILD PIPELINE</w:t>
            </w:r>
          </w:p>
          <w:p>
            <w:r>
              <w:rPr>
                <w:b/>
                <w:color w:val="FFFFFF"/>
                <w:sz w:val="36"/>
              </w:rPr>
              <w:t>8,000 units</w:t>
            </w:r>
          </w:p>
          <w:p>
            <w:r>
              <w:rPr>
                <w:color w:val="A0AEC0"/>
                <w:sz w:val="16"/>
              </w:rPr>
              <w:t>Expected 2025 delivery</w:t>
            </w:r>
          </w:p>
        </w:tc>
        <w:tc>
          <w:tcPr>
            <w:tcW w:type="dxa" w:w="3135"/>
            <w:shd w:val="clear" w:color="auto" w:fill="0A1628"/>
          </w:tcPr>
          <w:p>
            <w:r/>
          </w:p>
          <w:p>
            <w:r>
              <w:rPr>
                <w:b/>
                <w:color w:val="C9A84C"/>
                <w:sz w:val="14"/>
              </w:rPr>
              <w:t>RENTAL YIELD (GROSS)</w:t>
            </w:r>
          </w:p>
          <w:p>
            <w:r>
              <w:rPr>
                <w:b/>
                <w:color w:val="FFFFFF"/>
                <w:sz w:val="36"/>
              </w:rPr>
              <w:t>4.5–6.5%</w:t>
            </w:r>
          </w:p>
          <w:p>
            <w:r>
              <w:rPr>
                <w:color w:val="A0AEC0"/>
                <w:sz w:val="16"/>
              </w:rPr>
              <w:t>Vs 3.5–4.5% national</w:t>
            </w:r>
          </w:p>
        </w:tc>
      </w:tr>
    </w:tbl>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701"/>
            <w:shd w:val="clear" w:color="auto" w:fill="0A1628"/>
          </w:tcPr>
          <w:p>
            <w:pPr>
              <w:jc w:val="left"/>
            </w:pPr>
            <w:r/>
            <w:r>
              <w:rPr>
                <w:b/>
                <w:i w:val="0"/>
                <w:color w:val="FFFFFF"/>
                <w:sz w:val="18"/>
              </w:rPr>
              <w:t>Sub-Market</w:t>
            </w:r>
          </w:p>
        </w:tc>
        <w:tc>
          <w:tcPr>
            <w:tcW w:type="dxa" w:w="1701"/>
            <w:shd w:val="clear" w:color="auto" w:fill="0A1628"/>
          </w:tcPr>
          <w:p>
            <w:pPr>
              <w:jc w:val="left"/>
            </w:pPr>
            <w:r/>
            <w:r>
              <w:rPr>
                <w:b/>
                <w:i w:val="0"/>
                <w:color w:val="FFFFFF"/>
                <w:sz w:val="18"/>
              </w:rPr>
              <w:t>Avg Price/m²</w:t>
            </w:r>
          </w:p>
        </w:tc>
        <w:tc>
          <w:tcPr>
            <w:tcW w:type="dxa" w:w="1417"/>
            <w:shd w:val="clear" w:color="auto" w:fill="0A1628"/>
          </w:tcPr>
          <w:p>
            <w:pPr>
              <w:jc w:val="left"/>
            </w:pPr>
            <w:r/>
            <w:r>
              <w:rPr>
                <w:b/>
                <w:i w:val="0"/>
                <w:color w:val="FFFFFF"/>
                <w:sz w:val="18"/>
              </w:rPr>
              <w:t>YoY Growth</w:t>
            </w:r>
          </w:p>
        </w:tc>
        <w:tc>
          <w:tcPr>
            <w:tcW w:type="dxa" w:w="1701"/>
            <w:shd w:val="clear" w:color="auto" w:fill="0A1628"/>
          </w:tcPr>
          <w:p>
            <w:pPr>
              <w:jc w:val="left"/>
            </w:pPr>
            <w:r/>
            <w:r>
              <w:rPr>
                <w:b/>
                <w:i w:val="0"/>
                <w:color w:val="FFFFFF"/>
                <w:sz w:val="18"/>
              </w:rPr>
              <w:t>Foreign Buyer %</w:t>
            </w:r>
          </w:p>
        </w:tc>
        <w:tc>
          <w:tcPr>
            <w:tcW w:type="dxa" w:w="1984"/>
            <w:shd w:val="clear" w:color="auto" w:fill="0A1628"/>
          </w:tcPr>
          <w:p>
            <w:pPr>
              <w:jc w:val="left"/>
            </w:pPr>
            <w:r/>
            <w:r>
              <w:rPr>
                <w:b/>
                <w:i w:val="0"/>
                <w:color w:val="FFFFFF"/>
                <w:sz w:val="18"/>
              </w:rPr>
              <w:t>Key Nationality</w:t>
            </w:r>
          </w:p>
        </w:tc>
        <w:tc>
          <w:tcPr>
            <w:tcW w:type="dxa" w:w="1417"/>
            <w:shd w:val="clear" w:color="auto" w:fill="0A1628"/>
          </w:tcPr>
          <w:p>
            <w:pPr>
              <w:jc w:val="left"/>
            </w:pPr>
            <w:r/>
            <w:r>
              <w:rPr>
                <w:b/>
                <w:i w:val="0"/>
                <w:color w:val="FFFFFF"/>
                <w:sz w:val="18"/>
              </w:rPr>
              <w:t>Market Temp</w:t>
            </w:r>
          </w:p>
        </w:tc>
      </w:tr>
      <w:tr>
        <w:tc>
          <w:tcPr>
            <w:tcW w:type="dxa" w:w="1701"/>
            <w:shd w:val="clear" w:color="auto" w:fill="F8FAFC"/>
          </w:tcPr>
          <w:p>
            <w:pPr>
              <w:jc w:val="left"/>
            </w:pPr>
            <w:r/>
            <w:r>
              <w:rPr>
                <w:b w:val="0"/>
                <w:i w:val="0"/>
                <w:sz w:val="18"/>
              </w:rPr>
              <w:t>Marbella</w:t>
            </w:r>
          </w:p>
        </w:tc>
        <w:tc>
          <w:tcPr>
            <w:tcW w:type="dxa" w:w="1701"/>
            <w:shd w:val="clear" w:color="auto" w:fill="F8FAFC"/>
          </w:tcPr>
          <w:p>
            <w:pPr>
              <w:jc w:val="left"/>
            </w:pPr>
            <w:r/>
            <w:r>
              <w:rPr>
                <w:b w:val="0"/>
                <w:i w:val="0"/>
                <w:sz w:val="18"/>
              </w:rPr>
              <w:t>€4,961</w:t>
            </w:r>
          </w:p>
        </w:tc>
        <w:tc>
          <w:tcPr>
            <w:tcW w:type="dxa" w:w="1417"/>
            <w:shd w:val="clear" w:color="auto" w:fill="F8FAFC"/>
          </w:tcPr>
          <w:p>
            <w:pPr>
              <w:jc w:val="left"/>
            </w:pPr>
            <w:r/>
            <w:r>
              <w:rPr>
                <w:b w:val="0"/>
                <w:i w:val="0"/>
                <w:sz w:val="18"/>
              </w:rPr>
              <w:t>+12.8%</w:t>
            </w:r>
          </w:p>
        </w:tc>
        <w:tc>
          <w:tcPr>
            <w:tcW w:type="dxa" w:w="1701"/>
            <w:shd w:val="clear" w:color="auto" w:fill="F8FAFC"/>
          </w:tcPr>
          <w:p>
            <w:pPr>
              <w:jc w:val="left"/>
            </w:pPr>
            <w:r/>
            <w:r>
              <w:rPr>
                <w:b w:val="0"/>
                <w:i w:val="0"/>
                <w:sz w:val="18"/>
              </w:rPr>
              <w:t>80–90%</w:t>
            </w:r>
          </w:p>
        </w:tc>
        <w:tc>
          <w:tcPr>
            <w:tcW w:type="dxa" w:w="1984"/>
            <w:shd w:val="clear" w:color="auto" w:fill="F8FAFC"/>
          </w:tcPr>
          <w:p>
            <w:pPr>
              <w:jc w:val="left"/>
            </w:pPr>
            <w:r/>
            <w:r>
              <w:rPr>
                <w:b w:val="0"/>
                <w:i w:val="0"/>
                <w:sz w:val="18"/>
              </w:rPr>
              <w:t>British, Scandinavian</w:t>
            </w:r>
          </w:p>
        </w:tc>
        <w:tc>
          <w:tcPr>
            <w:tcW w:type="dxa" w:w="1417"/>
            <w:shd w:val="clear" w:color="auto" w:fill="F8FAFC"/>
          </w:tcPr>
          <w:p>
            <w:pPr>
              <w:jc w:val="left"/>
            </w:pPr>
            <w:r/>
            <w:r>
              <w:rPr>
                <w:b w:val="0"/>
                <w:i w:val="0"/>
                <w:sz w:val="18"/>
              </w:rPr>
              <w:t>Hot</w:t>
            </w:r>
          </w:p>
        </w:tc>
      </w:tr>
      <w:tr>
        <w:tc>
          <w:tcPr>
            <w:tcW w:type="dxa" w:w="1701"/>
            <w:shd w:val="clear" w:color="auto" w:fill="FFFFFF"/>
          </w:tcPr>
          <w:p>
            <w:pPr>
              <w:jc w:val="left"/>
            </w:pPr>
            <w:r/>
            <w:r>
              <w:rPr>
                <w:b w:val="0"/>
                <w:i w:val="0"/>
                <w:sz w:val="18"/>
              </w:rPr>
              <w:t>Estepona</w:t>
            </w:r>
          </w:p>
        </w:tc>
        <w:tc>
          <w:tcPr>
            <w:tcW w:type="dxa" w:w="1701"/>
            <w:shd w:val="clear" w:color="auto" w:fill="FFFFFF"/>
          </w:tcPr>
          <w:p>
            <w:pPr>
              <w:jc w:val="left"/>
            </w:pPr>
            <w:r/>
            <w:r>
              <w:rPr>
                <w:b w:val="0"/>
                <w:i w:val="0"/>
                <w:sz w:val="18"/>
              </w:rPr>
              <w:t>€3,200</w:t>
            </w:r>
          </w:p>
        </w:tc>
        <w:tc>
          <w:tcPr>
            <w:tcW w:type="dxa" w:w="1417"/>
            <w:shd w:val="clear" w:color="auto" w:fill="FFFFFF"/>
          </w:tcPr>
          <w:p>
            <w:pPr>
              <w:jc w:val="left"/>
            </w:pPr>
            <w:r/>
            <w:r>
              <w:rPr>
                <w:b w:val="0"/>
                <w:i w:val="0"/>
                <w:sz w:val="18"/>
              </w:rPr>
              <w:t>+15.1%</w:t>
            </w:r>
          </w:p>
        </w:tc>
        <w:tc>
          <w:tcPr>
            <w:tcW w:type="dxa" w:w="1701"/>
            <w:shd w:val="clear" w:color="auto" w:fill="FFFFFF"/>
          </w:tcPr>
          <w:p>
            <w:pPr>
              <w:jc w:val="left"/>
            </w:pPr>
            <w:r/>
            <w:r>
              <w:rPr>
                <w:b w:val="0"/>
                <w:i w:val="0"/>
                <w:sz w:val="18"/>
              </w:rPr>
              <w:t>65%</w:t>
            </w:r>
          </w:p>
        </w:tc>
        <w:tc>
          <w:tcPr>
            <w:tcW w:type="dxa" w:w="1984"/>
            <w:shd w:val="clear" w:color="auto" w:fill="FFFFFF"/>
          </w:tcPr>
          <w:p>
            <w:pPr>
              <w:jc w:val="left"/>
            </w:pPr>
            <w:r/>
            <w:r>
              <w:rPr>
                <w:b w:val="0"/>
                <w:i w:val="0"/>
                <w:sz w:val="18"/>
              </w:rPr>
              <w:t>British, Belgian</w:t>
            </w:r>
          </w:p>
        </w:tc>
        <w:tc>
          <w:tcPr>
            <w:tcW w:type="dxa" w:w="1417"/>
            <w:shd w:val="clear" w:color="auto" w:fill="FFFFFF"/>
          </w:tcPr>
          <w:p>
            <w:pPr>
              <w:jc w:val="left"/>
            </w:pPr>
            <w:r/>
            <w:r>
              <w:rPr>
                <w:b w:val="0"/>
                <w:i w:val="0"/>
                <w:sz w:val="18"/>
              </w:rPr>
              <w:t>Very Hot</w:t>
            </w:r>
          </w:p>
        </w:tc>
      </w:tr>
      <w:tr>
        <w:tc>
          <w:tcPr>
            <w:tcW w:type="dxa" w:w="1701"/>
            <w:shd w:val="clear" w:color="auto" w:fill="F8FAFC"/>
          </w:tcPr>
          <w:p>
            <w:pPr>
              <w:jc w:val="left"/>
            </w:pPr>
            <w:r/>
            <w:r>
              <w:rPr>
                <w:b w:val="0"/>
                <w:i w:val="0"/>
                <w:sz w:val="18"/>
              </w:rPr>
              <w:t>Málaga City</w:t>
            </w:r>
          </w:p>
        </w:tc>
        <w:tc>
          <w:tcPr>
            <w:tcW w:type="dxa" w:w="1701"/>
            <w:shd w:val="clear" w:color="auto" w:fill="F8FAFC"/>
          </w:tcPr>
          <w:p>
            <w:pPr>
              <w:jc w:val="left"/>
            </w:pPr>
            <w:r/>
            <w:r>
              <w:rPr>
                <w:b w:val="0"/>
                <w:i w:val="0"/>
                <w:sz w:val="18"/>
              </w:rPr>
              <w:t>€2,950</w:t>
            </w:r>
          </w:p>
        </w:tc>
        <w:tc>
          <w:tcPr>
            <w:tcW w:type="dxa" w:w="1417"/>
            <w:shd w:val="clear" w:color="auto" w:fill="F8FAFC"/>
          </w:tcPr>
          <w:p>
            <w:pPr>
              <w:jc w:val="left"/>
            </w:pPr>
            <w:r/>
            <w:r>
              <w:rPr>
                <w:b w:val="0"/>
                <w:i w:val="0"/>
                <w:sz w:val="18"/>
              </w:rPr>
              <w:t>+16.2%</w:t>
            </w:r>
          </w:p>
        </w:tc>
        <w:tc>
          <w:tcPr>
            <w:tcW w:type="dxa" w:w="1701"/>
            <w:shd w:val="clear" w:color="auto" w:fill="F8FAFC"/>
          </w:tcPr>
          <w:p>
            <w:pPr>
              <w:jc w:val="left"/>
            </w:pPr>
            <w:r/>
            <w:r>
              <w:rPr>
                <w:b w:val="0"/>
                <w:i w:val="0"/>
                <w:sz w:val="18"/>
              </w:rPr>
              <w:t>35%</w:t>
            </w:r>
          </w:p>
        </w:tc>
        <w:tc>
          <w:tcPr>
            <w:tcW w:type="dxa" w:w="1984"/>
            <w:shd w:val="clear" w:color="auto" w:fill="F8FAFC"/>
          </w:tcPr>
          <w:p>
            <w:pPr>
              <w:jc w:val="left"/>
            </w:pPr>
            <w:r/>
            <w:r>
              <w:rPr>
                <w:b w:val="0"/>
                <w:i w:val="0"/>
                <w:sz w:val="18"/>
              </w:rPr>
              <w:t>Spanish + intl.</w:t>
            </w:r>
          </w:p>
        </w:tc>
        <w:tc>
          <w:tcPr>
            <w:tcW w:type="dxa" w:w="1417"/>
            <w:shd w:val="clear" w:color="auto" w:fill="F8FAFC"/>
          </w:tcPr>
          <w:p>
            <w:pPr>
              <w:jc w:val="left"/>
            </w:pPr>
            <w:r/>
            <w:r>
              <w:rPr>
                <w:b w:val="0"/>
                <w:i w:val="0"/>
                <w:sz w:val="18"/>
              </w:rPr>
              <w:t>Very Hot</w:t>
            </w:r>
          </w:p>
        </w:tc>
      </w:tr>
      <w:tr>
        <w:tc>
          <w:tcPr>
            <w:tcW w:type="dxa" w:w="1701"/>
            <w:shd w:val="clear" w:color="auto" w:fill="FFFFFF"/>
          </w:tcPr>
          <w:p>
            <w:pPr>
              <w:jc w:val="left"/>
            </w:pPr>
            <w:r/>
            <w:r>
              <w:rPr>
                <w:b w:val="0"/>
                <w:i w:val="0"/>
                <w:sz w:val="18"/>
              </w:rPr>
              <w:t>Benalmádena</w:t>
            </w:r>
          </w:p>
        </w:tc>
        <w:tc>
          <w:tcPr>
            <w:tcW w:type="dxa" w:w="1701"/>
            <w:shd w:val="clear" w:color="auto" w:fill="FFFFFF"/>
          </w:tcPr>
          <w:p>
            <w:pPr>
              <w:jc w:val="left"/>
            </w:pPr>
            <w:r/>
            <w:r>
              <w:rPr>
                <w:b w:val="0"/>
                <w:i w:val="0"/>
                <w:sz w:val="18"/>
              </w:rPr>
              <w:t>€2,600</w:t>
            </w:r>
          </w:p>
        </w:tc>
        <w:tc>
          <w:tcPr>
            <w:tcW w:type="dxa" w:w="1417"/>
            <w:shd w:val="clear" w:color="auto" w:fill="FFFFFF"/>
          </w:tcPr>
          <w:p>
            <w:pPr>
              <w:jc w:val="left"/>
            </w:pPr>
            <w:r/>
            <w:r>
              <w:rPr>
                <w:b w:val="0"/>
                <w:i w:val="0"/>
                <w:sz w:val="18"/>
              </w:rPr>
              <w:t>+11.5%</w:t>
            </w:r>
          </w:p>
        </w:tc>
        <w:tc>
          <w:tcPr>
            <w:tcW w:type="dxa" w:w="1701"/>
            <w:shd w:val="clear" w:color="auto" w:fill="FFFFFF"/>
          </w:tcPr>
          <w:p>
            <w:pPr>
              <w:jc w:val="left"/>
            </w:pPr>
            <w:r/>
            <w:r>
              <w:rPr>
                <w:b w:val="0"/>
                <w:i w:val="0"/>
                <w:sz w:val="18"/>
              </w:rPr>
              <w:t>55%</w:t>
            </w:r>
          </w:p>
        </w:tc>
        <w:tc>
          <w:tcPr>
            <w:tcW w:type="dxa" w:w="1984"/>
            <w:shd w:val="clear" w:color="auto" w:fill="FFFFFF"/>
          </w:tcPr>
          <w:p>
            <w:pPr>
              <w:jc w:val="left"/>
            </w:pPr>
            <w:r/>
            <w:r>
              <w:rPr>
                <w:b w:val="0"/>
                <w:i w:val="0"/>
                <w:sz w:val="18"/>
              </w:rPr>
              <w:t>British, Irish</w:t>
            </w:r>
          </w:p>
        </w:tc>
        <w:tc>
          <w:tcPr>
            <w:tcW w:type="dxa" w:w="1417"/>
            <w:shd w:val="clear" w:color="auto" w:fill="FFFFFF"/>
          </w:tcPr>
          <w:p>
            <w:pPr>
              <w:jc w:val="left"/>
            </w:pPr>
            <w:r/>
            <w:r>
              <w:rPr>
                <w:b w:val="0"/>
                <w:i w:val="0"/>
                <w:sz w:val="18"/>
              </w:rPr>
              <w:t>Hot</w:t>
            </w:r>
          </w:p>
        </w:tc>
      </w:tr>
      <w:tr>
        <w:tc>
          <w:tcPr>
            <w:tcW w:type="dxa" w:w="1701"/>
            <w:shd w:val="clear" w:color="auto" w:fill="F8FAFC"/>
          </w:tcPr>
          <w:p>
            <w:pPr>
              <w:jc w:val="left"/>
            </w:pPr>
            <w:r/>
            <w:r>
              <w:rPr>
                <w:b w:val="0"/>
                <w:i w:val="0"/>
                <w:sz w:val="18"/>
              </w:rPr>
              <w:t>Fuengirola</w:t>
            </w:r>
          </w:p>
        </w:tc>
        <w:tc>
          <w:tcPr>
            <w:tcW w:type="dxa" w:w="1701"/>
            <w:shd w:val="clear" w:color="auto" w:fill="F8FAFC"/>
          </w:tcPr>
          <w:p>
            <w:pPr>
              <w:jc w:val="left"/>
            </w:pPr>
            <w:r/>
            <w:r>
              <w:rPr>
                <w:b w:val="0"/>
                <w:i w:val="0"/>
                <w:sz w:val="18"/>
              </w:rPr>
              <w:t>€2,400</w:t>
            </w:r>
          </w:p>
        </w:tc>
        <w:tc>
          <w:tcPr>
            <w:tcW w:type="dxa" w:w="1417"/>
            <w:shd w:val="clear" w:color="auto" w:fill="F8FAFC"/>
          </w:tcPr>
          <w:p>
            <w:pPr>
              <w:jc w:val="left"/>
            </w:pPr>
            <w:r/>
            <w:r>
              <w:rPr>
                <w:b w:val="0"/>
                <w:i w:val="0"/>
                <w:sz w:val="18"/>
              </w:rPr>
              <w:t>+10.8%</w:t>
            </w:r>
          </w:p>
        </w:tc>
        <w:tc>
          <w:tcPr>
            <w:tcW w:type="dxa" w:w="1701"/>
            <w:shd w:val="clear" w:color="auto" w:fill="F8FAFC"/>
          </w:tcPr>
          <w:p>
            <w:pPr>
              <w:jc w:val="left"/>
            </w:pPr>
            <w:r/>
            <w:r>
              <w:rPr>
                <w:b w:val="0"/>
                <w:i w:val="0"/>
                <w:sz w:val="18"/>
              </w:rPr>
              <w:t>50%</w:t>
            </w:r>
          </w:p>
        </w:tc>
        <w:tc>
          <w:tcPr>
            <w:tcW w:type="dxa" w:w="1984"/>
            <w:shd w:val="clear" w:color="auto" w:fill="F8FAFC"/>
          </w:tcPr>
          <w:p>
            <w:pPr>
              <w:jc w:val="left"/>
            </w:pPr>
            <w:r/>
            <w:r>
              <w:rPr>
                <w:b w:val="0"/>
                <w:i w:val="0"/>
                <w:sz w:val="18"/>
              </w:rPr>
              <w:t>Finnish, British</w:t>
            </w:r>
          </w:p>
        </w:tc>
        <w:tc>
          <w:tcPr>
            <w:tcW w:type="dxa" w:w="1417"/>
            <w:shd w:val="clear" w:color="auto" w:fill="F8FAFC"/>
          </w:tcPr>
          <w:p>
            <w:pPr>
              <w:jc w:val="left"/>
            </w:pPr>
            <w:r/>
            <w:r>
              <w:rPr>
                <w:b w:val="0"/>
                <w:i w:val="0"/>
                <w:sz w:val="18"/>
              </w:rPr>
              <w:t>Hot</w:t>
            </w:r>
          </w:p>
        </w:tc>
      </w:tr>
      <w:tr>
        <w:tc>
          <w:tcPr>
            <w:tcW w:type="dxa" w:w="1701"/>
            <w:shd w:val="clear" w:color="auto" w:fill="FFFFFF"/>
          </w:tcPr>
          <w:p>
            <w:pPr>
              <w:jc w:val="left"/>
            </w:pPr>
            <w:r/>
            <w:r>
              <w:rPr>
                <w:b w:val="0"/>
                <w:i w:val="0"/>
                <w:sz w:val="18"/>
              </w:rPr>
              <w:t>Torremolinos</w:t>
            </w:r>
          </w:p>
        </w:tc>
        <w:tc>
          <w:tcPr>
            <w:tcW w:type="dxa" w:w="1701"/>
            <w:shd w:val="clear" w:color="auto" w:fill="FFFFFF"/>
          </w:tcPr>
          <w:p>
            <w:pPr>
              <w:jc w:val="left"/>
            </w:pPr>
            <w:r/>
            <w:r>
              <w:rPr>
                <w:b w:val="0"/>
                <w:i w:val="0"/>
                <w:sz w:val="18"/>
              </w:rPr>
              <w:t>€2,200</w:t>
            </w:r>
          </w:p>
        </w:tc>
        <w:tc>
          <w:tcPr>
            <w:tcW w:type="dxa" w:w="1417"/>
            <w:shd w:val="clear" w:color="auto" w:fill="FFFFFF"/>
          </w:tcPr>
          <w:p>
            <w:pPr>
              <w:jc w:val="left"/>
            </w:pPr>
            <w:r/>
            <w:r>
              <w:rPr>
                <w:b w:val="0"/>
                <w:i w:val="0"/>
                <w:sz w:val="18"/>
              </w:rPr>
              <w:t>+9.4%</w:t>
            </w:r>
          </w:p>
        </w:tc>
        <w:tc>
          <w:tcPr>
            <w:tcW w:type="dxa" w:w="1701"/>
            <w:shd w:val="clear" w:color="auto" w:fill="FFFFFF"/>
          </w:tcPr>
          <w:p>
            <w:pPr>
              <w:jc w:val="left"/>
            </w:pPr>
            <w:r/>
            <w:r>
              <w:rPr>
                <w:b w:val="0"/>
                <w:i w:val="0"/>
                <w:sz w:val="18"/>
              </w:rPr>
              <w:t>45%</w:t>
            </w:r>
          </w:p>
        </w:tc>
        <w:tc>
          <w:tcPr>
            <w:tcW w:type="dxa" w:w="1984"/>
            <w:shd w:val="clear" w:color="auto" w:fill="FFFFFF"/>
          </w:tcPr>
          <w:p>
            <w:pPr>
              <w:jc w:val="left"/>
            </w:pPr>
            <w:r/>
            <w:r>
              <w:rPr>
                <w:b w:val="0"/>
                <w:i w:val="0"/>
                <w:sz w:val="18"/>
              </w:rPr>
              <w:t>British, Swedish</w:t>
            </w:r>
          </w:p>
        </w:tc>
        <w:tc>
          <w:tcPr>
            <w:tcW w:type="dxa" w:w="1417"/>
            <w:shd w:val="clear" w:color="auto" w:fill="FFFFFF"/>
          </w:tcPr>
          <w:p>
            <w:pPr>
              <w:jc w:val="left"/>
            </w:pPr>
            <w:r/>
            <w:r>
              <w:rPr>
                <w:b w:val="0"/>
                <w:i w:val="0"/>
                <w:sz w:val="18"/>
              </w:rPr>
              <w:t>Warm</w:t>
            </w:r>
          </w:p>
        </w:tc>
      </w:tr>
      <w:tr>
        <w:tc>
          <w:tcPr>
            <w:tcW w:type="dxa" w:w="1701"/>
            <w:shd w:val="clear" w:color="auto" w:fill="F8FAFC"/>
          </w:tcPr>
          <w:p>
            <w:pPr>
              <w:jc w:val="left"/>
            </w:pPr>
            <w:r/>
            <w:r>
              <w:rPr>
                <w:b w:val="0"/>
                <w:i w:val="0"/>
                <w:sz w:val="18"/>
              </w:rPr>
              <w:t>Nerja</w:t>
            </w:r>
          </w:p>
        </w:tc>
        <w:tc>
          <w:tcPr>
            <w:tcW w:type="dxa" w:w="1701"/>
            <w:shd w:val="clear" w:color="auto" w:fill="F8FAFC"/>
          </w:tcPr>
          <w:p>
            <w:pPr>
              <w:jc w:val="left"/>
            </w:pPr>
            <w:r/>
            <w:r>
              <w:rPr>
                <w:b w:val="0"/>
                <w:i w:val="0"/>
                <w:sz w:val="18"/>
              </w:rPr>
              <w:t>€3,100</w:t>
            </w:r>
          </w:p>
        </w:tc>
        <w:tc>
          <w:tcPr>
            <w:tcW w:type="dxa" w:w="1417"/>
            <w:shd w:val="clear" w:color="auto" w:fill="F8FAFC"/>
          </w:tcPr>
          <w:p>
            <w:pPr>
              <w:jc w:val="left"/>
            </w:pPr>
            <w:r/>
            <w:r>
              <w:rPr>
                <w:b w:val="0"/>
                <w:i w:val="0"/>
                <w:sz w:val="18"/>
              </w:rPr>
              <w:t>+13.2%</w:t>
            </w:r>
          </w:p>
        </w:tc>
        <w:tc>
          <w:tcPr>
            <w:tcW w:type="dxa" w:w="1701"/>
            <w:shd w:val="clear" w:color="auto" w:fill="F8FAFC"/>
          </w:tcPr>
          <w:p>
            <w:pPr>
              <w:jc w:val="left"/>
            </w:pPr>
            <w:r/>
            <w:r>
              <w:rPr>
                <w:b w:val="0"/>
                <w:i w:val="0"/>
                <w:sz w:val="18"/>
              </w:rPr>
              <w:t>70%</w:t>
            </w:r>
          </w:p>
        </w:tc>
        <w:tc>
          <w:tcPr>
            <w:tcW w:type="dxa" w:w="1984"/>
            <w:shd w:val="clear" w:color="auto" w:fill="F8FAFC"/>
          </w:tcPr>
          <w:p>
            <w:pPr>
              <w:jc w:val="left"/>
            </w:pPr>
            <w:r/>
            <w:r>
              <w:rPr>
                <w:b w:val="0"/>
                <w:i w:val="0"/>
                <w:sz w:val="18"/>
              </w:rPr>
              <w:t>British, Dutch</w:t>
            </w:r>
          </w:p>
        </w:tc>
        <w:tc>
          <w:tcPr>
            <w:tcW w:type="dxa" w:w="1417"/>
            <w:shd w:val="clear" w:color="auto" w:fill="F8FAFC"/>
          </w:tcPr>
          <w:p>
            <w:pPr>
              <w:jc w:val="left"/>
            </w:pPr>
            <w:r/>
            <w:r>
              <w:rPr>
                <w:b w:val="0"/>
                <w:i w:val="0"/>
                <w:sz w:val="18"/>
              </w:rPr>
              <w:t>Hot</w:t>
            </w:r>
          </w:p>
        </w:tc>
      </w:tr>
    </w:tbl>
    <w:p/>
    <w:p>
      <w:pPr>
        <w:spacing w:before="240" w:after="80"/>
      </w:pPr>
      <w:r>
        <w:rPr>
          <w:b/>
          <w:color w:val="0A1628"/>
          <w:sz w:val="28"/>
        </w:rPr>
        <w:t>B3. Foreign Buyer Analysis</w:t>
      </w:r>
    </w:p>
    <w:p>
      <w:pPr>
        <w:spacing w:after="80"/>
      </w:pPr>
      <w:r>
        <w:rPr>
          <w:b w:val="0"/>
          <w:i w:val="0"/>
          <w:sz w:val="20"/>
        </w:rPr>
        <w:t>Foreign buyers represent 15.1% of all Spain transactions (2025) but ~40% of Málaga transactions — a critical differentiator for the Costa del Sol market.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701"/>
            <w:shd w:val="clear" w:color="auto" w:fill="0A1628"/>
          </w:tcPr>
          <w:p>
            <w:pPr>
              <w:jc w:val="left"/>
            </w:pPr>
            <w:r/>
            <w:r>
              <w:rPr>
                <w:b/>
                <w:i w:val="0"/>
                <w:color w:val="FFFFFF"/>
                <w:sz w:val="18"/>
              </w:rPr>
              <w:t>Nationality</w:t>
            </w:r>
          </w:p>
        </w:tc>
        <w:tc>
          <w:tcPr>
            <w:tcW w:type="dxa" w:w="1984"/>
            <w:shd w:val="clear" w:color="auto" w:fill="0A1628"/>
          </w:tcPr>
          <w:p>
            <w:pPr>
              <w:jc w:val="left"/>
            </w:pPr>
            <w:r/>
            <w:r>
              <w:rPr>
                <w:b/>
                <w:i w:val="0"/>
                <w:color w:val="FFFFFF"/>
                <w:sz w:val="18"/>
              </w:rPr>
              <w:t>Share of Foreign Buys</w:t>
            </w:r>
          </w:p>
        </w:tc>
        <w:tc>
          <w:tcPr>
            <w:tcW w:type="dxa" w:w="1417"/>
            <w:shd w:val="clear" w:color="auto" w:fill="0A1628"/>
          </w:tcPr>
          <w:p>
            <w:pPr>
              <w:jc w:val="left"/>
            </w:pPr>
            <w:r/>
            <w:r>
              <w:rPr>
                <w:b/>
                <w:i w:val="0"/>
                <w:color w:val="FFFFFF"/>
                <w:sz w:val="18"/>
              </w:rPr>
              <w:t>Avg. Ticket</w:t>
            </w:r>
          </w:p>
        </w:tc>
        <w:tc>
          <w:tcPr>
            <w:tcW w:type="dxa" w:w="2268"/>
            <w:shd w:val="clear" w:color="auto" w:fill="0A1628"/>
          </w:tcPr>
          <w:p>
            <w:pPr>
              <w:jc w:val="left"/>
            </w:pPr>
            <w:r/>
            <w:r>
              <w:rPr>
                <w:b/>
                <w:i w:val="0"/>
                <w:color w:val="FFFFFF"/>
                <w:sz w:val="18"/>
              </w:rPr>
              <w:t>Preferred Zone</w:t>
            </w:r>
          </w:p>
        </w:tc>
        <w:tc>
          <w:tcPr>
            <w:tcW w:type="dxa" w:w="1984"/>
            <w:shd w:val="clear" w:color="auto" w:fill="0A1628"/>
          </w:tcPr>
          <w:p>
            <w:pPr>
              <w:jc w:val="left"/>
            </w:pPr>
            <w:r/>
            <w:r>
              <w:rPr>
                <w:b/>
                <w:i w:val="0"/>
                <w:color w:val="FFFFFF"/>
                <w:sz w:val="18"/>
              </w:rPr>
              <w:t>Key Driver</w:t>
            </w:r>
          </w:p>
        </w:tc>
      </w:tr>
      <w:tr>
        <w:tc>
          <w:tcPr>
            <w:tcW w:type="dxa" w:w="1701"/>
            <w:shd w:val="clear" w:color="auto" w:fill="F8FAFC"/>
          </w:tcPr>
          <w:p>
            <w:pPr>
              <w:jc w:val="left"/>
            </w:pPr>
            <w:r/>
            <w:r>
              <w:rPr>
                <w:b w:val="0"/>
                <w:i w:val="0"/>
                <w:sz w:val="18"/>
              </w:rPr>
              <w:t>British</w:t>
            </w:r>
          </w:p>
        </w:tc>
        <w:tc>
          <w:tcPr>
            <w:tcW w:type="dxa" w:w="1984"/>
            <w:shd w:val="clear" w:color="auto" w:fill="F8FAFC"/>
          </w:tcPr>
          <w:p>
            <w:pPr>
              <w:jc w:val="left"/>
            </w:pPr>
            <w:r/>
            <w:r>
              <w:rPr>
                <w:b w:val="0"/>
                <w:i w:val="0"/>
                <w:sz w:val="18"/>
              </w:rPr>
              <w:t>9.7%</w:t>
            </w:r>
          </w:p>
        </w:tc>
        <w:tc>
          <w:tcPr>
            <w:tcW w:type="dxa" w:w="1417"/>
            <w:shd w:val="clear" w:color="auto" w:fill="F8FAFC"/>
          </w:tcPr>
          <w:p>
            <w:pPr>
              <w:jc w:val="left"/>
            </w:pPr>
            <w:r/>
            <w:r>
              <w:rPr>
                <w:b w:val="0"/>
                <w:i w:val="0"/>
                <w:sz w:val="18"/>
              </w:rPr>
              <w:t>€380k</w:t>
            </w:r>
          </w:p>
        </w:tc>
        <w:tc>
          <w:tcPr>
            <w:tcW w:type="dxa" w:w="2268"/>
            <w:shd w:val="clear" w:color="auto" w:fill="F8FAFC"/>
          </w:tcPr>
          <w:p>
            <w:pPr>
              <w:jc w:val="left"/>
            </w:pPr>
            <w:r/>
            <w:r>
              <w:rPr>
                <w:b w:val="0"/>
                <w:i w:val="0"/>
                <w:sz w:val="18"/>
              </w:rPr>
              <w:t>Marbella, Benalmádena, Nerja</w:t>
            </w:r>
          </w:p>
        </w:tc>
        <w:tc>
          <w:tcPr>
            <w:tcW w:type="dxa" w:w="1984"/>
            <w:shd w:val="clear" w:color="auto" w:fill="F8FAFC"/>
          </w:tcPr>
          <w:p>
            <w:pPr>
              <w:jc w:val="left"/>
            </w:pPr>
            <w:r/>
            <w:r>
              <w:rPr>
                <w:b w:val="0"/>
                <w:i w:val="0"/>
                <w:sz w:val="18"/>
              </w:rPr>
              <w:t>Lifestyle + weak £ opportunity</w:t>
            </w:r>
          </w:p>
        </w:tc>
      </w:tr>
      <w:tr>
        <w:tc>
          <w:tcPr>
            <w:tcW w:type="dxa" w:w="1701"/>
            <w:shd w:val="clear" w:color="auto" w:fill="FFFFFF"/>
          </w:tcPr>
          <w:p>
            <w:pPr>
              <w:jc w:val="left"/>
            </w:pPr>
            <w:r/>
            <w:r>
              <w:rPr>
                <w:b w:val="0"/>
                <w:i w:val="0"/>
                <w:sz w:val="18"/>
              </w:rPr>
              <w:t>German</w:t>
            </w:r>
          </w:p>
        </w:tc>
        <w:tc>
          <w:tcPr>
            <w:tcW w:type="dxa" w:w="1984"/>
            <w:shd w:val="clear" w:color="auto" w:fill="FFFFFF"/>
          </w:tcPr>
          <w:p>
            <w:pPr>
              <w:jc w:val="left"/>
            </w:pPr>
            <w:r/>
            <w:r>
              <w:rPr>
                <w:b w:val="0"/>
                <w:i w:val="0"/>
                <w:sz w:val="18"/>
              </w:rPr>
              <w:t>8.1%</w:t>
            </w:r>
          </w:p>
        </w:tc>
        <w:tc>
          <w:tcPr>
            <w:tcW w:type="dxa" w:w="1417"/>
            <w:shd w:val="clear" w:color="auto" w:fill="FFFFFF"/>
          </w:tcPr>
          <w:p>
            <w:pPr>
              <w:jc w:val="left"/>
            </w:pPr>
            <w:r/>
            <w:r>
              <w:rPr>
                <w:b w:val="0"/>
                <w:i w:val="0"/>
                <w:sz w:val="18"/>
              </w:rPr>
              <w:t>€350k</w:t>
            </w:r>
          </w:p>
        </w:tc>
        <w:tc>
          <w:tcPr>
            <w:tcW w:type="dxa" w:w="2268"/>
            <w:shd w:val="clear" w:color="auto" w:fill="FFFFFF"/>
          </w:tcPr>
          <w:p>
            <w:pPr>
              <w:jc w:val="left"/>
            </w:pPr>
            <w:r/>
            <w:r>
              <w:rPr>
                <w:b w:val="0"/>
                <w:i w:val="0"/>
                <w:sz w:val="18"/>
              </w:rPr>
              <w:t>Mallorca, Costa del Sol</w:t>
            </w:r>
          </w:p>
        </w:tc>
        <w:tc>
          <w:tcPr>
            <w:tcW w:type="dxa" w:w="1984"/>
            <w:shd w:val="clear" w:color="auto" w:fill="FFFFFF"/>
          </w:tcPr>
          <w:p>
            <w:pPr>
              <w:jc w:val="left"/>
            </w:pPr>
            <w:r/>
            <w:r>
              <w:rPr>
                <w:b w:val="0"/>
                <w:i w:val="0"/>
                <w:sz w:val="18"/>
              </w:rPr>
              <w:t>Investment + retirement</w:t>
            </w:r>
          </w:p>
        </w:tc>
      </w:tr>
      <w:tr>
        <w:tc>
          <w:tcPr>
            <w:tcW w:type="dxa" w:w="1701"/>
            <w:shd w:val="clear" w:color="auto" w:fill="F8FAFC"/>
          </w:tcPr>
          <w:p>
            <w:pPr>
              <w:jc w:val="left"/>
            </w:pPr>
            <w:r/>
            <w:r>
              <w:rPr>
                <w:b w:val="0"/>
                <w:i w:val="0"/>
                <w:sz w:val="18"/>
              </w:rPr>
              <w:t>French</w:t>
            </w:r>
          </w:p>
        </w:tc>
        <w:tc>
          <w:tcPr>
            <w:tcW w:type="dxa" w:w="1984"/>
            <w:shd w:val="clear" w:color="auto" w:fill="F8FAFC"/>
          </w:tcPr>
          <w:p>
            <w:pPr>
              <w:jc w:val="left"/>
            </w:pPr>
            <w:r/>
            <w:r>
              <w:rPr>
                <w:b w:val="0"/>
                <w:i w:val="0"/>
                <w:sz w:val="18"/>
              </w:rPr>
              <w:t>6.8%</w:t>
            </w:r>
          </w:p>
        </w:tc>
        <w:tc>
          <w:tcPr>
            <w:tcW w:type="dxa" w:w="1417"/>
            <w:shd w:val="clear" w:color="auto" w:fill="F8FAFC"/>
          </w:tcPr>
          <w:p>
            <w:pPr>
              <w:jc w:val="left"/>
            </w:pPr>
            <w:r/>
            <w:r>
              <w:rPr>
                <w:b w:val="0"/>
                <w:i w:val="0"/>
                <w:sz w:val="18"/>
              </w:rPr>
              <w:t>€310k</w:t>
            </w:r>
          </w:p>
        </w:tc>
        <w:tc>
          <w:tcPr>
            <w:tcW w:type="dxa" w:w="2268"/>
            <w:shd w:val="clear" w:color="auto" w:fill="F8FAFC"/>
          </w:tcPr>
          <w:p>
            <w:pPr>
              <w:jc w:val="left"/>
            </w:pPr>
            <w:r/>
            <w:r>
              <w:rPr>
                <w:b w:val="0"/>
                <w:i w:val="0"/>
                <w:sz w:val="18"/>
              </w:rPr>
              <w:t>Costa Brava, Barcelona</w:t>
            </w:r>
          </w:p>
        </w:tc>
        <w:tc>
          <w:tcPr>
            <w:tcW w:type="dxa" w:w="1984"/>
            <w:shd w:val="clear" w:color="auto" w:fill="F8FAFC"/>
          </w:tcPr>
          <w:p>
            <w:pPr>
              <w:jc w:val="left"/>
            </w:pPr>
            <w:r/>
            <w:r>
              <w:rPr>
                <w:b w:val="0"/>
                <w:i w:val="0"/>
                <w:sz w:val="18"/>
              </w:rPr>
              <w:t>Second home</w:t>
            </w:r>
          </w:p>
        </w:tc>
      </w:tr>
      <w:tr>
        <w:tc>
          <w:tcPr>
            <w:tcW w:type="dxa" w:w="1701"/>
            <w:shd w:val="clear" w:color="auto" w:fill="FFFFFF"/>
          </w:tcPr>
          <w:p>
            <w:pPr>
              <w:jc w:val="left"/>
            </w:pPr>
            <w:r/>
            <w:r>
              <w:rPr>
                <w:b w:val="0"/>
                <w:i w:val="0"/>
                <w:sz w:val="18"/>
              </w:rPr>
              <w:t>Moroccan</w:t>
            </w:r>
          </w:p>
        </w:tc>
        <w:tc>
          <w:tcPr>
            <w:tcW w:type="dxa" w:w="1984"/>
            <w:shd w:val="clear" w:color="auto" w:fill="FFFFFF"/>
          </w:tcPr>
          <w:p>
            <w:pPr>
              <w:jc w:val="left"/>
            </w:pPr>
            <w:r/>
            <w:r>
              <w:rPr>
                <w:b w:val="0"/>
                <w:i w:val="0"/>
                <w:sz w:val="18"/>
              </w:rPr>
              <w:t>5.2%</w:t>
            </w:r>
          </w:p>
        </w:tc>
        <w:tc>
          <w:tcPr>
            <w:tcW w:type="dxa" w:w="1417"/>
            <w:shd w:val="clear" w:color="auto" w:fill="FFFFFF"/>
          </w:tcPr>
          <w:p>
            <w:pPr>
              <w:jc w:val="left"/>
            </w:pPr>
            <w:r/>
            <w:r>
              <w:rPr>
                <w:b w:val="0"/>
                <w:i w:val="0"/>
                <w:sz w:val="18"/>
              </w:rPr>
              <w:t>€180k</w:t>
            </w:r>
          </w:p>
        </w:tc>
        <w:tc>
          <w:tcPr>
            <w:tcW w:type="dxa" w:w="2268"/>
            <w:shd w:val="clear" w:color="auto" w:fill="FFFFFF"/>
          </w:tcPr>
          <w:p>
            <w:pPr>
              <w:jc w:val="left"/>
            </w:pPr>
            <w:r/>
            <w:r>
              <w:rPr>
                <w:b w:val="0"/>
                <w:i w:val="0"/>
                <w:sz w:val="18"/>
              </w:rPr>
              <w:t>Málaga city, Melilla</w:t>
            </w:r>
          </w:p>
        </w:tc>
        <w:tc>
          <w:tcPr>
            <w:tcW w:type="dxa" w:w="1984"/>
            <w:shd w:val="clear" w:color="auto" w:fill="FFFFFF"/>
          </w:tcPr>
          <w:p>
            <w:pPr>
              <w:jc w:val="left"/>
            </w:pPr>
            <w:r/>
            <w:r>
              <w:rPr>
                <w:b w:val="0"/>
                <w:i w:val="0"/>
                <w:sz w:val="18"/>
              </w:rPr>
              <w:t>Diaspora + investment</w:t>
            </w:r>
          </w:p>
        </w:tc>
      </w:tr>
      <w:tr>
        <w:tc>
          <w:tcPr>
            <w:tcW w:type="dxa" w:w="1701"/>
            <w:shd w:val="clear" w:color="auto" w:fill="F8FAFC"/>
          </w:tcPr>
          <w:p>
            <w:pPr>
              <w:jc w:val="left"/>
            </w:pPr>
            <w:r/>
            <w:r>
              <w:rPr>
                <w:b w:val="0"/>
                <w:i w:val="0"/>
                <w:sz w:val="18"/>
              </w:rPr>
              <w:t>Romanian</w:t>
            </w:r>
          </w:p>
        </w:tc>
        <w:tc>
          <w:tcPr>
            <w:tcW w:type="dxa" w:w="1984"/>
            <w:shd w:val="clear" w:color="auto" w:fill="F8FAFC"/>
          </w:tcPr>
          <w:p>
            <w:pPr>
              <w:jc w:val="left"/>
            </w:pPr>
            <w:r/>
            <w:r>
              <w:rPr>
                <w:b w:val="0"/>
                <w:i w:val="0"/>
                <w:sz w:val="18"/>
              </w:rPr>
              <w:t>4.9%</w:t>
            </w:r>
          </w:p>
        </w:tc>
        <w:tc>
          <w:tcPr>
            <w:tcW w:type="dxa" w:w="1417"/>
            <w:shd w:val="clear" w:color="auto" w:fill="F8FAFC"/>
          </w:tcPr>
          <w:p>
            <w:pPr>
              <w:jc w:val="left"/>
            </w:pPr>
            <w:r/>
            <w:r>
              <w:rPr>
                <w:b w:val="0"/>
                <w:i w:val="0"/>
                <w:sz w:val="18"/>
              </w:rPr>
              <w:t>€150k</w:t>
            </w:r>
          </w:p>
        </w:tc>
        <w:tc>
          <w:tcPr>
            <w:tcW w:type="dxa" w:w="2268"/>
            <w:shd w:val="clear" w:color="auto" w:fill="F8FAFC"/>
          </w:tcPr>
          <w:p>
            <w:pPr>
              <w:jc w:val="left"/>
            </w:pPr>
            <w:r/>
            <w:r>
              <w:rPr>
                <w:b w:val="0"/>
                <w:i w:val="0"/>
                <w:sz w:val="18"/>
              </w:rPr>
              <w:t>Madrid, Castellón</w:t>
            </w:r>
          </w:p>
        </w:tc>
        <w:tc>
          <w:tcPr>
            <w:tcW w:type="dxa" w:w="1984"/>
            <w:shd w:val="clear" w:color="auto" w:fill="F8FAFC"/>
          </w:tcPr>
          <w:p>
            <w:pPr>
              <w:jc w:val="left"/>
            </w:pPr>
            <w:r/>
            <w:r>
              <w:rPr>
                <w:b w:val="0"/>
                <w:i w:val="0"/>
                <w:sz w:val="18"/>
              </w:rPr>
              <w:t>Residency + work</w:t>
            </w:r>
          </w:p>
        </w:tc>
      </w:tr>
      <w:tr>
        <w:tc>
          <w:tcPr>
            <w:tcW w:type="dxa" w:w="1701"/>
            <w:shd w:val="clear" w:color="auto" w:fill="FFFFFF"/>
          </w:tcPr>
          <w:p>
            <w:pPr>
              <w:jc w:val="left"/>
            </w:pPr>
            <w:r/>
            <w:r>
              <w:rPr>
                <w:b w:val="0"/>
                <w:i w:val="0"/>
                <w:sz w:val="18"/>
              </w:rPr>
              <w:t>Scandinavian</w:t>
            </w:r>
          </w:p>
        </w:tc>
        <w:tc>
          <w:tcPr>
            <w:tcW w:type="dxa" w:w="1984"/>
            <w:shd w:val="clear" w:color="auto" w:fill="FFFFFF"/>
          </w:tcPr>
          <w:p>
            <w:pPr>
              <w:jc w:val="left"/>
            </w:pPr>
            <w:r/>
            <w:r>
              <w:rPr>
                <w:b w:val="0"/>
                <w:i w:val="0"/>
                <w:sz w:val="18"/>
              </w:rPr>
              <w:t>4.3%</w:t>
            </w:r>
          </w:p>
        </w:tc>
        <w:tc>
          <w:tcPr>
            <w:tcW w:type="dxa" w:w="1417"/>
            <w:shd w:val="clear" w:color="auto" w:fill="FFFFFF"/>
          </w:tcPr>
          <w:p>
            <w:pPr>
              <w:jc w:val="left"/>
            </w:pPr>
            <w:r/>
            <w:r>
              <w:rPr>
                <w:b w:val="0"/>
                <w:i w:val="0"/>
                <w:sz w:val="18"/>
              </w:rPr>
              <w:t>€420k</w:t>
            </w:r>
          </w:p>
        </w:tc>
        <w:tc>
          <w:tcPr>
            <w:tcW w:type="dxa" w:w="2268"/>
            <w:shd w:val="clear" w:color="auto" w:fill="FFFFFF"/>
          </w:tcPr>
          <w:p>
            <w:pPr>
              <w:jc w:val="left"/>
            </w:pPr>
            <w:r/>
            <w:r>
              <w:rPr>
                <w:b w:val="0"/>
                <w:i w:val="0"/>
                <w:sz w:val="18"/>
              </w:rPr>
              <w:t>Costa del Sol, Canarias</w:t>
            </w:r>
          </w:p>
        </w:tc>
        <w:tc>
          <w:tcPr>
            <w:tcW w:type="dxa" w:w="1984"/>
            <w:shd w:val="clear" w:color="auto" w:fill="FFFFFF"/>
          </w:tcPr>
          <w:p>
            <w:pPr>
              <w:jc w:val="left"/>
            </w:pPr>
            <w:r/>
            <w:r>
              <w:rPr>
                <w:b w:val="0"/>
                <w:i w:val="0"/>
                <w:sz w:val="18"/>
              </w:rPr>
              <w:t>Retirement + sun</w:t>
            </w:r>
          </w:p>
        </w:tc>
      </w:tr>
      <w:tr>
        <w:tc>
          <w:tcPr>
            <w:tcW w:type="dxa" w:w="1701"/>
            <w:shd w:val="clear" w:color="auto" w:fill="F8FAFC"/>
          </w:tcPr>
          <w:p>
            <w:pPr>
              <w:jc w:val="left"/>
            </w:pPr>
            <w:r/>
            <w:r>
              <w:rPr>
                <w:b w:val="0"/>
                <w:i w:val="0"/>
                <w:sz w:val="18"/>
              </w:rPr>
              <w:t>American/Canadian</w:t>
            </w:r>
          </w:p>
        </w:tc>
        <w:tc>
          <w:tcPr>
            <w:tcW w:type="dxa" w:w="1984"/>
            <w:shd w:val="clear" w:color="auto" w:fill="F8FAFC"/>
          </w:tcPr>
          <w:p>
            <w:pPr>
              <w:jc w:val="left"/>
            </w:pPr>
            <w:r/>
            <w:r>
              <w:rPr>
                <w:b w:val="0"/>
                <w:i w:val="0"/>
                <w:sz w:val="18"/>
              </w:rPr>
              <w:t>3.8%</w:t>
            </w:r>
          </w:p>
        </w:tc>
        <w:tc>
          <w:tcPr>
            <w:tcW w:type="dxa" w:w="1417"/>
            <w:shd w:val="clear" w:color="auto" w:fill="F8FAFC"/>
          </w:tcPr>
          <w:p>
            <w:pPr>
              <w:jc w:val="left"/>
            </w:pPr>
            <w:r/>
            <w:r>
              <w:rPr>
                <w:b w:val="0"/>
                <w:i w:val="0"/>
                <w:sz w:val="18"/>
              </w:rPr>
              <w:t>€580k</w:t>
            </w:r>
          </w:p>
        </w:tc>
        <w:tc>
          <w:tcPr>
            <w:tcW w:type="dxa" w:w="2268"/>
            <w:shd w:val="clear" w:color="auto" w:fill="F8FAFC"/>
          </w:tcPr>
          <w:p>
            <w:pPr>
              <w:jc w:val="left"/>
            </w:pPr>
            <w:r/>
            <w:r>
              <w:rPr>
                <w:b w:val="0"/>
                <w:i w:val="0"/>
                <w:sz w:val="18"/>
              </w:rPr>
              <w:t>Madrid, Barcelona, Marbella</w:t>
            </w:r>
          </w:p>
        </w:tc>
        <w:tc>
          <w:tcPr>
            <w:tcW w:type="dxa" w:w="1984"/>
            <w:shd w:val="clear" w:color="auto" w:fill="F8FAFC"/>
          </w:tcPr>
          <w:p>
            <w:pPr>
              <w:jc w:val="left"/>
            </w:pPr>
            <w:r/>
            <w:r>
              <w:rPr>
                <w:b w:val="0"/>
                <w:i w:val="0"/>
                <w:sz w:val="18"/>
              </w:rPr>
              <w:t>Digital nomad + luxury</w:t>
            </w:r>
          </w:p>
        </w:tc>
      </w:tr>
    </w:tbl>
    <w:p/>
    <w:p>
      <w:r>
        <w:br w:type="page"/>
      </w:r>
    </w:p>
    <w:p>
      <w:pPr>
        <w:spacing w:before="360" w:after="120"/>
      </w:pPr>
      <w:r>
        <w:rPr>
          <w:b/>
          <w:color w:val="0A1628"/>
          <w:sz w:val="36"/>
        </w:rPr>
        <w:t>SECTION C — STRUCTURED PROBLEM SOLVING: HUSPY MÁLAGA GROWTH</w:t>
      </w:r>
    </w:p>
    <w:p>
      <w:pPr>
        <w:spacing w:after="80"/>
      </w:pPr>
      <w:r>
        <w:rPr>
          <w:b w:val="0"/>
          <w:i/>
          <w:color w:val="64748B"/>
          <w:sz w:val="20"/>
        </w:rPr>
        <w:t>Scenario: Huspy has established a Málaga footprint after 20× Spain growth in 2024. The task is to identify the highest-value levers to accelerate the business over the next 12 months.</w:t>
      </w:r>
    </w:p>
    <w:p>
      <w:pPr>
        <w:spacing w:before="240" w:after="80"/>
      </w:pPr>
      <w:r>
        <w:rPr>
          <w:b/>
          <w:color w:val="0A1628"/>
          <w:sz w:val="28"/>
        </w:rPr>
        <w:t>Step 1: Situation Diagnosis (What Do We Know?)</w:t>
      </w:r>
    </w:p>
    <w:tbl>
      <w:tblPr>
        <w:tblStyle w:val="TableGrid"/>
        <w:tblW w:type="auto" w:w="0"/>
        <w:tblLook w:firstColumn="1" w:firstRow="1" w:lastColumn="0" w:lastRow="0" w:noHBand="0" w:noVBand="1" w:val="04A0"/>
      </w:tblPr>
      <w:tblGrid>
        <w:gridCol w:w="3135"/>
        <w:gridCol w:w="3135"/>
        <w:gridCol w:w="3135"/>
      </w:tblGrid>
      <w:tr>
        <w:tc>
          <w:tcPr>
            <w:tcW w:type="dxa" w:w="3118"/>
            <w:shd w:val="clear" w:color="auto" w:fill="0A1628"/>
          </w:tcPr>
          <w:p>
            <w:pPr>
              <w:jc w:val="left"/>
            </w:pPr>
            <w:r/>
            <w:r>
              <w:rPr>
                <w:b/>
                <w:i w:val="0"/>
                <w:color w:val="FFFFFF"/>
                <w:sz w:val="18"/>
              </w:rPr>
              <w:t>Known Strengths</w:t>
            </w:r>
          </w:p>
        </w:tc>
        <w:tc>
          <w:tcPr>
            <w:tcW w:type="dxa" w:w="3118"/>
            <w:shd w:val="clear" w:color="auto" w:fill="0A1628"/>
          </w:tcPr>
          <w:p>
            <w:pPr>
              <w:jc w:val="left"/>
            </w:pPr>
            <w:r/>
            <w:r>
              <w:rPr>
                <w:b/>
                <w:i w:val="0"/>
                <w:color w:val="FFFFFF"/>
                <w:sz w:val="18"/>
              </w:rPr>
              <w:t>Known Gaps</w:t>
            </w:r>
          </w:p>
        </w:tc>
        <w:tc>
          <w:tcPr>
            <w:tcW w:type="dxa" w:w="3118"/>
            <w:shd w:val="clear" w:color="auto" w:fill="0A1628"/>
          </w:tcPr>
          <w:p>
            <w:pPr>
              <w:jc w:val="left"/>
            </w:pPr>
            <w:r/>
            <w:r>
              <w:rPr>
                <w:b/>
                <w:i w:val="0"/>
                <w:color w:val="FFFFFF"/>
                <w:sz w:val="18"/>
              </w:rPr>
              <w:t>Key Risks</w:t>
            </w:r>
          </w:p>
        </w:tc>
      </w:tr>
      <w:tr>
        <w:tc>
          <w:tcPr>
            <w:tcW w:type="dxa" w:w="3118"/>
            <w:shd w:val="clear" w:color="auto" w:fill="F8FAFC"/>
          </w:tcPr>
          <w:p>
            <w:pPr>
              <w:jc w:val="left"/>
            </w:pPr>
            <w:r/>
            <w:r>
              <w:rPr>
                <w:b w:val="0"/>
                <w:i w:val="0"/>
                <w:sz w:val="18"/>
              </w:rPr>
              <w:t>Integrated mortgage (25+ bank partners)</w:t>
            </w:r>
          </w:p>
        </w:tc>
        <w:tc>
          <w:tcPr>
            <w:tcW w:type="dxa" w:w="3118"/>
            <w:shd w:val="clear" w:color="auto" w:fill="F8FAFC"/>
          </w:tcPr>
          <w:p>
            <w:pPr>
              <w:jc w:val="left"/>
            </w:pPr>
            <w:r/>
            <w:r>
              <w:rPr>
                <w:b w:val="0"/>
                <w:i w:val="0"/>
                <w:sz w:val="18"/>
              </w:rPr>
              <w:t>Current mortgage attach rate (~15–20%)</w:t>
            </w:r>
          </w:p>
        </w:tc>
        <w:tc>
          <w:tcPr>
            <w:tcW w:type="dxa" w:w="3118"/>
            <w:shd w:val="clear" w:color="auto" w:fill="F8FAFC"/>
          </w:tcPr>
          <w:p>
            <w:pPr>
              <w:jc w:val="left"/>
            </w:pPr>
            <w:r/>
            <w:r>
              <w:rPr>
                <w:b w:val="0"/>
                <w:i w:val="0"/>
                <w:sz w:val="18"/>
              </w:rPr>
              <w:t>E&amp;V fined €22M — freelance model risk</w:t>
            </w:r>
          </w:p>
        </w:tc>
      </w:tr>
      <w:tr>
        <w:tc>
          <w:tcPr>
            <w:tcW w:type="dxa" w:w="3118"/>
            <w:shd w:val="clear" w:color="auto" w:fill="FFFFFF"/>
          </w:tcPr>
          <w:p>
            <w:pPr>
              <w:jc w:val="left"/>
            </w:pPr>
            <w:r/>
            <w:r>
              <w:rPr>
                <w:b w:val="0"/>
                <w:i w:val="0"/>
                <w:sz w:val="18"/>
              </w:rPr>
              <w:t>UAE playbook: 30% mortgage market share</w:t>
            </w:r>
          </w:p>
        </w:tc>
        <w:tc>
          <w:tcPr>
            <w:tcW w:type="dxa" w:w="3118"/>
            <w:shd w:val="clear" w:color="auto" w:fill="FFFFFF"/>
          </w:tcPr>
          <w:p>
            <w:pPr>
              <w:jc w:val="left"/>
            </w:pPr>
            <w:r/>
            <w:r>
              <w:rPr>
                <w:b w:val="0"/>
                <w:i w:val="0"/>
                <w:sz w:val="18"/>
              </w:rPr>
              <w:t>Foreign buyer conversion tools/languages</w:t>
            </w:r>
          </w:p>
        </w:tc>
        <w:tc>
          <w:tcPr>
            <w:tcW w:type="dxa" w:w="3118"/>
            <w:shd w:val="clear" w:color="auto" w:fill="FFFFFF"/>
          </w:tcPr>
          <w:p>
            <w:pPr>
              <w:jc w:val="left"/>
            </w:pPr>
            <w:r/>
            <w:r>
              <w:rPr>
                <w:b w:val="0"/>
                <w:i w:val="0"/>
                <w:sz w:val="18"/>
              </w:rPr>
              <w:t>Idealista controls lead flow — dependency</w:t>
            </w:r>
          </w:p>
        </w:tc>
      </w:tr>
      <w:tr>
        <w:tc>
          <w:tcPr>
            <w:tcW w:type="dxa" w:w="3118"/>
            <w:shd w:val="clear" w:color="auto" w:fill="F8FAFC"/>
          </w:tcPr>
          <w:p>
            <w:pPr>
              <w:jc w:val="left"/>
            </w:pPr>
            <w:r/>
            <w:r>
              <w:rPr>
                <w:b w:val="0"/>
                <w:i w:val="0"/>
                <w:sz w:val="18"/>
              </w:rPr>
              <w:t>Series B ($59M Balderton): growth capital</w:t>
            </w:r>
          </w:p>
        </w:tc>
        <w:tc>
          <w:tcPr>
            <w:tcW w:type="dxa" w:w="3118"/>
            <w:shd w:val="clear" w:color="auto" w:fill="F8FAFC"/>
          </w:tcPr>
          <w:p>
            <w:pPr>
              <w:jc w:val="left"/>
            </w:pPr>
            <w:r/>
            <w:r>
              <w:rPr>
                <w:b w:val="0"/>
                <w:i w:val="0"/>
                <w:sz w:val="18"/>
              </w:rPr>
              <w:t>Developer/off-plan pipeline unclear</w:t>
            </w:r>
          </w:p>
        </w:tc>
        <w:tc>
          <w:tcPr>
            <w:tcW w:type="dxa" w:w="3118"/>
            <w:shd w:val="clear" w:color="auto" w:fill="F8FAFC"/>
          </w:tcPr>
          <w:p>
            <w:pPr>
              <w:jc w:val="left"/>
            </w:pPr>
            <w:r/>
            <w:r>
              <w:rPr>
                <w:b w:val="0"/>
                <w:i w:val="0"/>
                <w:sz w:val="18"/>
              </w:rPr>
              <w:t>STR moratorium reduces investor returns</w:t>
            </w:r>
          </w:p>
        </w:tc>
      </w:tr>
      <w:tr>
        <w:tc>
          <w:tcPr>
            <w:tcW w:type="dxa" w:w="3118"/>
            <w:shd w:val="clear" w:color="auto" w:fill="FFFFFF"/>
          </w:tcPr>
          <w:p>
            <w:pPr>
              <w:jc w:val="left"/>
            </w:pPr>
            <w:r/>
            <w:r>
              <w:rPr>
                <w:b w:val="0"/>
                <w:i w:val="0"/>
                <w:sz w:val="18"/>
              </w:rPr>
              <w:t>AI tools + CRM = agent productivity edge</w:t>
            </w:r>
          </w:p>
        </w:tc>
        <w:tc>
          <w:tcPr>
            <w:tcW w:type="dxa" w:w="3118"/>
            <w:shd w:val="clear" w:color="auto" w:fill="FFFFFF"/>
          </w:tcPr>
          <w:p>
            <w:pPr>
              <w:jc w:val="left"/>
            </w:pPr>
            <w:r/>
            <w:r>
              <w:rPr>
                <w:b w:val="0"/>
                <w:i w:val="0"/>
                <w:sz w:val="18"/>
              </w:rPr>
              <w:t>Luxury segment (Marbella) penetration</w:t>
            </w:r>
          </w:p>
        </w:tc>
        <w:tc>
          <w:tcPr>
            <w:tcW w:type="dxa" w:w="3118"/>
            <w:shd w:val="clear" w:color="auto" w:fill="FFFFFF"/>
          </w:tcPr>
          <w:p>
            <w:pPr>
              <w:jc w:val="left"/>
            </w:pPr>
            <w:r/>
            <w:r>
              <w:rPr>
                <w:b w:val="0"/>
                <w:i w:val="0"/>
                <w:sz w:val="18"/>
              </w:rPr>
              <w:t>Supply shortage limits transaction volume</w:t>
            </w:r>
          </w:p>
        </w:tc>
      </w:tr>
      <w:tr>
        <w:tc>
          <w:tcPr>
            <w:tcW w:type="dxa" w:w="3118"/>
            <w:shd w:val="clear" w:color="auto" w:fill="F8FAFC"/>
          </w:tcPr>
          <w:p>
            <w:pPr>
              <w:jc w:val="left"/>
            </w:pPr>
            <w:r/>
            <w:r>
              <w:rPr>
                <w:b w:val="0"/>
                <w:i w:val="0"/>
                <w:sz w:val="18"/>
              </w:rPr>
              <w:t>20× Spain growth 2024 = brand momentum</w:t>
            </w:r>
          </w:p>
        </w:tc>
        <w:tc>
          <w:tcPr>
            <w:tcW w:type="dxa" w:w="3118"/>
            <w:shd w:val="clear" w:color="auto" w:fill="F8FAFC"/>
          </w:tcPr>
          <w:p>
            <w:pPr>
              <w:jc w:val="left"/>
            </w:pPr>
            <w:r/>
            <w:r>
              <w:rPr>
                <w:b w:val="0"/>
                <w:i w:val="0"/>
                <w:sz w:val="18"/>
              </w:rPr>
              <w:t>Agent NPS and churn rate unknown</w:t>
            </w:r>
          </w:p>
        </w:tc>
        <w:tc>
          <w:tcPr>
            <w:tcW w:type="dxa" w:w="3118"/>
            <w:shd w:val="clear" w:color="auto" w:fill="F8FAFC"/>
          </w:tcPr>
          <w:p>
            <w:pPr>
              <w:jc w:val="left"/>
            </w:pPr>
            <w:r/>
            <w:r>
              <w:rPr>
                <w:b w:val="0"/>
                <w:i w:val="0"/>
                <w:sz w:val="18"/>
              </w:rPr>
              <w:t>Golden Visa removed April 2025</w:t>
            </w:r>
          </w:p>
        </w:tc>
      </w:tr>
      <w:tr>
        <w:tc>
          <w:tcPr>
            <w:tcW w:type="dxa" w:w="3118"/>
            <w:shd w:val="clear" w:color="auto" w:fill="FFFFFF"/>
          </w:tcPr>
          <w:p>
            <w:pPr>
              <w:jc w:val="left"/>
            </w:pPr>
            <w:r/>
            <w:r>
              <w:rPr>
                <w:b w:val="0"/>
                <w:i w:val="0"/>
                <w:sz w:val="18"/>
              </w:rPr>
              <w:t>Málaga: foreign-heavy = digital platform fit</w:t>
            </w:r>
          </w:p>
        </w:tc>
        <w:tc>
          <w:tcPr>
            <w:tcW w:type="dxa" w:w="3118"/>
            <w:shd w:val="clear" w:color="auto" w:fill="FFFFFF"/>
          </w:tcPr>
          <w:p>
            <w:pPr>
              <w:jc w:val="left"/>
            </w:pPr>
            <w:r/>
            <w:r>
              <w:rPr>
                <w:b w:val="0"/>
                <w:i w:val="0"/>
                <w:sz w:val="18"/>
              </w:rPr>
              <w:t>Rental vertical unexplored</w:t>
            </w:r>
          </w:p>
        </w:tc>
        <w:tc>
          <w:tcPr>
            <w:tcW w:type="dxa" w:w="3118"/>
            <w:shd w:val="clear" w:color="auto" w:fill="FFFFFF"/>
          </w:tcPr>
          <w:p>
            <w:pPr>
              <w:jc w:val="left"/>
            </w:pPr>
            <w:r/>
            <w:r>
              <w:rPr>
                <w:b w:val="0"/>
                <w:i w:val="0"/>
                <w:sz w:val="18"/>
              </w:rPr>
              <w:t>Euribor reversal risk on mortgage product</w:t>
            </w:r>
          </w:p>
        </w:tc>
      </w:tr>
    </w:tbl>
    <w:p/>
    <w:p>
      <w:pPr>
        <w:spacing w:before="240" w:after="80"/>
      </w:pPr>
      <w:r>
        <w:rPr>
          <w:b/>
          <w:color w:val="0A1628"/>
          <w:sz w:val="28"/>
        </w:rPr>
        <w:t>Step 2: Value Gap Analysis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984"/>
            <w:shd w:val="clear" w:color="auto" w:fill="0A1628"/>
          </w:tcPr>
          <w:p>
            <w:pPr>
              <w:jc w:val="left"/>
            </w:pPr>
            <w:r/>
            <w:r>
              <w:rPr>
                <w:b/>
                <w:i w:val="0"/>
                <w:color w:val="FFFFFF"/>
                <w:sz w:val="18"/>
              </w:rPr>
              <w:t>Gap Area</w:t>
            </w:r>
          </w:p>
        </w:tc>
        <w:tc>
          <w:tcPr>
            <w:tcW w:type="dxa" w:w="1984"/>
            <w:shd w:val="clear" w:color="auto" w:fill="0A1628"/>
          </w:tcPr>
          <w:p>
            <w:pPr>
              <w:jc w:val="left"/>
            </w:pPr>
            <w:r/>
            <w:r>
              <w:rPr>
                <w:b/>
                <w:i w:val="0"/>
                <w:color w:val="FFFFFF"/>
                <w:sz w:val="18"/>
              </w:rPr>
              <w:t>Current State</w:t>
            </w:r>
          </w:p>
        </w:tc>
        <w:tc>
          <w:tcPr>
            <w:tcW w:type="dxa" w:w="1984"/>
            <w:shd w:val="clear" w:color="auto" w:fill="0A1628"/>
          </w:tcPr>
          <w:p>
            <w:pPr>
              <w:jc w:val="left"/>
            </w:pPr>
            <w:r/>
            <w:r>
              <w:rPr>
                <w:b/>
                <w:i w:val="0"/>
                <w:color w:val="FFFFFF"/>
                <w:sz w:val="18"/>
              </w:rPr>
              <w:t>Target State</w:t>
            </w:r>
          </w:p>
        </w:tc>
        <w:tc>
          <w:tcPr>
            <w:tcW w:type="dxa" w:w="2268"/>
            <w:shd w:val="clear" w:color="auto" w:fill="0A1628"/>
          </w:tcPr>
          <w:p>
            <w:pPr>
              <w:jc w:val="left"/>
            </w:pPr>
            <w:r/>
            <w:r>
              <w:rPr>
                <w:b/>
                <w:i w:val="0"/>
                <w:color w:val="FFFFFF"/>
                <w:sz w:val="18"/>
              </w:rPr>
              <w:t>Value Unlock</w:t>
            </w:r>
          </w:p>
        </w:tc>
        <w:tc>
          <w:tcPr>
            <w:tcW w:type="dxa" w:w="1134"/>
            <w:shd w:val="clear" w:color="auto" w:fill="0A1628"/>
          </w:tcPr>
          <w:p>
            <w:pPr>
              <w:jc w:val="left"/>
            </w:pPr>
            <w:r/>
            <w:r>
              <w:rPr>
                <w:b/>
                <w:i w:val="0"/>
                <w:color w:val="FFFFFF"/>
                <w:sz w:val="18"/>
              </w:rPr>
              <w:t>Priority</w:t>
            </w:r>
          </w:p>
        </w:tc>
      </w:tr>
      <w:tr>
        <w:tc>
          <w:tcPr>
            <w:tcW w:type="dxa" w:w="1984"/>
            <w:shd w:val="clear" w:color="auto" w:fill="F8FAFC"/>
          </w:tcPr>
          <w:p>
            <w:pPr>
              <w:jc w:val="left"/>
            </w:pPr>
            <w:r/>
            <w:r>
              <w:rPr>
                <w:b w:val="0"/>
                <w:i w:val="0"/>
                <w:sz w:val="18"/>
              </w:rPr>
              <w:t>Mortgage Attach Rate</w:t>
            </w:r>
          </w:p>
        </w:tc>
        <w:tc>
          <w:tcPr>
            <w:tcW w:type="dxa" w:w="1984"/>
            <w:shd w:val="clear" w:color="auto" w:fill="F8FAFC"/>
          </w:tcPr>
          <w:p>
            <w:pPr>
              <w:jc w:val="left"/>
            </w:pPr>
            <w:r/>
            <w:r>
              <w:rPr>
                <w:b w:val="0"/>
                <w:i w:val="0"/>
                <w:sz w:val="18"/>
              </w:rPr>
              <w:t>~15–20% of deals include Huspy mortgage</w:t>
            </w:r>
          </w:p>
        </w:tc>
        <w:tc>
          <w:tcPr>
            <w:tcW w:type="dxa" w:w="1984"/>
            <w:shd w:val="clear" w:color="auto" w:fill="F8FAFC"/>
          </w:tcPr>
          <w:p>
            <w:pPr>
              <w:jc w:val="left"/>
            </w:pPr>
            <w:r/>
            <w:r>
              <w:rPr>
                <w:b w:val="0"/>
                <w:i w:val="0"/>
                <w:sz w:val="18"/>
              </w:rPr>
              <w:t>40%+ attach rate</w:t>
            </w:r>
          </w:p>
        </w:tc>
        <w:tc>
          <w:tcPr>
            <w:tcW w:type="dxa" w:w="2268"/>
            <w:shd w:val="clear" w:color="auto" w:fill="F8FAFC"/>
          </w:tcPr>
          <w:p>
            <w:pPr>
              <w:jc w:val="left"/>
            </w:pPr>
            <w:r/>
            <w:r>
              <w:rPr>
                <w:b w:val="0"/>
                <w:i w:val="0"/>
                <w:sz w:val="18"/>
              </w:rPr>
              <w:t>Each mortgage = €2,000–3,000 revenue; zero incremental agent cost</w:t>
            </w:r>
          </w:p>
        </w:tc>
        <w:tc>
          <w:tcPr>
            <w:tcW w:type="dxa" w:w="1134"/>
            <w:shd w:val="clear" w:color="auto" w:fill="F8FAFC"/>
          </w:tcPr>
          <w:p>
            <w:pPr>
              <w:jc w:val="left"/>
            </w:pPr>
            <w:r/>
            <w:r>
              <w:rPr>
                <w:b w:val="0"/>
                <w:i w:val="0"/>
                <w:sz w:val="18"/>
              </w:rPr>
              <w:t>HIGH</w:t>
            </w:r>
          </w:p>
        </w:tc>
      </w:tr>
      <w:tr>
        <w:tc>
          <w:tcPr>
            <w:tcW w:type="dxa" w:w="1984"/>
            <w:shd w:val="clear" w:color="auto" w:fill="FFFFFF"/>
          </w:tcPr>
          <w:p>
            <w:pPr>
              <w:jc w:val="left"/>
            </w:pPr>
            <w:r/>
            <w:r>
              <w:rPr>
                <w:b w:val="0"/>
                <w:i w:val="0"/>
                <w:sz w:val="18"/>
              </w:rPr>
              <w:t>Foreign Buyer Conversion</w:t>
            </w:r>
          </w:p>
        </w:tc>
        <w:tc>
          <w:tcPr>
            <w:tcW w:type="dxa" w:w="1984"/>
            <w:shd w:val="clear" w:color="auto" w:fill="FFFFFF"/>
          </w:tcPr>
          <w:p>
            <w:pPr>
              <w:jc w:val="left"/>
            </w:pPr>
            <w:r/>
            <w:r>
              <w:rPr>
                <w:b w:val="0"/>
                <w:i w:val="0"/>
                <w:sz w:val="18"/>
              </w:rPr>
              <w:t>Foreign buyers (~40% Málaga) underserved</w:t>
            </w:r>
          </w:p>
        </w:tc>
        <w:tc>
          <w:tcPr>
            <w:tcW w:type="dxa" w:w="1984"/>
            <w:shd w:val="clear" w:color="auto" w:fill="FFFFFF"/>
          </w:tcPr>
          <w:p>
            <w:pPr>
              <w:jc w:val="left"/>
            </w:pPr>
            <w:r/>
            <w:r>
              <w:rPr>
                <w:b w:val="0"/>
                <w:i w:val="0"/>
                <w:sz w:val="18"/>
              </w:rPr>
              <w:t>Multi-language platform; UK/DE/US marketing</w:t>
            </w:r>
          </w:p>
        </w:tc>
        <w:tc>
          <w:tcPr>
            <w:tcW w:type="dxa" w:w="2268"/>
            <w:shd w:val="clear" w:color="auto" w:fill="FFFFFF"/>
          </w:tcPr>
          <w:p>
            <w:pPr>
              <w:jc w:val="left"/>
            </w:pPr>
            <w:r/>
            <w:r>
              <w:rPr>
                <w:b w:val="0"/>
                <w:i w:val="0"/>
                <w:sz w:val="18"/>
              </w:rPr>
              <w:t>40% of 35,400 txns = 14,160 addressable/yr</w:t>
            </w:r>
          </w:p>
        </w:tc>
        <w:tc>
          <w:tcPr>
            <w:tcW w:type="dxa" w:w="1134"/>
            <w:shd w:val="clear" w:color="auto" w:fill="FFFFFF"/>
          </w:tcPr>
          <w:p>
            <w:pPr>
              <w:jc w:val="left"/>
            </w:pPr>
            <w:r/>
            <w:r>
              <w:rPr>
                <w:b w:val="0"/>
                <w:i w:val="0"/>
                <w:sz w:val="18"/>
              </w:rPr>
              <w:t>HIGH</w:t>
            </w:r>
          </w:p>
        </w:tc>
      </w:tr>
      <w:tr>
        <w:tc>
          <w:tcPr>
            <w:tcW w:type="dxa" w:w="1984"/>
            <w:shd w:val="clear" w:color="auto" w:fill="F8FAFC"/>
          </w:tcPr>
          <w:p>
            <w:pPr>
              <w:jc w:val="left"/>
            </w:pPr>
            <w:r/>
            <w:r>
              <w:rPr>
                <w:b w:val="0"/>
                <w:i w:val="0"/>
                <w:sz w:val="18"/>
              </w:rPr>
              <w:t>New Build Developer Pipeline</w:t>
            </w:r>
          </w:p>
        </w:tc>
        <w:tc>
          <w:tcPr>
            <w:tcW w:type="dxa" w:w="1984"/>
            <w:shd w:val="clear" w:color="auto" w:fill="F8FAFC"/>
          </w:tcPr>
          <w:p>
            <w:pPr>
              <w:jc w:val="left"/>
            </w:pPr>
            <w:r/>
            <w:r>
              <w:rPr>
                <w:b w:val="0"/>
                <w:i w:val="0"/>
                <w:sz w:val="18"/>
              </w:rPr>
              <w:t>8,000 new homes expected Málaga 2025</w:t>
            </w:r>
          </w:p>
        </w:tc>
        <w:tc>
          <w:tcPr>
            <w:tcW w:type="dxa" w:w="1984"/>
            <w:shd w:val="clear" w:color="auto" w:fill="F8FAFC"/>
          </w:tcPr>
          <w:p>
            <w:pPr>
              <w:jc w:val="left"/>
            </w:pPr>
            <w:r/>
            <w:r>
              <w:rPr>
                <w:b w:val="0"/>
                <w:i w:val="0"/>
                <w:sz w:val="18"/>
              </w:rPr>
              <w:t>3–5 developer partnerships</w:t>
            </w:r>
          </w:p>
        </w:tc>
        <w:tc>
          <w:tcPr>
            <w:tcW w:type="dxa" w:w="2268"/>
            <w:shd w:val="clear" w:color="auto" w:fill="F8FAFC"/>
          </w:tcPr>
          <w:p>
            <w:pPr>
              <w:jc w:val="left"/>
            </w:pPr>
            <w:r/>
            <w:r>
              <w:rPr>
                <w:b w:val="0"/>
                <w:i w:val="0"/>
                <w:sz w:val="18"/>
              </w:rPr>
              <w:t>Developer pays 5–10% commission on new build</w:t>
            </w:r>
          </w:p>
        </w:tc>
        <w:tc>
          <w:tcPr>
            <w:tcW w:type="dxa" w:w="1134"/>
            <w:shd w:val="clear" w:color="auto" w:fill="F8FAFC"/>
          </w:tcPr>
          <w:p>
            <w:pPr>
              <w:jc w:val="left"/>
            </w:pPr>
            <w:r/>
            <w:r>
              <w:rPr>
                <w:b w:val="0"/>
                <w:i w:val="0"/>
                <w:sz w:val="18"/>
              </w:rPr>
              <w:t>MEDIUM-HIGH</w:t>
            </w:r>
          </w:p>
        </w:tc>
      </w:tr>
      <w:tr>
        <w:tc>
          <w:tcPr>
            <w:tcW w:type="dxa" w:w="1984"/>
            <w:shd w:val="clear" w:color="auto" w:fill="FFFFFF"/>
          </w:tcPr>
          <w:p>
            <w:pPr>
              <w:jc w:val="left"/>
            </w:pPr>
            <w:r/>
            <w:r>
              <w:rPr>
                <w:b w:val="0"/>
                <w:i w:val="0"/>
                <w:sz w:val="18"/>
              </w:rPr>
              <w:t>Luxury Segment (Marbella)</w:t>
            </w:r>
          </w:p>
        </w:tc>
        <w:tc>
          <w:tcPr>
            <w:tcW w:type="dxa" w:w="1984"/>
            <w:shd w:val="clear" w:color="auto" w:fill="FFFFFF"/>
          </w:tcPr>
          <w:p>
            <w:pPr>
              <w:jc w:val="left"/>
            </w:pPr>
            <w:r/>
            <w:r>
              <w:rPr>
                <w:b w:val="0"/>
                <w:i w:val="0"/>
                <w:sz w:val="18"/>
              </w:rPr>
              <w:t>142 sales &gt;€1M in 2024; avg €4,961/m²</w:t>
            </w:r>
          </w:p>
        </w:tc>
        <w:tc>
          <w:tcPr>
            <w:tcW w:type="dxa" w:w="1984"/>
            <w:shd w:val="clear" w:color="auto" w:fill="FFFFFF"/>
          </w:tcPr>
          <w:p>
            <w:pPr>
              <w:jc w:val="left"/>
            </w:pPr>
            <w:r/>
            <w:r>
              <w:rPr>
                <w:b w:val="0"/>
                <w:i w:val="0"/>
                <w:sz w:val="18"/>
              </w:rPr>
              <w:t>Dedicated luxury tier + Marbella team</w:t>
            </w:r>
          </w:p>
        </w:tc>
        <w:tc>
          <w:tcPr>
            <w:tcW w:type="dxa" w:w="2268"/>
            <w:shd w:val="clear" w:color="auto" w:fill="FFFFFF"/>
          </w:tcPr>
          <w:p>
            <w:pPr>
              <w:jc w:val="left"/>
            </w:pPr>
            <w:r/>
            <w:r>
              <w:rPr>
                <w:b w:val="0"/>
                <w:i w:val="0"/>
                <w:sz w:val="18"/>
              </w:rPr>
              <w:t>5% on €1M = €50k/transaction; 10 deals = €500k</w:t>
            </w:r>
          </w:p>
        </w:tc>
        <w:tc>
          <w:tcPr>
            <w:tcW w:type="dxa" w:w="1134"/>
            <w:shd w:val="clear" w:color="auto" w:fill="FFFFFF"/>
          </w:tcPr>
          <w:p>
            <w:pPr>
              <w:jc w:val="left"/>
            </w:pPr>
            <w:r/>
            <w:r>
              <w:rPr>
                <w:b w:val="0"/>
                <w:i w:val="0"/>
                <w:sz w:val="18"/>
              </w:rPr>
              <w:t>MEDIUM-HIGH</w:t>
            </w:r>
          </w:p>
        </w:tc>
      </w:tr>
      <w:tr>
        <w:tc>
          <w:tcPr>
            <w:tcW w:type="dxa" w:w="1984"/>
            <w:shd w:val="clear" w:color="auto" w:fill="F8FAFC"/>
          </w:tcPr>
          <w:p>
            <w:pPr>
              <w:jc w:val="left"/>
            </w:pPr>
            <w:r/>
            <w:r>
              <w:rPr>
                <w:b w:val="0"/>
                <w:i w:val="0"/>
                <w:sz w:val="18"/>
              </w:rPr>
              <w:t>Rental Vertical</w:t>
            </w:r>
          </w:p>
        </w:tc>
        <w:tc>
          <w:tcPr>
            <w:tcW w:type="dxa" w:w="1984"/>
            <w:shd w:val="clear" w:color="auto" w:fill="F8FAFC"/>
          </w:tcPr>
          <w:p>
            <w:pPr>
              <w:jc w:val="left"/>
            </w:pPr>
            <w:r/>
            <w:r>
              <w:rPr>
                <w:b w:val="0"/>
                <w:i w:val="0"/>
                <w:sz w:val="18"/>
              </w:rPr>
              <w:t>€15.60/m²/month; +10% YoY</w:t>
            </w:r>
          </w:p>
        </w:tc>
        <w:tc>
          <w:tcPr>
            <w:tcW w:type="dxa" w:w="1984"/>
            <w:shd w:val="clear" w:color="auto" w:fill="F8FAFC"/>
          </w:tcPr>
          <w:p>
            <w:pPr>
              <w:jc w:val="left"/>
            </w:pPr>
            <w:r/>
            <w:r>
              <w:rPr>
                <w:b w:val="0"/>
                <w:i w:val="0"/>
                <w:sz w:val="18"/>
              </w:rPr>
              <w:t>Rental management vertical</w:t>
            </w:r>
          </w:p>
        </w:tc>
        <w:tc>
          <w:tcPr>
            <w:tcW w:type="dxa" w:w="2268"/>
            <w:shd w:val="clear" w:color="auto" w:fill="F8FAFC"/>
          </w:tcPr>
          <w:p>
            <w:pPr>
              <w:jc w:val="left"/>
            </w:pPr>
            <w:r/>
            <w:r>
              <w:rPr>
                <w:b w:val="0"/>
                <w:i w:val="0"/>
                <w:sz w:val="18"/>
              </w:rPr>
              <w:t>€300/month × 200 properties = €60k/month recurring</w:t>
            </w:r>
          </w:p>
        </w:tc>
        <w:tc>
          <w:tcPr>
            <w:tcW w:type="dxa" w:w="1134"/>
            <w:shd w:val="clear" w:color="auto" w:fill="F8FAFC"/>
          </w:tcPr>
          <w:p>
            <w:pPr>
              <w:jc w:val="left"/>
            </w:pPr>
            <w:r/>
            <w:r>
              <w:rPr>
                <w:b w:val="0"/>
                <w:i w:val="0"/>
                <w:sz w:val="18"/>
              </w:rPr>
              <w:t>MEDIUM</w:t>
            </w:r>
          </w:p>
        </w:tc>
      </w:tr>
      <w:tr>
        <w:tc>
          <w:tcPr>
            <w:tcW w:type="dxa" w:w="1984"/>
            <w:shd w:val="clear" w:color="auto" w:fill="FFFFFF"/>
          </w:tcPr>
          <w:p>
            <w:pPr>
              <w:jc w:val="left"/>
            </w:pPr>
            <w:r/>
            <w:r>
              <w:rPr>
                <w:b w:val="0"/>
                <w:i w:val="0"/>
                <w:sz w:val="18"/>
              </w:rPr>
              <w:t>Agent Retention</w:t>
            </w:r>
          </w:p>
        </w:tc>
        <w:tc>
          <w:tcPr>
            <w:tcW w:type="dxa" w:w="1984"/>
            <w:shd w:val="clear" w:color="auto" w:fill="FFFFFF"/>
          </w:tcPr>
          <w:p>
            <w:pPr>
              <w:jc w:val="left"/>
            </w:pPr>
            <w:r/>
            <w:r>
              <w:rPr>
                <w:b w:val="0"/>
                <w:i w:val="0"/>
                <w:sz w:val="18"/>
              </w:rPr>
              <w:t>Industry churn ~25%/year (freelance)</w:t>
            </w:r>
          </w:p>
        </w:tc>
        <w:tc>
          <w:tcPr>
            <w:tcW w:type="dxa" w:w="1984"/>
            <w:shd w:val="clear" w:color="auto" w:fill="FFFFFF"/>
          </w:tcPr>
          <w:p>
            <w:pPr>
              <w:jc w:val="left"/>
            </w:pPr>
            <w:r/>
            <w:r>
              <w:rPr>
                <w:b w:val="0"/>
                <w:i w:val="0"/>
                <w:sz w:val="18"/>
              </w:rPr>
              <w:t>&lt;15% annual churn; agents as partners</w:t>
            </w:r>
          </w:p>
        </w:tc>
        <w:tc>
          <w:tcPr>
            <w:tcW w:type="dxa" w:w="2268"/>
            <w:shd w:val="clear" w:color="auto" w:fill="FFFFFF"/>
          </w:tcPr>
          <w:p>
            <w:pPr>
              <w:jc w:val="left"/>
            </w:pPr>
            <w:r/>
            <w:r>
              <w:rPr>
                <w:b w:val="0"/>
                <w:i w:val="0"/>
                <w:sz w:val="18"/>
              </w:rPr>
              <w:t>LTV €45k vs €3k replacement CAC = 15× ROI</w:t>
            </w:r>
          </w:p>
        </w:tc>
        <w:tc>
          <w:tcPr>
            <w:tcW w:type="dxa" w:w="1134"/>
            <w:shd w:val="clear" w:color="auto" w:fill="FFFFFF"/>
          </w:tcPr>
          <w:p>
            <w:pPr>
              <w:jc w:val="left"/>
            </w:pPr>
            <w:r/>
            <w:r>
              <w:rPr>
                <w:b w:val="0"/>
                <w:i w:val="0"/>
                <w:sz w:val="18"/>
              </w:rPr>
              <w:t>MEDIUM</w:t>
            </w:r>
          </w:p>
        </w:tc>
      </w:tr>
    </w:tbl>
    <w:p/>
    <w:p>
      <w:pPr>
        <w:spacing w:before="240" w:after="80"/>
      </w:pPr>
      <w:r>
        <w:rPr>
          <w:b/>
          <w:color w:val="0A1628"/>
          <w:sz w:val="28"/>
        </w:rPr>
        <w:t>Step 3: 90-Day Action Plan</w:t>
      </w:r>
    </w:p>
    <w:tbl>
      <w:tblPr>
        <w:tblStyle w:val="TableGrid"/>
        <w:tblW w:type="auto" w:w="0"/>
        <w:tblLook w:firstColumn="1" w:firstRow="1" w:lastColumn="0" w:lastRow="0" w:noHBand="0" w:noVBand="1" w:val="04A0"/>
      </w:tblPr>
      <w:tblGrid>
        <w:gridCol w:w="2351"/>
        <w:gridCol w:w="2351"/>
        <w:gridCol w:w="2351"/>
        <w:gridCol w:w="2351"/>
      </w:tblGrid>
      <w:tr>
        <w:tc>
          <w:tcPr>
            <w:tcW w:type="dxa" w:w="1134"/>
            <w:shd w:val="clear" w:color="auto" w:fill="0A1628"/>
          </w:tcPr>
          <w:p>
            <w:pPr>
              <w:jc w:val="left"/>
            </w:pPr>
            <w:r/>
            <w:r>
              <w:rPr>
                <w:b/>
                <w:i w:val="0"/>
                <w:color w:val="FFFFFF"/>
                <w:sz w:val="18"/>
              </w:rPr>
              <w:t>Month</w:t>
            </w:r>
          </w:p>
        </w:tc>
        <w:tc>
          <w:tcPr>
            <w:tcW w:type="dxa" w:w="1701"/>
            <w:shd w:val="clear" w:color="auto" w:fill="0A1628"/>
          </w:tcPr>
          <w:p>
            <w:pPr>
              <w:jc w:val="left"/>
            </w:pPr>
            <w:r/>
            <w:r>
              <w:rPr>
                <w:b/>
                <w:i w:val="0"/>
                <w:color w:val="FFFFFF"/>
                <w:sz w:val="18"/>
              </w:rPr>
              <w:t>Focus</w:t>
            </w:r>
          </w:p>
        </w:tc>
        <w:tc>
          <w:tcPr>
            <w:tcW w:type="dxa" w:w="5102"/>
            <w:shd w:val="clear" w:color="auto" w:fill="0A1628"/>
          </w:tcPr>
          <w:p>
            <w:pPr>
              <w:jc w:val="left"/>
            </w:pPr>
            <w:r/>
            <w:r>
              <w:rPr>
                <w:b/>
                <w:i w:val="0"/>
                <w:color w:val="FFFFFF"/>
                <w:sz w:val="18"/>
              </w:rPr>
              <w:t>Key Actions</w:t>
            </w:r>
          </w:p>
        </w:tc>
        <w:tc>
          <w:tcPr>
            <w:tcW w:type="dxa" w:w="2551"/>
            <w:shd w:val="clear" w:color="auto" w:fill="0A1628"/>
          </w:tcPr>
          <w:p>
            <w:pPr>
              <w:jc w:val="left"/>
            </w:pPr>
            <w:r/>
            <w:r>
              <w:rPr>
                <w:b/>
                <w:i w:val="0"/>
                <w:color w:val="FFFFFF"/>
                <w:sz w:val="18"/>
              </w:rPr>
              <w:t>Output</w:t>
            </w:r>
          </w:p>
        </w:tc>
      </w:tr>
      <w:tr>
        <w:tc>
          <w:tcPr>
            <w:tcW w:type="dxa" w:w="1134"/>
            <w:shd w:val="clear" w:color="auto" w:fill="F8FAFC"/>
          </w:tcPr>
          <w:p>
            <w:pPr>
              <w:jc w:val="left"/>
            </w:pPr>
            <w:r/>
            <w:r>
              <w:rPr>
                <w:b w:val="0"/>
                <w:i w:val="0"/>
                <w:sz w:val="18"/>
              </w:rPr>
              <w:t>Month 1</w:t>
            </w:r>
          </w:p>
        </w:tc>
        <w:tc>
          <w:tcPr>
            <w:tcW w:type="dxa" w:w="1701"/>
            <w:shd w:val="clear" w:color="auto" w:fill="F8FAFC"/>
          </w:tcPr>
          <w:p>
            <w:pPr>
              <w:jc w:val="left"/>
            </w:pPr>
            <w:r/>
            <w:r>
              <w:rPr>
                <w:b w:val="0"/>
                <w:i w:val="0"/>
                <w:sz w:val="18"/>
              </w:rPr>
              <w:t>Diagnose &amp; Baseline</w:t>
            </w:r>
          </w:p>
        </w:tc>
        <w:tc>
          <w:tcPr>
            <w:tcW w:type="dxa" w:w="5102"/>
            <w:shd w:val="clear" w:color="auto" w:fill="F8FAFC"/>
          </w:tcPr>
          <w:p>
            <w:pPr>
              <w:jc w:val="left"/>
            </w:pPr>
            <w:r/>
            <w:r>
              <w:rPr>
                <w:b w:val="0"/>
                <w:i w:val="0"/>
                <w:sz w:val="18"/>
              </w:rPr>
              <w:t>1. Audit agent pipeline: productivity, volume, segment mix</w:t>
              <w:br/>
              <w:t>2. Map current mortgage attach rate per agent</w:t>
              <w:br/>
              <w:t>3. Run P&amp;L baseline: CAC, LTV, contribution margin</w:t>
              <w:br/>
              <w:t>4. Competitive intel: RE/MAX / Tecnocasa recruitment targets</w:t>
              <w:br/>
              <w:t>5. Journey mapping: where do foreign buyers drop off?</w:t>
            </w:r>
          </w:p>
        </w:tc>
        <w:tc>
          <w:tcPr>
            <w:tcW w:type="dxa" w:w="2551"/>
            <w:shd w:val="clear" w:color="auto" w:fill="F8FAFC"/>
          </w:tcPr>
          <w:p>
            <w:pPr>
              <w:jc w:val="left"/>
            </w:pPr>
            <w:r/>
            <w:r>
              <w:rPr>
                <w:b w:val="0"/>
                <w:i w:val="0"/>
                <w:sz w:val="18"/>
              </w:rPr>
              <w:t>Data-backed baseline P&amp;L + agent segmentation matrix</w:t>
            </w:r>
          </w:p>
        </w:tc>
      </w:tr>
      <w:tr>
        <w:tc>
          <w:tcPr>
            <w:tcW w:type="dxa" w:w="1134"/>
            <w:shd w:val="clear" w:color="auto" w:fill="FFFFFF"/>
          </w:tcPr>
          <w:p>
            <w:pPr>
              <w:jc w:val="left"/>
            </w:pPr>
            <w:r/>
            <w:r>
              <w:rPr>
                <w:b w:val="0"/>
                <w:i w:val="0"/>
                <w:sz w:val="18"/>
              </w:rPr>
              <w:t>Month 2</w:t>
            </w:r>
          </w:p>
        </w:tc>
        <w:tc>
          <w:tcPr>
            <w:tcW w:type="dxa" w:w="1701"/>
            <w:shd w:val="clear" w:color="auto" w:fill="FFFFFF"/>
          </w:tcPr>
          <w:p>
            <w:pPr>
              <w:jc w:val="left"/>
            </w:pPr>
            <w:r/>
            <w:r>
              <w:rPr>
                <w:b w:val="0"/>
                <w:i w:val="0"/>
                <w:sz w:val="18"/>
              </w:rPr>
              <w:t>Prioritize &amp; Design</w:t>
            </w:r>
          </w:p>
        </w:tc>
        <w:tc>
          <w:tcPr>
            <w:tcW w:type="dxa" w:w="5102"/>
            <w:shd w:val="clear" w:color="auto" w:fill="FFFFFF"/>
          </w:tcPr>
          <w:p>
            <w:pPr>
              <w:jc w:val="left"/>
            </w:pPr>
            <w:r/>
            <w:r>
              <w:rPr>
                <w:b w:val="0"/>
                <w:i w:val="0"/>
                <w:sz w:val="18"/>
              </w:rPr>
              <w:t>1. Mortgage attach: train agents on pitch; fast-track approval with CaixaBank, BBVA, Santander</w:t>
              <w:br/>
              <w:t>2. Foreign buyer funnel: English/German landing pages; Kyero + A Place in the Sun partnerships</w:t>
              <w:br/>
              <w:t>3. Developer outreach: top 3 developers with 2025 Málaga launches</w:t>
              <w:br/>
              <w:t>4. Luxury pilot: recruit 2 Marbella-specialist agents</w:t>
              <w:br/>
              <w:t>5. Define KPI dashboard: GMV/agent, mortgage attach, NPS, churn</w:t>
            </w:r>
          </w:p>
        </w:tc>
        <w:tc>
          <w:tcPr>
            <w:tcW w:type="dxa" w:w="2551"/>
            <w:shd w:val="clear" w:color="auto" w:fill="FFFFFF"/>
          </w:tcPr>
          <w:p>
            <w:pPr>
              <w:jc w:val="left"/>
            </w:pPr>
            <w:r/>
            <w:r>
              <w:rPr>
                <w:b w:val="0"/>
                <w:i w:val="0"/>
                <w:sz w:val="18"/>
              </w:rPr>
              <w:t>Prioritized growth roadmap with owners, timelines, success metrics</w:t>
            </w:r>
          </w:p>
        </w:tc>
      </w:tr>
      <w:tr>
        <w:tc>
          <w:tcPr>
            <w:tcW w:type="dxa" w:w="1134"/>
            <w:shd w:val="clear" w:color="auto" w:fill="F8FAFC"/>
          </w:tcPr>
          <w:p>
            <w:pPr>
              <w:jc w:val="left"/>
            </w:pPr>
            <w:r/>
            <w:r>
              <w:rPr>
                <w:b w:val="0"/>
                <w:i w:val="0"/>
                <w:sz w:val="18"/>
              </w:rPr>
              <w:t>Month 3</w:t>
            </w:r>
          </w:p>
        </w:tc>
        <w:tc>
          <w:tcPr>
            <w:tcW w:type="dxa" w:w="1701"/>
            <w:shd w:val="clear" w:color="auto" w:fill="F8FAFC"/>
          </w:tcPr>
          <w:p>
            <w:pPr>
              <w:jc w:val="left"/>
            </w:pPr>
            <w:r/>
            <w:r>
              <w:rPr>
                <w:b w:val="0"/>
                <w:i w:val="0"/>
                <w:sz w:val="18"/>
              </w:rPr>
              <w:t>Execute &amp; Measure</w:t>
            </w:r>
          </w:p>
        </w:tc>
        <w:tc>
          <w:tcPr>
            <w:tcW w:type="dxa" w:w="5102"/>
            <w:shd w:val="clear" w:color="auto" w:fill="F8FAFC"/>
          </w:tcPr>
          <w:p>
            <w:pPr>
              <w:jc w:val="left"/>
            </w:pPr>
            <w:r/>
            <w:r>
              <w:rPr>
                <w:b w:val="0"/>
                <w:i w:val="0"/>
                <w:sz w:val="18"/>
              </w:rPr>
              <w:t>1. Agent count: +20% from baseline (Málaga + Marbella)</w:t>
              <w:br/>
              <w:t>2. Mortgage attach: target 40% by Q2</w:t>
              <w:br/>
              <w:t>3. Foreign buyer: 3 international inbound deals via new channels</w:t>
              <w:br/>
              <w:t>4. Developer: 1 signed MOU with new-build developer</w:t>
              <w:br/>
              <w:t>5. Weekly pipeline review: top 10 deals by stage every Monday</w:t>
            </w:r>
          </w:p>
        </w:tc>
        <w:tc>
          <w:tcPr>
            <w:tcW w:type="dxa" w:w="2551"/>
            <w:shd w:val="clear" w:color="auto" w:fill="F8FAFC"/>
          </w:tcPr>
          <w:p>
            <w:pPr>
              <w:jc w:val="left"/>
            </w:pPr>
            <w:r/>
            <w:r>
              <w:rPr>
                <w:b w:val="0"/>
                <w:i w:val="0"/>
                <w:sz w:val="18"/>
              </w:rPr>
              <w:t>Running operational cadence; 90-day KPI scorecard</w:t>
            </w:r>
          </w:p>
        </w:tc>
      </w:tr>
    </w:tbl>
    <w:p/>
    <w:p>
      <w:pPr>
        <w:spacing w:before="240" w:after="80"/>
      </w:pPr>
      <w:r>
        <w:rPr>
          <w:b/>
          <w:color w:val="0A1628"/>
          <w:sz w:val="28"/>
        </w:rPr>
        <w:t>Step 4: Unit Economics Per Transaction (at Scale)</w:t>
      </w:r>
    </w:p>
    <w:tbl>
      <w:tblPr>
        <w:tblStyle w:val="TableGrid"/>
        <w:tblW w:type="auto" w:w="0"/>
        <w:tblLook w:firstColumn="1" w:firstRow="1" w:lastColumn="0" w:lastRow="0" w:noHBand="0" w:noVBand="1" w:val="04A0"/>
      </w:tblPr>
      <w:tblGrid>
        <w:gridCol w:w="2351"/>
        <w:gridCol w:w="2351"/>
        <w:gridCol w:w="2351"/>
        <w:gridCol w:w="2351"/>
      </w:tblGrid>
      <w:tr>
        <w:tc>
          <w:tcPr>
            <w:tcW w:type="dxa" w:w="3118"/>
            <w:shd w:val="clear" w:color="auto" w:fill="0A1628"/>
          </w:tcPr>
          <w:p>
            <w:pPr>
              <w:jc w:val="left"/>
            </w:pPr>
            <w:r/>
            <w:r>
              <w:rPr>
                <w:b/>
                <w:i w:val="0"/>
                <w:color w:val="FFFFFF"/>
                <w:sz w:val="18"/>
              </w:rPr>
              <w:t>Revenue Item</w:t>
            </w:r>
          </w:p>
        </w:tc>
        <w:tc>
          <w:tcPr>
            <w:tcW w:type="dxa" w:w="1417"/>
            <w:shd w:val="clear" w:color="auto" w:fill="0A1628"/>
          </w:tcPr>
          <w:p>
            <w:pPr>
              <w:jc w:val="left"/>
            </w:pPr>
            <w:r/>
            <w:r>
              <w:rPr>
                <w:b/>
                <w:i w:val="0"/>
                <w:color w:val="FFFFFF"/>
                <w:sz w:val="18"/>
              </w:rPr>
              <w:t>Amount</w:t>
            </w:r>
          </w:p>
        </w:tc>
        <w:tc>
          <w:tcPr>
            <w:tcW w:type="dxa" w:w="3118"/>
            <w:shd w:val="clear" w:color="auto" w:fill="0A1628"/>
          </w:tcPr>
          <w:p>
            <w:pPr>
              <w:jc w:val="left"/>
            </w:pPr>
            <w:r/>
            <w:r>
              <w:rPr>
                <w:b/>
                <w:i w:val="0"/>
                <w:color w:val="FFFFFF"/>
                <w:sz w:val="18"/>
              </w:rPr>
              <w:t>Cost Item</w:t>
            </w:r>
          </w:p>
        </w:tc>
        <w:tc>
          <w:tcPr>
            <w:tcW w:type="dxa" w:w="1417"/>
            <w:shd w:val="clear" w:color="auto" w:fill="0A1628"/>
          </w:tcPr>
          <w:p>
            <w:pPr>
              <w:jc w:val="left"/>
            </w:pPr>
            <w:r/>
            <w:r>
              <w:rPr>
                <w:b/>
                <w:i w:val="0"/>
                <w:color w:val="FFFFFF"/>
                <w:sz w:val="18"/>
              </w:rPr>
              <w:t>Amount</w:t>
            </w:r>
          </w:p>
        </w:tc>
      </w:tr>
      <w:tr>
        <w:tc>
          <w:tcPr>
            <w:tcW w:type="dxa" w:w="3118"/>
            <w:shd w:val="clear" w:color="auto" w:fill="F8FAFC"/>
          </w:tcPr>
          <w:p>
            <w:pPr>
              <w:jc w:val="left"/>
            </w:pPr>
            <w:r/>
            <w:r>
              <w:rPr>
                <w:b w:val="0"/>
                <w:i w:val="0"/>
                <w:sz w:val="18"/>
              </w:rPr>
              <w:t>Agency commission (4% of €280k)</w:t>
            </w:r>
          </w:p>
        </w:tc>
        <w:tc>
          <w:tcPr>
            <w:tcW w:type="dxa" w:w="1417"/>
            <w:shd w:val="clear" w:color="auto" w:fill="F8FAFC"/>
          </w:tcPr>
          <w:p>
            <w:pPr>
              <w:jc w:val="left"/>
            </w:pPr>
            <w:r/>
            <w:r>
              <w:rPr>
                <w:b w:val="0"/>
                <w:i w:val="0"/>
                <w:sz w:val="18"/>
              </w:rPr>
              <w:t>€11,200</w:t>
            </w:r>
          </w:p>
        </w:tc>
        <w:tc>
          <w:tcPr>
            <w:tcW w:type="dxa" w:w="3118"/>
            <w:shd w:val="clear" w:color="auto" w:fill="F8FAFC"/>
          </w:tcPr>
          <w:p>
            <w:pPr>
              <w:jc w:val="left"/>
            </w:pPr>
            <w:r/>
            <w:r>
              <w:rPr>
                <w:b w:val="0"/>
                <w:i w:val="0"/>
                <w:sz w:val="18"/>
              </w:rPr>
              <w:t>Lead generation (Idealista + paid)</w:t>
            </w:r>
          </w:p>
        </w:tc>
        <w:tc>
          <w:tcPr>
            <w:tcW w:type="dxa" w:w="1417"/>
            <w:shd w:val="clear" w:color="auto" w:fill="F8FAFC"/>
          </w:tcPr>
          <w:p>
            <w:pPr>
              <w:jc w:val="left"/>
            </w:pPr>
            <w:r/>
            <w:r>
              <w:rPr>
                <w:b w:val="0"/>
                <w:i w:val="0"/>
                <w:sz w:val="18"/>
              </w:rPr>
              <w:t>−€700</w:t>
            </w:r>
          </w:p>
        </w:tc>
      </w:tr>
      <w:tr>
        <w:tc>
          <w:tcPr>
            <w:tcW w:type="dxa" w:w="3118"/>
            <w:shd w:val="clear" w:color="auto" w:fill="FFFFFF"/>
          </w:tcPr>
          <w:p>
            <w:pPr>
              <w:jc w:val="left"/>
            </w:pPr>
            <w:r/>
            <w:r>
              <w:rPr>
                <w:b w:val="0"/>
                <w:i w:val="0"/>
                <w:sz w:val="18"/>
              </w:rPr>
              <w:t>Agent split (−70% to agent)</w:t>
            </w:r>
          </w:p>
        </w:tc>
        <w:tc>
          <w:tcPr>
            <w:tcW w:type="dxa" w:w="1417"/>
            <w:shd w:val="clear" w:color="auto" w:fill="FFFFFF"/>
          </w:tcPr>
          <w:p>
            <w:pPr>
              <w:jc w:val="left"/>
            </w:pPr>
            <w:r/>
            <w:r>
              <w:rPr>
                <w:b w:val="0"/>
                <w:i w:val="0"/>
                <w:sz w:val="18"/>
              </w:rPr>
              <w:t>−€7,840</w:t>
            </w:r>
          </w:p>
        </w:tc>
        <w:tc>
          <w:tcPr>
            <w:tcW w:type="dxa" w:w="3118"/>
            <w:shd w:val="clear" w:color="auto" w:fill="FFFFFF"/>
          </w:tcPr>
          <w:p>
            <w:pPr>
              <w:jc w:val="left"/>
            </w:pPr>
            <w:r/>
            <w:r>
              <w:rPr>
                <w:b w:val="0"/>
                <w:i w:val="0"/>
                <w:sz w:val="18"/>
              </w:rPr>
              <w:t>Platform &amp; tech (per transaction)</w:t>
            </w:r>
          </w:p>
        </w:tc>
        <w:tc>
          <w:tcPr>
            <w:tcW w:type="dxa" w:w="1417"/>
            <w:shd w:val="clear" w:color="auto" w:fill="FFFFFF"/>
          </w:tcPr>
          <w:p>
            <w:pPr>
              <w:jc w:val="left"/>
            </w:pPr>
            <w:r/>
            <w:r>
              <w:rPr>
                <w:b w:val="0"/>
                <w:i w:val="0"/>
                <w:sz w:val="18"/>
              </w:rPr>
              <w:t>−€200</w:t>
            </w:r>
          </w:p>
        </w:tc>
      </w:tr>
      <w:tr>
        <w:tc>
          <w:tcPr>
            <w:tcW w:type="dxa" w:w="3118"/>
            <w:shd w:val="clear" w:color="auto" w:fill="F8FAFC"/>
          </w:tcPr>
          <w:p>
            <w:pPr>
              <w:jc w:val="left"/>
            </w:pPr>
            <w:r/>
            <w:r>
              <w:rPr>
                <w:b w:val="0"/>
                <w:i w:val="0"/>
                <w:sz w:val="18"/>
              </w:rPr>
              <w:t>Huspy net from agency</w:t>
            </w:r>
          </w:p>
        </w:tc>
        <w:tc>
          <w:tcPr>
            <w:tcW w:type="dxa" w:w="1417"/>
            <w:shd w:val="clear" w:color="auto" w:fill="F8FAFC"/>
          </w:tcPr>
          <w:p>
            <w:pPr>
              <w:jc w:val="left"/>
            </w:pPr>
            <w:r/>
            <w:r>
              <w:rPr>
                <w:b w:val="0"/>
                <w:i w:val="0"/>
                <w:sz w:val="18"/>
              </w:rPr>
              <w:t>€3,360</w:t>
            </w:r>
          </w:p>
        </w:tc>
        <w:tc>
          <w:tcPr>
            <w:tcW w:type="dxa" w:w="3118"/>
            <w:shd w:val="clear" w:color="auto" w:fill="F8FAFC"/>
          </w:tcPr>
          <w:p>
            <w:pPr>
              <w:jc w:val="left"/>
            </w:pPr>
            <w:r/>
            <w:r>
              <w:rPr>
                <w:b w:val="0"/>
                <w:i w:val="0"/>
                <w:sz w:val="18"/>
              </w:rPr>
              <w:t>Mortgage processing cost</w:t>
            </w:r>
          </w:p>
        </w:tc>
        <w:tc>
          <w:tcPr>
            <w:tcW w:type="dxa" w:w="1417"/>
            <w:shd w:val="clear" w:color="auto" w:fill="F8FAFC"/>
          </w:tcPr>
          <w:p>
            <w:pPr>
              <w:jc w:val="left"/>
            </w:pPr>
            <w:r/>
            <w:r>
              <w:rPr>
                <w:b w:val="0"/>
                <w:i w:val="0"/>
                <w:sz w:val="18"/>
              </w:rPr>
              <w:t>−€150</w:t>
            </w:r>
          </w:p>
        </w:tc>
      </w:tr>
      <w:tr>
        <w:tc>
          <w:tcPr>
            <w:tcW w:type="dxa" w:w="3118"/>
            <w:shd w:val="clear" w:color="auto" w:fill="FFFFFF"/>
          </w:tcPr>
          <w:p>
            <w:pPr>
              <w:jc w:val="left"/>
            </w:pPr>
            <w:r/>
            <w:r>
              <w:rPr>
                <w:b w:val="0"/>
                <w:i w:val="0"/>
                <w:sz w:val="18"/>
              </w:rPr>
              <w:t>Mortgage fee (bank pays, 40% attach)</w:t>
            </w:r>
          </w:p>
        </w:tc>
        <w:tc>
          <w:tcPr>
            <w:tcW w:type="dxa" w:w="1417"/>
            <w:shd w:val="clear" w:color="auto" w:fill="FFFFFF"/>
          </w:tcPr>
          <w:p>
            <w:pPr>
              <w:jc w:val="left"/>
            </w:pPr>
            <w:r/>
            <w:r>
              <w:rPr>
                <w:b w:val="0"/>
                <w:i w:val="0"/>
                <w:sz w:val="18"/>
              </w:rPr>
              <w:t>+€1,000</w:t>
            </w:r>
          </w:p>
        </w:tc>
        <w:tc>
          <w:tcPr>
            <w:tcW w:type="dxa" w:w="3118"/>
            <w:shd w:val="clear" w:color="auto" w:fill="FFFFFF"/>
          </w:tcPr>
          <w:p>
            <w:pPr>
              <w:jc w:val="left"/>
            </w:pPr>
            <w:r/>
            <w:r>
              <w:rPr>
                <w:b w:val="0"/>
                <w:i w:val="0"/>
                <w:sz w:val="18"/>
              </w:rPr>
              <w:t>Compliance / legal</w:t>
            </w:r>
          </w:p>
        </w:tc>
        <w:tc>
          <w:tcPr>
            <w:tcW w:type="dxa" w:w="1417"/>
            <w:shd w:val="clear" w:color="auto" w:fill="FFFFFF"/>
          </w:tcPr>
          <w:p>
            <w:pPr>
              <w:jc w:val="left"/>
            </w:pPr>
            <w:r/>
            <w:r>
              <w:rPr>
                <w:b w:val="0"/>
                <w:i w:val="0"/>
                <w:sz w:val="18"/>
              </w:rPr>
              <w:t>−€100</w:t>
            </w:r>
          </w:p>
        </w:tc>
      </w:tr>
      <w:tr>
        <w:tc>
          <w:tcPr>
            <w:tcW w:type="dxa" w:w="3118"/>
            <w:shd w:val="clear" w:color="auto" w:fill="F8FAFC"/>
          </w:tcPr>
          <w:p>
            <w:pPr>
              <w:jc w:val="left"/>
            </w:pPr>
            <w:r/>
            <w:r>
              <w:rPr>
                <w:b w:val="0"/>
                <w:i w:val="0"/>
                <w:sz w:val="18"/>
              </w:rPr>
              <w:t>Premium services (legal, admin)</w:t>
            </w:r>
          </w:p>
        </w:tc>
        <w:tc>
          <w:tcPr>
            <w:tcW w:type="dxa" w:w="1417"/>
            <w:shd w:val="clear" w:color="auto" w:fill="F8FAFC"/>
          </w:tcPr>
          <w:p>
            <w:pPr>
              <w:jc w:val="left"/>
            </w:pPr>
            <w:r/>
            <w:r>
              <w:rPr>
                <w:b w:val="0"/>
                <w:i w:val="0"/>
                <w:sz w:val="18"/>
              </w:rPr>
              <w:t>+€300</w:t>
            </w:r>
          </w:p>
        </w:tc>
        <w:tc>
          <w:tcPr>
            <w:tcW w:type="dxa" w:w="3118"/>
            <w:shd w:val="clear" w:color="auto" w:fill="F8FAFC"/>
          </w:tcPr>
          <w:p>
            <w:pPr>
              <w:jc w:val="left"/>
            </w:pPr>
            <w:r/>
            <w:r>
              <w:rPr>
                <w:b w:val="0"/>
                <w:i w:val="0"/>
                <w:sz w:val="18"/>
              </w:rPr>
              <w:t>TOTAL COST</w:t>
            </w:r>
          </w:p>
        </w:tc>
        <w:tc>
          <w:tcPr>
            <w:tcW w:type="dxa" w:w="1417"/>
            <w:shd w:val="clear" w:color="auto" w:fill="F8FAFC"/>
          </w:tcPr>
          <w:p>
            <w:pPr>
              <w:jc w:val="left"/>
            </w:pPr>
            <w:r/>
            <w:r>
              <w:rPr>
                <w:b w:val="0"/>
                <w:i w:val="0"/>
                <w:sz w:val="18"/>
              </w:rPr>
              <w:t>−€1,150</w:t>
            </w:r>
          </w:p>
        </w:tc>
      </w:tr>
      <w:tr>
        <w:tc>
          <w:tcPr>
            <w:tcW w:type="dxa" w:w="3118"/>
            <w:shd w:val="clear" w:color="auto" w:fill="FFFFFF"/>
          </w:tcPr>
          <w:p>
            <w:pPr>
              <w:jc w:val="left"/>
            </w:pPr>
            <w:r/>
            <w:r>
              <w:rPr>
                <w:b w:val="0"/>
                <w:i w:val="0"/>
                <w:sz w:val="18"/>
              </w:rPr>
              <w:t>TOTAL GROSS REVENUE</w:t>
            </w:r>
          </w:p>
        </w:tc>
        <w:tc>
          <w:tcPr>
            <w:tcW w:type="dxa" w:w="1417"/>
            <w:shd w:val="clear" w:color="auto" w:fill="FFFFFF"/>
          </w:tcPr>
          <w:p>
            <w:pPr>
              <w:jc w:val="left"/>
            </w:pPr>
            <w:r/>
            <w:r>
              <w:rPr>
                <w:b w:val="0"/>
                <w:i w:val="0"/>
                <w:sz w:val="18"/>
              </w:rPr>
              <w:t>€4,660</w:t>
            </w:r>
          </w:p>
        </w:tc>
        <w:tc>
          <w:tcPr>
            <w:tcW w:type="dxa" w:w="3118"/>
            <w:shd w:val="clear" w:color="auto" w:fill="FFFFFF"/>
          </w:tcPr>
          <w:p>
            <w:pPr>
              <w:jc w:val="left"/>
            </w:pPr>
            <w:r/>
            <w:r>
              <w:rPr>
                <w:b w:val="0"/>
                <w:i w:val="0"/>
                <w:sz w:val="18"/>
              </w:rPr>
              <w:t>CONTRIBUTION MARGIN (75%)</w:t>
            </w:r>
          </w:p>
        </w:tc>
        <w:tc>
          <w:tcPr>
            <w:tcW w:type="dxa" w:w="1417"/>
            <w:shd w:val="clear" w:color="auto" w:fill="FFFFFF"/>
          </w:tcPr>
          <w:p>
            <w:pPr>
              <w:jc w:val="left"/>
            </w:pPr>
            <w:r/>
            <w:r>
              <w:rPr>
                <w:b w:val="0"/>
                <w:i w:val="0"/>
                <w:sz w:val="18"/>
              </w:rPr>
              <w:t>€3,510</w:t>
            </w:r>
          </w:p>
        </w:tc>
      </w:tr>
    </w:tbl>
    <w:p/>
    <w:p>
      <w:pPr>
        <w:spacing w:after="80"/>
      </w:pPr>
      <w:r>
        <w:rPr>
          <w:b/>
          <w:i w:val="0"/>
          <w:color w:val="1E40AF"/>
          <w:sz w:val="20"/>
        </w:rPr>
        <w:t>Key lever: Every 10pp increase in mortgage attach rate adds ~€500 per transaction. Getting from 20% to 40% attach = +€1M in annual contribution at 50 txns/month — with zero additional agent cost.</w:t>
      </w:r>
    </w:p>
    <w:p>
      <w:pPr>
        <w:spacing w:before="240" w:after="80"/>
      </w:pPr>
      <w:r>
        <w:rPr>
          <w:b/>
          <w:color w:val="0A1628"/>
          <w:sz w:val="28"/>
        </w:rPr>
        <w:t>Step 5: KPI Dashboard</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0A1628"/>
          </w:tcPr>
          <w:p>
            <w:pPr>
              <w:jc w:val="left"/>
            </w:pPr>
            <w:r/>
            <w:r>
              <w:rPr>
                <w:b/>
                <w:i w:val="0"/>
                <w:color w:val="FFFFFF"/>
                <w:sz w:val="18"/>
              </w:rPr>
              <w:t>KPI</w:t>
            </w:r>
          </w:p>
        </w:tc>
        <w:tc>
          <w:tcPr>
            <w:tcW w:type="dxa" w:w="3402"/>
            <w:shd w:val="clear" w:color="auto" w:fill="0A1628"/>
          </w:tcPr>
          <w:p>
            <w:pPr>
              <w:jc w:val="left"/>
            </w:pPr>
            <w:r/>
            <w:r>
              <w:rPr>
                <w:b/>
                <w:i w:val="0"/>
                <w:color w:val="FFFFFF"/>
                <w:sz w:val="18"/>
              </w:rPr>
              <w:t>Definition</w:t>
            </w:r>
          </w:p>
        </w:tc>
        <w:tc>
          <w:tcPr>
            <w:tcW w:type="dxa" w:w="1984"/>
            <w:shd w:val="clear" w:color="auto" w:fill="0A1628"/>
          </w:tcPr>
          <w:p>
            <w:pPr>
              <w:jc w:val="left"/>
            </w:pPr>
            <w:r/>
            <w:r>
              <w:rPr>
                <w:b/>
                <w:i w:val="0"/>
                <w:color w:val="FFFFFF"/>
                <w:sz w:val="18"/>
              </w:rPr>
              <w:t>Target (Yr 1)</w:t>
            </w:r>
          </w:p>
        </w:tc>
        <w:tc>
          <w:tcPr>
            <w:tcW w:type="dxa" w:w="1701"/>
            <w:shd w:val="clear" w:color="auto" w:fill="0A1628"/>
          </w:tcPr>
          <w:p>
            <w:pPr>
              <w:jc w:val="left"/>
            </w:pPr>
            <w:r/>
            <w:r>
              <w:rPr>
                <w:b/>
                <w:i w:val="0"/>
                <w:color w:val="FFFFFF"/>
                <w:sz w:val="18"/>
              </w:rPr>
              <w:t>Cadence</w:t>
            </w:r>
          </w:p>
        </w:tc>
      </w:tr>
      <w:tr>
        <w:tc>
          <w:tcPr>
            <w:tcW w:type="dxa" w:w="2268"/>
            <w:shd w:val="clear" w:color="auto" w:fill="F8FAFC"/>
          </w:tcPr>
          <w:p>
            <w:pPr>
              <w:jc w:val="left"/>
            </w:pPr>
            <w:r/>
            <w:r>
              <w:rPr>
                <w:b w:val="0"/>
                <w:i w:val="0"/>
                <w:sz w:val="18"/>
              </w:rPr>
              <w:t>GMV per Agent</w:t>
            </w:r>
          </w:p>
        </w:tc>
        <w:tc>
          <w:tcPr>
            <w:tcW w:type="dxa" w:w="3402"/>
            <w:shd w:val="clear" w:color="auto" w:fill="F8FAFC"/>
          </w:tcPr>
          <w:p>
            <w:pPr>
              <w:jc w:val="left"/>
            </w:pPr>
            <w:r/>
            <w:r>
              <w:rPr>
                <w:b w:val="0"/>
                <w:i w:val="0"/>
                <w:sz w:val="18"/>
              </w:rPr>
              <w:t>Total property value transacted per agent/month</w:t>
            </w:r>
          </w:p>
        </w:tc>
        <w:tc>
          <w:tcPr>
            <w:tcW w:type="dxa" w:w="1984"/>
            <w:shd w:val="clear" w:color="auto" w:fill="F8FAFC"/>
          </w:tcPr>
          <w:p>
            <w:pPr>
              <w:jc w:val="left"/>
            </w:pPr>
            <w:r/>
            <w:r>
              <w:rPr>
                <w:b w:val="0"/>
                <w:i w:val="0"/>
                <w:sz w:val="18"/>
              </w:rPr>
              <w:t>€350k/month (~1.5 txns)</w:t>
            </w:r>
          </w:p>
        </w:tc>
        <w:tc>
          <w:tcPr>
            <w:tcW w:type="dxa" w:w="1701"/>
            <w:shd w:val="clear" w:color="auto" w:fill="F8FAFC"/>
          </w:tcPr>
          <w:p>
            <w:pPr>
              <w:jc w:val="left"/>
            </w:pPr>
            <w:r/>
            <w:r>
              <w:rPr>
                <w:b w:val="0"/>
                <w:i w:val="0"/>
                <w:sz w:val="18"/>
              </w:rPr>
              <w:t>Weekly</w:t>
            </w:r>
          </w:p>
        </w:tc>
      </w:tr>
      <w:tr>
        <w:tc>
          <w:tcPr>
            <w:tcW w:type="dxa" w:w="2268"/>
            <w:shd w:val="clear" w:color="auto" w:fill="FFFFFF"/>
          </w:tcPr>
          <w:p>
            <w:pPr>
              <w:jc w:val="left"/>
            </w:pPr>
            <w:r/>
            <w:r>
              <w:rPr>
                <w:b w:val="0"/>
                <w:i w:val="0"/>
                <w:sz w:val="18"/>
              </w:rPr>
              <w:t>Mortgage Attach Rate</w:t>
            </w:r>
          </w:p>
        </w:tc>
        <w:tc>
          <w:tcPr>
            <w:tcW w:type="dxa" w:w="3402"/>
            <w:shd w:val="clear" w:color="auto" w:fill="FFFFFF"/>
          </w:tcPr>
          <w:p>
            <w:pPr>
              <w:jc w:val="left"/>
            </w:pPr>
            <w:r/>
            <w:r>
              <w:rPr>
                <w:b w:val="0"/>
                <w:i w:val="0"/>
                <w:sz w:val="18"/>
              </w:rPr>
              <w:t>% of property sales with Huspy mortgage</w:t>
            </w:r>
          </w:p>
        </w:tc>
        <w:tc>
          <w:tcPr>
            <w:tcW w:type="dxa" w:w="1984"/>
            <w:shd w:val="clear" w:color="auto" w:fill="FFFFFF"/>
          </w:tcPr>
          <w:p>
            <w:pPr>
              <w:jc w:val="left"/>
            </w:pPr>
            <w:r/>
            <w:r>
              <w:rPr>
                <w:b w:val="0"/>
                <w:i w:val="0"/>
                <w:sz w:val="18"/>
              </w:rPr>
              <w:t>40%+</w:t>
            </w:r>
          </w:p>
        </w:tc>
        <w:tc>
          <w:tcPr>
            <w:tcW w:type="dxa" w:w="1701"/>
            <w:shd w:val="clear" w:color="auto" w:fill="FFFFFF"/>
          </w:tcPr>
          <w:p>
            <w:pPr>
              <w:jc w:val="left"/>
            </w:pPr>
            <w:r/>
            <w:r>
              <w:rPr>
                <w:b w:val="0"/>
                <w:i w:val="0"/>
                <w:sz w:val="18"/>
              </w:rPr>
              <w:t>Weekly</w:t>
            </w:r>
          </w:p>
        </w:tc>
      </w:tr>
      <w:tr>
        <w:tc>
          <w:tcPr>
            <w:tcW w:type="dxa" w:w="2268"/>
            <w:shd w:val="clear" w:color="auto" w:fill="F8FAFC"/>
          </w:tcPr>
          <w:p>
            <w:pPr>
              <w:jc w:val="left"/>
            </w:pPr>
            <w:r/>
            <w:r>
              <w:rPr>
                <w:b w:val="0"/>
                <w:i w:val="0"/>
                <w:sz w:val="18"/>
              </w:rPr>
              <w:t>Lead → Listing Conv.</w:t>
            </w:r>
          </w:p>
        </w:tc>
        <w:tc>
          <w:tcPr>
            <w:tcW w:type="dxa" w:w="3402"/>
            <w:shd w:val="clear" w:color="auto" w:fill="F8FAFC"/>
          </w:tcPr>
          <w:p>
            <w:pPr>
              <w:jc w:val="left"/>
            </w:pPr>
            <w:r/>
            <w:r>
              <w:rPr>
                <w:b w:val="0"/>
                <w:i w:val="0"/>
                <w:sz w:val="18"/>
              </w:rPr>
              <w:t>% of portal leads becoming active listings</w:t>
            </w:r>
          </w:p>
        </w:tc>
        <w:tc>
          <w:tcPr>
            <w:tcW w:type="dxa" w:w="1984"/>
            <w:shd w:val="clear" w:color="auto" w:fill="F8FAFC"/>
          </w:tcPr>
          <w:p>
            <w:pPr>
              <w:jc w:val="left"/>
            </w:pPr>
            <w:r/>
            <w:r>
              <w:rPr>
                <w:b w:val="0"/>
                <w:i w:val="0"/>
                <w:sz w:val="18"/>
              </w:rPr>
              <w:t>10–12%</w:t>
            </w:r>
          </w:p>
        </w:tc>
        <w:tc>
          <w:tcPr>
            <w:tcW w:type="dxa" w:w="1701"/>
            <w:shd w:val="clear" w:color="auto" w:fill="F8FAFC"/>
          </w:tcPr>
          <w:p>
            <w:pPr>
              <w:jc w:val="left"/>
            </w:pPr>
            <w:r/>
            <w:r>
              <w:rPr>
                <w:b w:val="0"/>
                <w:i w:val="0"/>
                <w:sz w:val="18"/>
              </w:rPr>
              <w:t>Weekly</w:t>
            </w:r>
          </w:p>
        </w:tc>
      </w:tr>
      <w:tr>
        <w:tc>
          <w:tcPr>
            <w:tcW w:type="dxa" w:w="2268"/>
            <w:shd w:val="clear" w:color="auto" w:fill="FFFFFF"/>
          </w:tcPr>
          <w:p>
            <w:pPr>
              <w:jc w:val="left"/>
            </w:pPr>
            <w:r/>
            <w:r>
              <w:rPr>
                <w:b w:val="0"/>
                <w:i w:val="0"/>
                <w:sz w:val="18"/>
              </w:rPr>
              <w:t>Listing → Sale Time</w:t>
            </w:r>
          </w:p>
        </w:tc>
        <w:tc>
          <w:tcPr>
            <w:tcW w:type="dxa" w:w="3402"/>
            <w:shd w:val="clear" w:color="auto" w:fill="FFFFFF"/>
          </w:tcPr>
          <w:p>
            <w:pPr>
              <w:jc w:val="left"/>
            </w:pPr>
            <w:r/>
            <w:r>
              <w:rPr>
                <w:b w:val="0"/>
                <w:i w:val="0"/>
                <w:sz w:val="18"/>
              </w:rPr>
              <w:t>Days from live listing to signed Arras</w:t>
            </w:r>
          </w:p>
        </w:tc>
        <w:tc>
          <w:tcPr>
            <w:tcW w:type="dxa" w:w="1984"/>
            <w:shd w:val="clear" w:color="auto" w:fill="FFFFFF"/>
          </w:tcPr>
          <w:p>
            <w:pPr>
              <w:jc w:val="left"/>
            </w:pPr>
            <w:r/>
            <w:r>
              <w:rPr>
                <w:b w:val="0"/>
                <w:i w:val="0"/>
                <w:sz w:val="18"/>
              </w:rPr>
              <w:t>&lt;35 days</w:t>
            </w:r>
          </w:p>
        </w:tc>
        <w:tc>
          <w:tcPr>
            <w:tcW w:type="dxa" w:w="1701"/>
            <w:shd w:val="clear" w:color="auto" w:fill="FFFFFF"/>
          </w:tcPr>
          <w:p>
            <w:pPr>
              <w:jc w:val="left"/>
            </w:pPr>
            <w:r/>
            <w:r>
              <w:rPr>
                <w:b w:val="0"/>
                <w:i w:val="0"/>
                <w:sz w:val="18"/>
              </w:rPr>
              <w:t>Weekly</w:t>
            </w:r>
          </w:p>
        </w:tc>
      </w:tr>
      <w:tr>
        <w:tc>
          <w:tcPr>
            <w:tcW w:type="dxa" w:w="2268"/>
            <w:shd w:val="clear" w:color="auto" w:fill="F8FAFC"/>
          </w:tcPr>
          <w:p>
            <w:pPr>
              <w:jc w:val="left"/>
            </w:pPr>
            <w:r/>
            <w:r>
              <w:rPr>
                <w:b w:val="0"/>
                <w:i w:val="0"/>
                <w:sz w:val="18"/>
              </w:rPr>
              <w:t>Avg. Commission (net)</w:t>
            </w:r>
          </w:p>
        </w:tc>
        <w:tc>
          <w:tcPr>
            <w:tcW w:type="dxa" w:w="3402"/>
            <w:shd w:val="clear" w:color="auto" w:fill="F8FAFC"/>
          </w:tcPr>
          <w:p>
            <w:pPr>
              <w:jc w:val="left"/>
            </w:pPr>
            <w:r/>
            <w:r>
              <w:rPr>
                <w:b w:val="0"/>
                <w:i w:val="0"/>
                <w:sz w:val="18"/>
              </w:rPr>
              <w:t>Average net fee per completed transaction</w:t>
            </w:r>
          </w:p>
        </w:tc>
        <w:tc>
          <w:tcPr>
            <w:tcW w:type="dxa" w:w="1984"/>
            <w:shd w:val="clear" w:color="auto" w:fill="F8FAFC"/>
          </w:tcPr>
          <w:p>
            <w:pPr>
              <w:jc w:val="left"/>
            </w:pPr>
            <w:r/>
            <w:r>
              <w:rPr>
                <w:b w:val="0"/>
                <w:i w:val="0"/>
                <w:sz w:val="18"/>
              </w:rPr>
              <w:t>€4,000+</w:t>
            </w:r>
          </w:p>
        </w:tc>
        <w:tc>
          <w:tcPr>
            <w:tcW w:type="dxa" w:w="1701"/>
            <w:shd w:val="clear" w:color="auto" w:fill="F8FAFC"/>
          </w:tcPr>
          <w:p>
            <w:pPr>
              <w:jc w:val="left"/>
            </w:pPr>
            <w:r/>
            <w:r>
              <w:rPr>
                <w:b w:val="0"/>
                <w:i w:val="0"/>
                <w:sz w:val="18"/>
              </w:rPr>
              <w:t>Monthly</w:t>
            </w:r>
          </w:p>
        </w:tc>
      </w:tr>
      <w:tr>
        <w:tc>
          <w:tcPr>
            <w:tcW w:type="dxa" w:w="2268"/>
            <w:shd w:val="clear" w:color="auto" w:fill="FFFFFF"/>
          </w:tcPr>
          <w:p>
            <w:pPr>
              <w:jc w:val="left"/>
            </w:pPr>
            <w:r/>
            <w:r>
              <w:rPr>
                <w:b w:val="0"/>
                <w:i w:val="0"/>
                <w:sz w:val="18"/>
              </w:rPr>
              <w:t>Negotiation Discount</w:t>
            </w:r>
          </w:p>
        </w:tc>
        <w:tc>
          <w:tcPr>
            <w:tcW w:type="dxa" w:w="3402"/>
            <w:shd w:val="clear" w:color="auto" w:fill="FFFFFF"/>
          </w:tcPr>
          <w:p>
            <w:pPr>
              <w:jc w:val="left"/>
            </w:pPr>
            <w:r/>
            <w:r>
              <w:rPr>
                <w:b w:val="0"/>
                <w:i w:val="0"/>
                <w:sz w:val="18"/>
              </w:rPr>
              <w:t>% achieved below asking price per agent</w:t>
            </w:r>
          </w:p>
        </w:tc>
        <w:tc>
          <w:tcPr>
            <w:tcW w:type="dxa" w:w="1984"/>
            <w:shd w:val="clear" w:color="auto" w:fill="FFFFFF"/>
          </w:tcPr>
          <w:p>
            <w:pPr>
              <w:jc w:val="left"/>
            </w:pPr>
            <w:r/>
            <w:r>
              <w:rPr>
                <w:b w:val="0"/>
                <w:i w:val="0"/>
                <w:sz w:val="18"/>
              </w:rPr>
              <w:t>&lt;5%</w:t>
            </w:r>
          </w:p>
        </w:tc>
        <w:tc>
          <w:tcPr>
            <w:tcW w:type="dxa" w:w="1701"/>
            <w:shd w:val="clear" w:color="auto" w:fill="FFFFFF"/>
          </w:tcPr>
          <w:p>
            <w:pPr>
              <w:jc w:val="left"/>
            </w:pPr>
            <w:r/>
            <w:r>
              <w:rPr>
                <w:b w:val="0"/>
                <w:i w:val="0"/>
                <w:sz w:val="18"/>
              </w:rPr>
              <w:t>Monthly</w:t>
            </w:r>
          </w:p>
        </w:tc>
      </w:tr>
      <w:tr>
        <w:tc>
          <w:tcPr>
            <w:tcW w:type="dxa" w:w="2268"/>
            <w:shd w:val="clear" w:color="auto" w:fill="F8FAFC"/>
          </w:tcPr>
          <w:p>
            <w:pPr>
              <w:jc w:val="left"/>
            </w:pPr>
            <w:r/>
            <w:r>
              <w:rPr>
                <w:b w:val="0"/>
                <w:i w:val="0"/>
                <w:sz w:val="18"/>
              </w:rPr>
              <w:t>Agent NPS</w:t>
            </w:r>
          </w:p>
        </w:tc>
        <w:tc>
          <w:tcPr>
            <w:tcW w:type="dxa" w:w="3402"/>
            <w:shd w:val="clear" w:color="auto" w:fill="F8FAFC"/>
          </w:tcPr>
          <w:p>
            <w:pPr>
              <w:jc w:val="left"/>
            </w:pPr>
            <w:r/>
            <w:r>
              <w:rPr>
                <w:b w:val="0"/>
                <w:i w:val="0"/>
                <w:sz w:val="18"/>
              </w:rPr>
              <w:t>Net Promoter Score from agents</w:t>
            </w:r>
          </w:p>
        </w:tc>
        <w:tc>
          <w:tcPr>
            <w:tcW w:type="dxa" w:w="1984"/>
            <w:shd w:val="clear" w:color="auto" w:fill="F8FAFC"/>
          </w:tcPr>
          <w:p>
            <w:pPr>
              <w:jc w:val="left"/>
            </w:pPr>
            <w:r/>
            <w:r>
              <w:rPr>
                <w:b w:val="0"/>
                <w:i w:val="0"/>
                <w:sz w:val="18"/>
              </w:rPr>
              <w:t>&gt;55</w:t>
            </w:r>
          </w:p>
        </w:tc>
        <w:tc>
          <w:tcPr>
            <w:tcW w:type="dxa" w:w="1701"/>
            <w:shd w:val="clear" w:color="auto" w:fill="F8FAFC"/>
          </w:tcPr>
          <w:p>
            <w:pPr>
              <w:jc w:val="left"/>
            </w:pPr>
            <w:r/>
            <w:r>
              <w:rPr>
                <w:b w:val="0"/>
                <w:i w:val="0"/>
                <w:sz w:val="18"/>
              </w:rPr>
              <w:t>Monthly</w:t>
            </w:r>
          </w:p>
        </w:tc>
      </w:tr>
      <w:tr>
        <w:tc>
          <w:tcPr>
            <w:tcW w:type="dxa" w:w="2268"/>
            <w:shd w:val="clear" w:color="auto" w:fill="FFFFFF"/>
          </w:tcPr>
          <w:p>
            <w:pPr>
              <w:jc w:val="left"/>
            </w:pPr>
            <w:r/>
            <w:r>
              <w:rPr>
                <w:b w:val="0"/>
                <w:i w:val="0"/>
                <w:sz w:val="18"/>
              </w:rPr>
              <w:t>Agent Churn Rate</w:t>
            </w:r>
          </w:p>
        </w:tc>
        <w:tc>
          <w:tcPr>
            <w:tcW w:type="dxa" w:w="3402"/>
            <w:shd w:val="clear" w:color="auto" w:fill="FFFFFF"/>
          </w:tcPr>
          <w:p>
            <w:pPr>
              <w:jc w:val="left"/>
            </w:pPr>
            <w:r/>
            <w:r>
              <w:rPr>
                <w:b w:val="0"/>
                <w:i w:val="0"/>
                <w:sz w:val="18"/>
              </w:rPr>
              <w:t>% of agents leaving platform annually</w:t>
            </w:r>
          </w:p>
        </w:tc>
        <w:tc>
          <w:tcPr>
            <w:tcW w:type="dxa" w:w="1984"/>
            <w:shd w:val="clear" w:color="auto" w:fill="FFFFFF"/>
          </w:tcPr>
          <w:p>
            <w:pPr>
              <w:jc w:val="left"/>
            </w:pPr>
            <w:r/>
            <w:r>
              <w:rPr>
                <w:b w:val="0"/>
                <w:i w:val="0"/>
                <w:sz w:val="18"/>
              </w:rPr>
              <w:t>&lt;15%</w:t>
            </w:r>
          </w:p>
        </w:tc>
        <w:tc>
          <w:tcPr>
            <w:tcW w:type="dxa" w:w="1701"/>
            <w:shd w:val="clear" w:color="auto" w:fill="FFFFFF"/>
          </w:tcPr>
          <w:p>
            <w:pPr>
              <w:jc w:val="left"/>
            </w:pPr>
            <w:r/>
            <w:r>
              <w:rPr>
                <w:b w:val="0"/>
                <w:i w:val="0"/>
                <w:sz w:val="18"/>
              </w:rPr>
              <w:t>Monthly</w:t>
            </w:r>
          </w:p>
        </w:tc>
      </w:tr>
      <w:tr>
        <w:tc>
          <w:tcPr>
            <w:tcW w:type="dxa" w:w="2268"/>
            <w:shd w:val="clear" w:color="auto" w:fill="F8FAFC"/>
          </w:tcPr>
          <w:p>
            <w:pPr>
              <w:jc w:val="left"/>
            </w:pPr>
            <w:r/>
            <w:r>
              <w:rPr>
                <w:b w:val="0"/>
                <w:i w:val="0"/>
                <w:sz w:val="18"/>
              </w:rPr>
              <w:t>Foreign Buyer %</w:t>
            </w:r>
          </w:p>
        </w:tc>
        <w:tc>
          <w:tcPr>
            <w:tcW w:type="dxa" w:w="3402"/>
            <w:shd w:val="clear" w:color="auto" w:fill="F8FAFC"/>
          </w:tcPr>
          <w:p>
            <w:pPr>
              <w:jc w:val="left"/>
            </w:pPr>
            <w:r/>
            <w:r>
              <w:rPr>
                <w:b w:val="0"/>
                <w:i w:val="0"/>
                <w:sz w:val="18"/>
              </w:rPr>
              <w:t>% of Huspy transactions with non-Spanish buyers</w:t>
            </w:r>
          </w:p>
        </w:tc>
        <w:tc>
          <w:tcPr>
            <w:tcW w:type="dxa" w:w="1984"/>
            <w:shd w:val="clear" w:color="auto" w:fill="F8FAFC"/>
          </w:tcPr>
          <w:p>
            <w:pPr>
              <w:jc w:val="left"/>
            </w:pPr>
            <w:r/>
            <w:r>
              <w:rPr>
                <w:b w:val="0"/>
                <w:i w:val="0"/>
                <w:sz w:val="18"/>
              </w:rPr>
              <w:t>&gt;30%</w:t>
            </w:r>
          </w:p>
        </w:tc>
        <w:tc>
          <w:tcPr>
            <w:tcW w:type="dxa" w:w="1701"/>
            <w:shd w:val="clear" w:color="auto" w:fill="F8FAFC"/>
          </w:tcPr>
          <w:p>
            <w:pPr>
              <w:jc w:val="left"/>
            </w:pPr>
            <w:r/>
            <w:r>
              <w:rPr>
                <w:b w:val="0"/>
                <w:i w:val="0"/>
                <w:sz w:val="18"/>
              </w:rPr>
              <w:t>Monthly</w:t>
            </w:r>
          </w:p>
        </w:tc>
      </w:tr>
      <w:tr>
        <w:tc>
          <w:tcPr>
            <w:tcW w:type="dxa" w:w="2268"/>
            <w:shd w:val="clear" w:color="auto" w:fill="FFFFFF"/>
          </w:tcPr>
          <w:p>
            <w:pPr>
              <w:jc w:val="left"/>
            </w:pPr>
            <w:r/>
            <w:r>
              <w:rPr>
                <w:b w:val="0"/>
                <w:i w:val="0"/>
                <w:sz w:val="18"/>
              </w:rPr>
              <w:t>Contribution Margin</w:t>
            </w:r>
          </w:p>
        </w:tc>
        <w:tc>
          <w:tcPr>
            <w:tcW w:type="dxa" w:w="3402"/>
            <w:shd w:val="clear" w:color="auto" w:fill="FFFFFF"/>
          </w:tcPr>
          <w:p>
            <w:pPr>
              <w:jc w:val="left"/>
            </w:pPr>
            <w:r/>
            <w:r>
              <w:rPr>
                <w:b w:val="0"/>
                <w:i w:val="0"/>
                <w:sz w:val="18"/>
              </w:rPr>
              <w:t>Gross revenue minus direct variable costs</w:t>
            </w:r>
          </w:p>
        </w:tc>
        <w:tc>
          <w:tcPr>
            <w:tcW w:type="dxa" w:w="1984"/>
            <w:shd w:val="clear" w:color="auto" w:fill="FFFFFF"/>
          </w:tcPr>
          <w:p>
            <w:pPr>
              <w:jc w:val="left"/>
            </w:pPr>
            <w:r/>
            <w:r>
              <w:rPr>
                <w:b w:val="0"/>
                <w:i w:val="0"/>
                <w:sz w:val="18"/>
              </w:rPr>
              <w:t>&gt;70%</w:t>
            </w:r>
          </w:p>
        </w:tc>
        <w:tc>
          <w:tcPr>
            <w:tcW w:type="dxa" w:w="1701"/>
            <w:shd w:val="clear" w:color="auto" w:fill="FFFFFF"/>
          </w:tcPr>
          <w:p>
            <w:pPr>
              <w:jc w:val="left"/>
            </w:pPr>
            <w:r/>
            <w:r>
              <w:rPr>
                <w:b w:val="0"/>
                <w:i w:val="0"/>
                <w:sz w:val="18"/>
              </w:rPr>
              <w:t>Monthly</w:t>
            </w:r>
          </w:p>
        </w:tc>
      </w:tr>
    </w:tbl>
    <w:p/>
    <w:p>
      <w:r>
        <w:br w:type="page"/>
      </w:r>
    </w:p>
    <w:p>
      <w:pPr>
        <w:spacing w:before="360" w:after="120"/>
      </w:pPr>
      <w:r>
        <w:rPr>
          <w:b/>
          <w:color w:val="0A1628"/>
          <w:sz w:val="36"/>
        </w:rPr>
        <w:t>SECTION D — CUSTOMER LIFECYCLE PIPELINES</w:t>
      </w:r>
    </w:p>
    <w:p>
      <w:pPr>
        <w:spacing w:after="80"/>
      </w:pPr>
      <w:r>
        <w:rPr>
          <w:b w:val="0"/>
          <w:i/>
          <w:color w:val="64748B"/>
          <w:sz w:val="20"/>
        </w:rPr>
        <w:t>Two distinct journeys converge at the Escritura. Understanding both sides is what separates a reactive agent from a deal architect — and where Huspy's dual-sided platform creates compounding value.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A1628"/>
          </w:tcPr>
          <w:p>
            <w:r/>
          </w:p>
          <w:p>
            <w:r>
              <w:rPr>
                <w:b/>
                <w:color w:val="C9A84C"/>
                <w:sz w:val="14"/>
              </w:rPr>
              <w:t>SELLER: AVG TIME TO CLOSE</w:t>
            </w:r>
          </w:p>
          <w:p>
            <w:r>
              <w:rPr>
                <w:b/>
                <w:color w:val="FFFFFF"/>
                <w:sz w:val="36"/>
              </w:rPr>
              <w:t>3–6 months</w:t>
            </w:r>
          </w:p>
          <w:p>
            <w:r>
              <w:rPr>
                <w:color w:val="A0AEC0"/>
                <w:sz w:val="16"/>
              </w:rPr>
              <w:t>Listing mandate → Escritura</w:t>
            </w:r>
          </w:p>
        </w:tc>
        <w:tc>
          <w:tcPr>
            <w:tcW w:type="dxa" w:w="3135"/>
            <w:shd w:val="clear" w:color="auto" w:fill="0A1628"/>
          </w:tcPr>
          <w:p>
            <w:r/>
          </w:p>
          <w:p>
            <w:r>
              <w:rPr>
                <w:b/>
                <w:color w:val="C9A84C"/>
                <w:sz w:val="14"/>
              </w:rPr>
              <w:t>BUYER: AVG TIME TO CLOSE</w:t>
            </w:r>
          </w:p>
          <w:p>
            <w:r>
              <w:rPr>
                <w:b/>
                <w:color w:val="FFFFFF"/>
                <w:sz w:val="36"/>
              </w:rPr>
              <w:t>10–14 weeks</w:t>
            </w:r>
          </w:p>
          <w:p>
            <w:r>
              <w:rPr>
                <w:color w:val="A0AEC0"/>
                <w:sz w:val="16"/>
              </w:rPr>
              <w:t>Offer accepted → keys in hand</w:t>
            </w:r>
          </w:p>
        </w:tc>
        <w:tc>
          <w:tcPr>
            <w:tcW w:type="dxa" w:w="3135"/>
            <w:shd w:val="clear" w:color="auto" w:fill="0A1628"/>
          </w:tcPr>
          <w:p>
            <w:r/>
          </w:p>
          <w:p>
            <w:r>
              <w:rPr>
                <w:b/>
                <w:color w:val="C9A84C"/>
                <w:sz w:val="14"/>
              </w:rPr>
              <w:t>ARRAS DEPOSIT</w:t>
            </w:r>
          </w:p>
          <w:p>
            <w:r>
              <w:rPr>
                <w:b/>
                <w:color w:val="FFFFFF"/>
                <w:sz w:val="36"/>
              </w:rPr>
              <w:t>10%</w:t>
            </w:r>
          </w:p>
          <w:p>
            <w:r>
              <w:rPr>
                <w:color w:val="A0AEC0"/>
                <w:sz w:val="16"/>
              </w:rPr>
              <w:t>Arras Penitenciales — binding both sides</w:t>
            </w:r>
          </w:p>
        </w:tc>
      </w:tr>
      <w:tr>
        <w:tc>
          <w:tcPr>
            <w:tcW w:type="dxa" w:w="3135"/>
            <w:shd w:val="clear" w:color="auto" w:fill="0A1628"/>
          </w:tcPr>
          <w:p>
            <w:r/>
          </w:p>
          <w:p>
            <w:r>
              <w:rPr>
                <w:b/>
                <w:color w:val="C9A84C"/>
                <w:sz w:val="14"/>
              </w:rPr>
              <w:t>AGENCY COMMISSION</w:t>
            </w:r>
          </w:p>
          <w:p>
            <w:r>
              <w:rPr>
                <w:b/>
                <w:color w:val="FFFFFF"/>
                <w:sz w:val="36"/>
              </w:rPr>
              <w:t>3–6% + IVA</w:t>
            </w:r>
          </w:p>
          <w:p>
            <w:r>
              <w:rPr>
                <w:color w:val="A0AEC0"/>
                <w:sz w:val="16"/>
              </w:rPr>
              <w:t>Paid by seller; buyer pays zero agency fees</w:t>
            </w:r>
          </w:p>
        </w:tc>
        <w:tc>
          <w:tcPr>
            <w:tcW w:type="dxa" w:w="3135"/>
            <w:shd w:val="clear" w:color="auto" w:fill="0A1628"/>
          </w:tcPr>
          <w:p>
            <w:r/>
          </w:p>
          <w:p>
            <w:r>
              <w:rPr>
                <w:b/>
                <w:color w:val="C9A84C"/>
                <w:sz w:val="14"/>
              </w:rPr>
              <w:t>SELLER'S KEY TAX</w:t>
            </w:r>
          </w:p>
          <w:p>
            <w:r>
              <w:rPr>
                <w:b/>
                <w:color w:val="FFFFFF"/>
                <w:sz w:val="36"/>
              </w:rPr>
              <w:t>Plusvalía</w:t>
            </w:r>
          </w:p>
          <w:p>
            <w:r>
              <w:rPr>
                <w:color w:val="A0AEC0"/>
                <w:sz w:val="16"/>
              </w:rPr>
              <w:t>Municipal land value gain — seller always pays</w:t>
            </w:r>
          </w:p>
        </w:tc>
        <w:tc>
          <w:tcPr>
            <w:tcW w:type="dxa" w:w="3135"/>
            <w:shd w:val="clear" w:color="auto" w:fill="0A1628"/>
          </w:tcPr>
          <w:p>
            <w:r/>
          </w:p>
          <w:p>
            <w:r>
              <w:rPr>
                <w:b/>
                <w:color w:val="C9A84C"/>
                <w:sz w:val="14"/>
              </w:rPr>
              <w:t>BUYER OVERHEAD</w:t>
            </w:r>
          </w:p>
          <w:p>
            <w:r>
              <w:rPr>
                <w:b/>
                <w:color w:val="FFFFFF"/>
                <w:sz w:val="36"/>
              </w:rPr>
              <w:t>10–12%</w:t>
            </w:r>
          </w:p>
          <w:p>
            <w:r>
              <w:rPr>
                <w:color w:val="A0AEC0"/>
                <w:sz w:val="16"/>
              </w:rPr>
              <w:t>ITP 7% (Andalusia) + legal + notary + registry</w:t>
            </w:r>
          </w:p>
        </w:tc>
      </w:tr>
    </w:tbl>
    <w:p/>
    <w:p>
      <w:pPr>
        <w:spacing w:before="240" w:after="80"/>
      </w:pPr>
      <w:r>
        <w:rPr>
          <w:b/>
          <w:color w:val="0A1628"/>
          <w:sz w:val="28"/>
        </w:rPr>
        <w:t>D1. Property Owner — Selling Pipeline</w:t>
      </w:r>
    </w:p>
    <w:p>
      <w:pPr>
        <w:spacing w:after="80"/>
      </w:pPr>
      <w:r>
        <w:rPr>
          <w:b/>
          <w:i w:val="0"/>
          <w:color w:val="C9A84C"/>
          <w:sz w:val="20"/>
        </w:rPr>
        <w:t>Huspy opportunity: Winning the listing mandate (Stage 2) is the critical gate — once exclusive, Huspy controls the transaction from valuation to Escritura.</w:t>
      </w:r>
    </w:p>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1</w:t>
            </w:r>
          </w:p>
        </w:tc>
        <w:tc>
          <w:tcPr>
            <w:tcW w:type="dxa" w:w="4703"/>
            <w:shd w:val="clear" w:color="auto" w:fill="FAFBFC"/>
          </w:tcPr>
          <w:p>
            <w:r/>
          </w:p>
          <w:p>
            <w:r>
              <w:rPr>
                <w:b/>
                <w:color w:val="0A1628"/>
                <w:sz w:val="22"/>
              </w:rPr>
              <w:t>Property Valuation &amp; Offer Preparation</w:t>
            </w:r>
            <w:r>
              <w:rPr>
                <w:color w:val="C9A84C"/>
                <w:sz w:val="16"/>
              </w:rPr>
              <w:t xml:space="preserve">  1–2 weeks</w:t>
            </w:r>
          </w:p>
          <w:p>
            <w:r>
              <w:rPr>
                <w:color w:val="64748B"/>
                <w:sz w:val="18"/>
              </w:rPr>
              <w:t>Agent visits in person. Performs Comparative Market Analysis (CMA) using Registradores &amp; Idealista data. Assesses condition, legal status, any illegal additions. Presents pricing proposal and net proceeds simulation (after taxes and commission).</w:t>
            </w:r>
          </w:p>
          <w:p>
            <w:r>
              <w:rPr>
                <w:b/>
                <w:color w:val="5B21B6"/>
                <w:sz w:val="16"/>
              </w:rPr>
              <w:t>[Nota Simple]  [IBI receipt]  [Cedula de habitabilidad]  [CMA report]  [Realistic pricing = faster sale]</w:t>
            </w:r>
          </w:p>
        </w:tc>
      </w:tr>
    </w:tbl>
    <w:p>
      <w:pPr>
        <w:spacing w:after="40"/>
      </w:pPr>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2</w:t>
            </w:r>
          </w:p>
        </w:tc>
        <w:tc>
          <w:tcPr>
            <w:tcW w:type="dxa" w:w="4703"/>
            <w:shd w:val="clear" w:color="auto" w:fill="FAFBFC"/>
          </w:tcPr>
          <w:p>
            <w:r/>
          </w:p>
          <w:p>
            <w:r>
              <w:rPr>
                <w:b/>
                <w:color w:val="0A1628"/>
                <w:sz w:val="22"/>
              </w:rPr>
              <w:t>Listing Agreement (Mandato)</w:t>
            </w:r>
            <w:r>
              <w:rPr>
                <w:color w:val="C9A84C"/>
                <w:sz w:val="16"/>
              </w:rPr>
              <w:t xml:space="preserve">  Day 1–3</w:t>
            </w:r>
          </w:p>
          <w:p>
            <w:r>
              <w:rPr>
                <w:color w:val="64748B"/>
                <w:sz w:val="18"/>
              </w:rPr>
              <w:t>Sign the agency mandate: Exclusive (Exclusiva) or Open (Abierto). Exclusive mandates deliver faster sales and better marketing investment. Agree on commission (3–6% + 21% IVA), timeline (3–6 months), and cancellation terms. Gather all required documents at this stage.</w:t>
            </w:r>
          </w:p>
          <w:p>
            <w:r>
              <w:rPr>
                <w:b/>
                <w:color w:val="5B21B6"/>
                <w:sz w:val="16"/>
              </w:rPr>
              <w:t>[Escritura de propiedad]  [Energy certificate (CEE)]  [Community fees cert]  [Last 3 IBI receipts]  [Commission: 3–6% + 21% IVA]</w:t>
            </w:r>
          </w:p>
        </w:tc>
      </w:tr>
    </w:tbl>
    <w:p>
      <w:pPr>
        <w:spacing w:after="40"/>
      </w:pPr>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3</w:t>
            </w:r>
          </w:p>
        </w:tc>
        <w:tc>
          <w:tcPr>
            <w:tcW w:type="dxa" w:w="4703"/>
            <w:shd w:val="clear" w:color="auto" w:fill="FAFBFC"/>
          </w:tcPr>
          <w:p>
            <w:r/>
          </w:p>
          <w:p>
            <w:r>
              <w:rPr>
                <w:b/>
                <w:color w:val="0A1628"/>
                <w:sz w:val="22"/>
              </w:rPr>
              <w:t>Active Marketing</w:t>
            </w:r>
            <w:r>
              <w:rPr>
                <w:color w:val="C9A84C"/>
                <w:sz w:val="16"/>
              </w:rPr>
              <w:t xml:space="preserve">  Weeks 1–12+ ongoing</w:t>
            </w:r>
          </w:p>
          <w:p>
            <w:r>
              <w:rPr>
                <w:color w:val="64748B"/>
                <w:sz w:val="18"/>
              </w:rPr>
              <w:t>Professional photography, video, floor plan. Publish on Idealista, Fotocasa, Kyero, Rightmove Overseas. For Málaga/Costa del Sol ~40% of buyers are foreign — international reach is essential. Weekly performance reporting to seller. Adjust strategy if no offers in 3–4 weeks.</w:t>
            </w:r>
          </w:p>
          <w:p>
            <w:r>
              <w:rPr>
                <w:b/>
                <w:color w:val="5B21B6"/>
                <w:sz w:val="16"/>
              </w:rPr>
              <w:t>[Idealista / Fotocasa]  [Kyero / Rightmove Overseas]  [Social media]  [Overpricing = stale listing]</w:t>
            </w:r>
          </w:p>
        </w:tc>
      </w:tr>
    </w:tbl>
    <w:p>
      <w:pPr>
        <w:spacing w:after="40"/>
      </w:pPr>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4</w:t>
            </w:r>
          </w:p>
        </w:tc>
        <w:tc>
          <w:tcPr>
            <w:tcW w:type="dxa" w:w="4703"/>
            <w:shd w:val="clear" w:color="auto" w:fill="FAFBFC"/>
          </w:tcPr>
          <w:p>
            <w:r/>
          </w:p>
          <w:p>
            <w:r>
              <w:rPr>
                <w:b/>
                <w:color w:val="0A1628"/>
                <w:sz w:val="22"/>
              </w:rPr>
              <w:t>Viewings &amp; Buyer Communication</w:t>
            </w:r>
            <w:r>
              <w:rPr>
                <w:color w:val="C9A84C"/>
                <w:sz w:val="16"/>
              </w:rPr>
              <w:t xml:space="preserve">  Ongoing</w:t>
            </w:r>
          </w:p>
          <w:p>
            <w:r>
              <w:rPr>
                <w:color w:val="64748B"/>
                <w:sz w:val="18"/>
              </w:rPr>
              <w:t>Agent holds keys and arranges viewings often at short notice. Private viewings are standard in Spain. Collect structured feedback after each visit. Qualify interest level and filter serious prospects from time-wasters.</w:t>
            </w:r>
          </w:p>
          <w:p>
            <w:r>
              <w:rPr>
                <w:b/>
                <w:color w:val="5B21B6"/>
                <w:sz w:val="16"/>
              </w:rPr>
              <w:t>[Viewing coordination]  [Post-visit feedback loop]  [28% of Málaga properties sell within 30 days]</w:t>
            </w:r>
          </w:p>
        </w:tc>
      </w:tr>
    </w:tbl>
    <w:p>
      <w:pPr>
        <w:spacing w:after="40"/>
      </w:pPr>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5</w:t>
            </w:r>
          </w:p>
        </w:tc>
        <w:tc>
          <w:tcPr>
            <w:tcW w:type="dxa" w:w="4703"/>
            <w:shd w:val="clear" w:color="auto" w:fill="FAFBFC"/>
          </w:tcPr>
          <w:p>
            <w:r/>
          </w:p>
          <w:p>
            <w:r>
              <w:rPr>
                <w:b/>
                <w:color w:val="0A1628"/>
                <w:sz w:val="22"/>
              </w:rPr>
              <w:t>Offer Negotiation</w:t>
            </w:r>
            <w:r>
              <w:rPr>
                <w:color w:val="C9A84C"/>
                <w:sz w:val="16"/>
              </w:rPr>
              <w:t xml:space="preserve">  Days 1–7 per offer</w:t>
            </w:r>
          </w:p>
          <w:p>
            <w:r>
              <w:rPr>
                <w:color w:val="64748B"/>
                <w:sz w:val="18"/>
              </w:rPr>
              <w:t>Agent presents all offers advising on buyer credibility (proof of funds / pre-approval), price, and conditions. National avg discount 6.2% below asking (2025). In hot Málaga sub-markets, offers often come at or above asking. Agent acts as buffer protecting seller while keeping buyer engaged.</w:t>
            </w:r>
          </w:p>
          <w:p>
            <w:r>
              <w:rPr>
                <w:b/>
                <w:color w:val="5B21B6"/>
                <w:sz w:val="16"/>
              </w:rPr>
              <w:t>[Proof of funds / pre-approval]  [Counter-offer strategy]  [Avg discount: 6.2% nationally (lower in Málaga)]</w:t>
            </w:r>
          </w:p>
        </w:tc>
      </w:tr>
    </w:tbl>
    <w:p>
      <w:pPr>
        <w:spacing w:after="40"/>
      </w:pPr>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6</w:t>
            </w:r>
          </w:p>
        </w:tc>
        <w:tc>
          <w:tcPr>
            <w:tcW w:type="dxa" w:w="4703"/>
            <w:shd w:val="clear" w:color="auto" w:fill="FAFBFC"/>
          </w:tcPr>
          <w:p>
            <w:r/>
          </w:p>
          <w:p>
            <w:r>
              <w:rPr>
                <w:b/>
                <w:color w:val="0A1628"/>
                <w:sz w:val="22"/>
              </w:rPr>
              <w:t>Contrato de Arras — Prepay / Pre-Contract</w:t>
            </w:r>
            <w:r>
              <w:rPr>
                <w:color w:val="C9A84C"/>
                <w:sz w:val="16"/>
              </w:rPr>
              <w:t xml:space="preserve">  Week 1–2 after offer</w:t>
            </w:r>
          </w:p>
          <w:p>
            <w:r>
              <w:rPr>
                <w:color w:val="64748B"/>
                <w:sz w:val="18"/>
              </w:rPr>
              <w:t>CRITICAL LEGAL STEP. Both parties sign Contrato de Arras Penitenciales — the standard binding pre-contract under Art. 1454 Civil Code. Buyer pays 10% deposit (señal). BUYER WITHDRAWS → loses deposit. SELLER WITHDRAWS → returns double (20%). Timeline to Escritura fixed: typically 30–90 days.</w:t>
            </w:r>
          </w:p>
          <w:p>
            <w:r>
              <w:rPr>
                <w:b/>
                <w:color w:val="5B21B6"/>
                <w:sz w:val="16"/>
              </w:rPr>
              <w:t>[Arras Penitenciales — Art. 1454 Civil Code]  [Buyer pays 10%]  [Seller backs out → returns 20%]  [30–90 days to closing fixed]</w:t>
            </w:r>
          </w:p>
        </w:tc>
      </w:tr>
    </w:tbl>
    <w:p>
      <w:pPr>
        <w:spacing w:after="40"/>
      </w:pPr>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7</w:t>
            </w:r>
          </w:p>
        </w:tc>
        <w:tc>
          <w:tcPr>
            <w:tcW w:type="dxa" w:w="4703"/>
            <w:shd w:val="clear" w:color="auto" w:fill="FAFBFC"/>
          </w:tcPr>
          <w:p>
            <w:r/>
          </w:p>
          <w:p>
            <w:r>
              <w:rPr>
                <w:b/>
                <w:color w:val="0A1628"/>
                <w:sz w:val="22"/>
              </w:rPr>
              <w:t>Due Diligence &amp; Legal Checks</w:t>
            </w:r>
            <w:r>
              <w:rPr>
                <w:color w:val="C9A84C"/>
                <w:sz w:val="16"/>
              </w:rPr>
              <w:t xml:space="preserve">  2–4 weeks (parallel)</w:t>
            </w:r>
          </w:p>
          <w:p>
            <w:r>
              <w:rPr>
                <w:color w:val="64748B"/>
                <w:sz w:val="18"/>
              </w:rPr>
              <w:t>Buyer's lawyer pulls Nota Simple from Land Registry — confirms clean title, no liens, no outstanding debts. Seller clears any existing mortgage. Community checked for arrears. Energy Certificate (CEE) must be valid. Illegal constructions must be declared.</w:t>
            </w:r>
          </w:p>
          <w:p>
            <w:r>
              <w:rPr>
                <w:b/>
                <w:color w:val="5B21B6"/>
                <w:sz w:val="16"/>
              </w:rPr>
              <w:t>[Nota Simple]  [Community arrears cert]  [CEE energy cert]  [Building permit check]  [Mortgage clearance]</w:t>
            </w:r>
          </w:p>
        </w:tc>
      </w:tr>
    </w:tbl>
    <w:p>
      <w:pPr>
        <w:spacing w:after="40"/>
      </w:pPr>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8</w:t>
            </w:r>
          </w:p>
        </w:tc>
        <w:tc>
          <w:tcPr>
            <w:tcW w:type="dxa" w:w="4703"/>
            <w:shd w:val="clear" w:color="auto" w:fill="FAFBFC"/>
          </w:tcPr>
          <w:p>
            <w:r/>
          </w:p>
          <w:p>
            <w:r>
              <w:rPr>
                <w:b/>
                <w:color w:val="0A1628"/>
                <w:sz w:val="22"/>
              </w:rPr>
              <w:t>Escritura de Compraventa — Notary Closing</w:t>
            </w:r>
            <w:r>
              <w:rPr>
                <w:color w:val="C9A84C"/>
                <w:sz w:val="16"/>
              </w:rPr>
              <w:t xml:space="preserve">  Week 10–14</w:t>
            </w:r>
          </w:p>
          <w:p>
            <w:r>
              <w:rPr>
                <w:color w:val="64748B"/>
                <w:sz w:val="18"/>
              </w:rPr>
              <w:t>Both parties at notary office. Escritura Pública signed. Buyer transfers remaining 90% balance via banker's cheque — all funds must be traceable (AML). Notary reads deed in full. Keys exchanged. Legal ownership transfers at this moment.</w:t>
            </w:r>
          </w:p>
          <w:p>
            <w:r>
              <w:rPr>
                <w:b/>
                <w:color w:val="5B21B6"/>
                <w:sz w:val="16"/>
              </w:rPr>
              <w:t>[Notary signing]  [Seller receives 90%]  [Keys exchanged]  [AML: all funds traceable]</w:t>
            </w:r>
          </w:p>
        </w:tc>
      </w:tr>
    </w:tbl>
    <w:p>
      <w:pPr>
        <w:spacing w:after="40"/>
      </w:pPr>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9</w:t>
            </w:r>
          </w:p>
        </w:tc>
        <w:tc>
          <w:tcPr>
            <w:tcW w:type="dxa" w:w="4703"/>
            <w:shd w:val="clear" w:color="auto" w:fill="FAFBFC"/>
          </w:tcPr>
          <w:p>
            <w:r/>
          </w:p>
          <w:p>
            <w:r>
              <w:rPr>
                <w:b/>
                <w:color w:val="0A1628"/>
                <w:sz w:val="22"/>
              </w:rPr>
              <w:t>Post-Sale Obligations &amp; Follow-up</w:t>
            </w:r>
            <w:r>
              <w:rPr>
                <w:color w:val="C9A84C"/>
                <w:sz w:val="16"/>
              </w:rPr>
              <w:t xml:space="preserve">  Weeks 14–20 + next tax year</w:t>
            </w:r>
          </w:p>
          <w:p>
            <w:r>
              <w:rPr>
                <w:color w:val="64748B"/>
                <w:sz w:val="18"/>
              </w:rPr>
              <w:t>Seller pays Plusvalía Municipal (land value gain tax) within 30 days to Ayuntamiento. Capital gain (IRPF) declared in following year's income tax. Cancel/transfer utility contracts. Agent follows up for testimonial, referral, and reinvestment conversation.</w:t>
            </w:r>
          </w:p>
          <w:p>
            <w:r>
              <w:rPr>
                <w:b/>
                <w:color w:val="5B21B6"/>
                <w:sz w:val="16"/>
              </w:rPr>
              <w:t>[Plusvalía Municipal — 30 days]  [IRPF capital gain — next tax year]  [Cancel/transfer utilities]  [Referral &amp; testimonial]</w:t>
            </w:r>
          </w:p>
        </w:tc>
      </w:tr>
    </w:tbl>
    <w:p>
      <w:pPr>
        <w:spacing w:after="40"/>
      </w:pPr>
    </w:p>
    <w:p>
      <w:r>
        <w:br w:type="page"/>
      </w:r>
    </w:p>
    <w:p>
      <w:pPr>
        <w:spacing w:before="240" w:after="80"/>
      </w:pPr>
      <w:r>
        <w:rPr>
          <w:b/>
          <w:color w:val="0A1628"/>
          <w:sz w:val="28"/>
        </w:rPr>
        <w:t>D2. Buyer — Purchase Pipeline</w:t>
      </w:r>
    </w:p>
    <w:p>
      <w:pPr>
        <w:spacing w:after="80"/>
      </w:pPr>
      <w:r>
        <w:rPr>
          <w:b/>
          <w:i w:val="0"/>
          <w:color w:val="C9A84C"/>
          <w:sz w:val="20"/>
        </w:rPr>
        <w:t>Huspy opportunity: Two high-value touchpoints — NIE/banking setup (referral partnerships) and mortgage origination (Stage 3). Getting to the buyer at Stage 2–3 means owning the rest of the journey.</w:t>
      </w:r>
    </w:p>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1</w:t>
            </w:r>
          </w:p>
        </w:tc>
        <w:tc>
          <w:tcPr>
            <w:tcW w:type="dxa" w:w="4703"/>
            <w:shd w:val="clear" w:color="auto" w:fill="FAFBFC"/>
          </w:tcPr>
          <w:p>
            <w:r/>
          </w:p>
          <w:p>
            <w:r>
              <w:rPr>
                <w:b/>
                <w:color w:val="0A1628"/>
                <w:sz w:val="22"/>
              </w:rPr>
              <w:t>Define Budget &amp; Goals</w:t>
            </w:r>
            <w:r>
              <w:rPr>
                <w:color w:val="C9A84C"/>
                <w:sz w:val="16"/>
              </w:rPr>
              <w:t xml:space="preserve">  Before anything else</w:t>
            </w:r>
          </w:p>
          <w:p>
            <w:r>
              <w:rPr>
                <w:color w:val="64748B"/>
                <w:sz w:val="18"/>
              </w:rPr>
              <w:t>Buyer defines location, property type, intended use (primary / holiday / investment), and budget ceiling. CRITICAL: budget must be +10–12% on top of purchase price for taxes and fees. A €300k property requires ~€333–336k total liquidity. Re-framing the true all-in cost is the agent's first job.</w:t>
            </w:r>
          </w:p>
          <w:p>
            <w:r>
              <w:rPr>
                <w:b/>
                <w:color w:val="5B21B6"/>
                <w:sz w:val="16"/>
              </w:rPr>
              <w:t>[True cost = price + 10–12% taxes &amp; fees]  [Location shortlist]  [Use case: live / holiday / invest]</w:t>
            </w:r>
          </w:p>
        </w:tc>
      </w:tr>
    </w:tbl>
    <w:p>
      <w:pPr>
        <w:spacing w:after="40"/>
      </w:pPr>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2</w:t>
            </w:r>
          </w:p>
        </w:tc>
        <w:tc>
          <w:tcPr>
            <w:tcW w:type="dxa" w:w="4703"/>
            <w:shd w:val="clear" w:color="auto" w:fill="FAFBFC"/>
          </w:tcPr>
          <w:p>
            <w:r/>
          </w:p>
          <w:p>
            <w:r>
              <w:rPr>
                <w:b/>
                <w:color w:val="0A1628"/>
                <w:sz w:val="22"/>
              </w:rPr>
              <w:t>NIE &amp; Spanish Bank Account</w:t>
            </w:r>
            <w:r>
              <w:rPr>
                <w:color w:val="C9A84C"/>
                <w:sz w:val="16"/>
              </w:rPr>
              <w:t xml:space="preserve">  Start immediately — takes 2–3 months</w:t>
            </w:r>
          </w:p>
          <w:p>
            <w:r>
              <w:rPr>
                <w:color w:val="64748B"/>
                <w:sz w:val="18"/>
              </w:rPr>
              <w:t>NIE (Número de Identificación de Extranjero) is mandatory for all foreigners buying in Spain. Without it: no bank account, no taxes, no notary signing. Apply at Spanish police station (Comisaría) or Spanish Consulate. Costs €10 (Tasa 790) but wait is 2–3 months in peak season.</w:t>
            </w:r>
          </w:p>
          <w:p>
            <w:r>
              <w:rPr>
                <w:b/>
                <w:color w:val="5B21B6"/>
                <w:sz w:val="16"/>
              </w:rPr>
              <w:t>[No NIE = cannot complete any purchase]  [Modelo EX-15]  [Open Spanish bank account (all AML payments from here)]</w:t>
            </w:r>
          </w:p>
        </w:tc>
      </w:tr>
    </w:tbl>
    <w:p>
      <w:pPr>
        <w:spacing w:after="40"/>
      </w:pPr>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3</w:t>
            </w:r>
          </w:p>
        </w:tc>
        <w:tc>
          <w:tcPr>
            <w:tcW w:type="dxa" w:w="4703"/>
            <w:shd w:val="clear" w:color="auto" w:fill="FAFBFC"/>
          </w:tcPr>
          <w:p>
            <w:r/>
          </w:p>
          <w:p>
            <w:r>
              <w:rPr>
                <w:b/>
                <w:color w:val="0A1628"/>
                <w:sz w:val="22"/>
              </w:rPr>
              <w:t>Mortgage Pre-Approval</w:t>
            </w:r>
            <w:r>
              <w:rPr>
                <w:color w:val="C9A84C"/>
                <w:sz w:val="16"/>
              </w:rPr>
              <w:t xml:space="preserve">  2–6 weeks</w:t>
            </w:r>
          </w:p>
          <w:p>
            <w:r>
              <w:rPr>
                <w:color w:val="64748B"/>
                <w:sz w:val="18"/>
              </w:rPr>
              <w:t>Spanish banks lend up to 80% LTV for residents, 70% for non-residents. Bank issues FEIN (Ficha Europea de Información Normalizada) — binding offer, mandatory 10 days before notary signing. Huspy's 25+ bank panel = best market rate in one process. Euribor 12m ~2.5% (Mar 2026) — favourable window.</w:t>
            </w:r>
          </w:p>
          <w:p>
            <w:r>
              <w:rPr>
                <w:b/>
                <w:color w:val="5B21B6"/>
                <w:sz w:val="16"/>
              </w:rPr>
              <w:t>[LTV: 80% residents / 70% non-residents]  [FEIN — mandatory 10 days before signing]  [Huspy: compare 25+ banks simultaneously]</w:t>
            </w:r>
          </w:p>
        </w:tc>
      </w:tr>
    </w:tbl>
    <w:p>
      <w:pPr>
        <w:spacing w:after="40"/>
      </w:pPr>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4</w:t>
            </w:r>
          </w:p>
        </w:tc>
        <w:tc>
          <w:tcPr>
            <w:tcW w:type="dxa" w:w="4703"/>
            <w:shd w:val="clear" w:color="auto" w:fill="FAFBFC"/>
          </w:tcPr>
          <w:p>
            <w:r/>
          </w:p>
          <w:p>
            <w:r>
              <w:rPr>
                <w:b/>
                <w:color w:val="0A1628"/>
                <w:sz w:val="22"/>
              </w:rPr>
              <w:t>Property Search &amp; Viewings</w:t>
            </w:r>
            <w:r>
              <w:rPr>
                <w:color w:val="C9A84C"/>
                <w:sz w:val="16"/>
              </w:rPr>
              <w:t xml:space="preserve">  Ongoing — typically 1–3 months</w:t>
            </w:r>
          </w:p>
          <w:p>
            <w:r>
              <w:rPr>
                <w:color w:val="64748B"/>
                <w:sz w:val="18"/>
              </w:rPr>
              <w:t>Search Idealista, Fotocasa, Kyero, Rightmove Overseas. Never buy unseen — always visit in person. Check the neighbourhood at different times of day. Ask specifically about community fees, pending building works, and historical rental performance for investments.</w:t>
            </w:r>
          </w:p>
          <w:p>
            <w:r>
              <w:rPr>
                <w:b/>
                <w:color w:val="5B21B6"/>
                <w:sz w:val="16"/>
              </w:rPr>
              <w:t>[Idealista / Fotocasa / Kyero]  [Rightmove Overseas (UK buyers)]  [NEVER buy unseen]  [Check community fees + pending works]</w:t>
            </w:r>
          </w:p>
        </w:tc>
      </w:tr>
    </w:tbl>
    <w:p>
      <w:pPr>
        <w:spacing w:after="40"/>
      </w:pPr>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5</w:t>
            </w:r>
          </w:p>
        </w:tc>
        <w:tc>
          <w:tcPr>
            <w:tcW w:type="dxa" w:w="4703"/>
            <w:shd w:val="clear" w:color="auto" w:fill="FAFBFC"/>
          </w:tcPr>
          <w:p>
            <w:r/>
          </w:p>
          <w:p>
            <w:r>
              <w:rPr>
                <w:b/>
                <w:color w:val="0A1628"/>
                <w:sz w:val="22"/>
              </w:rPr>
              <w:t>Legal Due Diligence (Before Offer)</w:t>
            </w:r>
            <w:r>
              <w:rPr>
                <w:color w:val="C9A84C"/>
                <w:sz w:val="16"/>
              </w:rPr>
              <w:t xml:space="preserve">  1–2 weeks</w:t>
            </w:r>
          </w:p>
          <w:p>
            <w:r>
              <w:rPr>
                <w:color w:val="64748B"/>
                <w:sz w:val="18"/>
              </w:rPr>
              <w:t>Hire independent Spanish property lawyer (abogado). Spain operates on "buyer beware" (caveat emptor). Lawyer pulls Nota Simple (€9) — reveals ownership, mortgages, liens, registered size. Checks Catastro for planning compliance. Queries Ayuntamiento for fines or urban planning issues.</w:t>
            </w:r>
          </w:p>
          <w:p>
            <w:r>
              <w:rPr>
                <w:b/>
                <w:color w:val="5B21B6"/>
                <w:sz w:val="16"/>
              </w:rPr>
              <w:t>[Nota Simple (€9)]  [Catastro check]  [Ayuntamiento planning query]  [CEE validation]  [Spain = buyer beware]</w:t>
            </w:r>
          </w:p>
        </w:tc>
      </w:tr>
    </w:tbl>
    <w:p>
      <w:pPr>
        <w:spacing w:after="40"/>
      </w:pPr>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6</w:t>
            </w:r>
          </w:p>
        </w:tc>
        <w:tc>
          <w:tcPr>
            <w:tcW w:type="dxa" w:w="4703"/>
            <w:shd w:val="clear" w:color="auto" w:fill="FAFBFC"/>
          </w:tcPr>
          <w:p>
            <w:r/>
          </w:p>
          <w:p>
            <w:r>
              <w:rPr>
                <w:b/>
                <w:color w:val="0A1628"/>
                <w:sz w:val="22"/>
              </w:rPr>
              <w:t>Make an Offer</w:t>
            </w:r>
            <w:r>
              <w:rPr>
                <w:color w:val="C9A84C"/>
                <w:sz w:val="16"/>
              </w:rPr>
              <w:t xml:space="preserve">  1–5 days to agree</w:t>
            </w:r>
          </w:p>
          <w:p>
            <w:r>
              <w:rPr>
                <w:color w:val="64748B"/>
                <w:sz w:val="18"/>
              </w:rPr>
              <w:t>Written offer via agent. In Málaga's competitive sub-markets (Marbella, Málaga city, Benalmádena), low-ball offers rejected quickly. National average discount 6.2% — but Málaga often 2–4% below or at asking. Include pre-approval letter to signal credibility.</w:t>
            </w:r>
          </w:p>
          <w:p>
            <w:r>
              <w:rPr>
                <w:b/>
                <w:color w:val="5B21B6"/>
                <w:sz w:val="16"/>
              </w:rPr>
              <w:t>[Written offer via agent]  [Proof of funds / pre-approval letter]  [Málaga avg discount: 2–4% (national: 6.2%)]</w:t>
            </w:r>
          </w:p>
        </w:tc>
      </w:tr>
    </w:tbl>
    <w:p>
      <w:pPr>
        <w:spacing w:after="40"/>
      </w:pPr>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7</w:t>
            </w:r>
          </w:p>
        </w:tc>
        <w:tc>
          <w:tcPr>
            <w:tcW w:type="dxa" w:w="4703"/>
            <w:shd w:val="clear" w:color="auto" w:fill="FAFBFC"/>
          </w:tcPr>
          <w:p>
            <w:r/>
          </w:p>
          <w:p>
            <w:r>
              <w:rPr>
                <w:b/>
                <w:color w:val="0A1628"/>
                <w:sz w:val="22"/>
              </w:rPr>
              <w:t>Contrato de Arras — Binding Pre-Contract</w:t>
            </w:r>
            <w:r>
              <w:rPr>
                <w:color w:val="C9A84C"/>
                <w:sz w:val="16"/>
              </w:rPr>
              <w:t xml:space="preserve">  Within 1–2 weeks of offer</w:t>
            </w:r>
          </w:p>
          <w:p>
            <w:r>
              <w:rPr>
                <w:color w:val="64748B"/>
                <w:sz w:val="18"/>
              </w:rPr>
              <w:t>Sign Contrato de Arras Penitenciales and pay 10% deposit. Property immediately off market. Point of no return — withdrawing costs the full deposit. Seller backs out → they owe you 20%. Contract fixes final price, completion date, and conditions. Having mortgage pre-approval BEFORE this stage is essential.</w:t>
            </w:r>
          </w:p>
          <w:p>
            <w:r>
              <w:rPr>
                <w:b/>
                <w:color w:val="5B21B6"/>
                <w:sz w:val="16"/>
              </w:rPr>
              <w:t>[Arras Penitenciales — Art. 1454 Civil Code]  [Pay 10% — non-refundable if you withdraw]  [Get pre-approval BEFORE signing Arras]</w:t>
            </w:r>
          </w:p>
        </w:tc>
      </w:tr>
    </w:tbl>
    <w:p>
      <w:pPr>
        <w:spacing w:after="40"/>
      </w:pPr>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8</w:t>
            </w:r>
          </w:p>
        </w:tc>
        <w:tc>
          <w:tcPr>
            <w:tcW w:type="dxa" w:w="4703"/>
            <w:shd w:val="clear" w:color="auto" w:fill="FAFBFC"/>
          </w:tcPr>
          <w:p>
            <w:r/>
          </w:p>
          <w:p>
            <w:r>
              <w:rPr>
                <w:b/>
                <w:color w:val="0A1628"/>
                <w:sz w:val="22"/>
              </w:rPr>
              <w:t>Tasación &amp; Mortgage Finalisation</w:t>
            </w:r>
            <w:r>
              <w:rPr>
                <w:color w:val="C9A84C"/>
                <w:sz w:val="16"/>
              </w:rPr>
              <w:t xml:space="preserve">  3–6 weeks</w:t>
            </w:r>
          </w:p>
          <w:p>
            <w:r>
              <w:rPr>
                <w:color w:val="64748B"/>
                <w:sz w:val="18"/>
              </w:rPr>
              <w:t>Bank orders official Tasación (€300–€800). If Tasación &lt; purchase price, bank lends against lower figure — buyer must top up cash. Bank issues formal FEIN. Mandatory: buyer visits notary ALONE (without bank) at least 10 days before signing to confirm understanding — required by 2019 Mortgage Law.</w:t>
            </w:r>
          </w:p>
          <w:p>
            <w:r>
              <w:rPr>
                <w:b/>
                <w:color w:val="5B21B6"/>
                <w:sz w:val="16"/>
              </w:rPr>
              <w:t>[Tasación — €300–€800]  [FEIN binding mortgage offer]  [Tasación &lt; price = cash top-up]  [10-day mandatory cooling-off after FEIN]</w:t>
            </w:r>
          </w:p>
        </w:tc>
      </w:tr>
    </w:tbl>
    <w:p>
      <w:pPr>
        <w:spacing w:after="40"/>
      </w:pPr>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9</w:t>
            </w:r>
          </w:p>
        </w:tc>
        <w:tc>
          <w:tcPr>
            <w:tcW w:type="dxa" w:w="4703"/>
            <w:shd w:val="clear" w:color="auto" w:fill="FAFBFC"/>
          </w:tcPr>
          <w:p>
            <w:r/>
          </w:p>
          <w:p>
            <w:r>
              <w:rPr>
                <w:b/>
                <w:color w:val="0A1628"/>
                <w:sz w:val="22"/>
              </w:rPr>
              <w:t>Escritura de Compraventa — Notary Closing</w:t>
            </w:r>
            <w:r>
              <w:rPr>
                <w:color w:val="C9A84C"/>
                <w:sz w:val="16"/>
              </w:rPr>
              <w:t xml:space="preserve">  Week 10–14</w:t>
            </w:r>
          </w:p>
          <w:p>
            <w:r>
              <w:rPr>
                <w:color w:val="64748B"/>
                <w:sz w:val="18"/>
              </w:rPr>
              <w:t>Final signing at notary. Buyer and seller present (or PoA). Full remaining balance paid via banker's cheque from Spanish bank. Notary reads full deed. Both parties sign. Keys change hands. Legal ownership transfers at this exact moment. Since 2019: bank pays its own notary and registry costs for the mortgage deed.</w:t>
            </w:r>
          </w:p>
          <w:p>
            <w:r>
              <w:rPr>
                <w:b/>
                <w:color w:val="5B21B6"/>
                <w:sz w:val="16"/>
              </w:rPr>
              <w:t>[Both parties present]  [Pay remaining 90% via banker's cheque]  [Keys received]  [Bank pays its own mortgage notary costs (since 2019)]</w:t>
            </w:r>
          </w:p>
        </w:tc>
      </w:tr>
    </w:tbl>
    <w:p>
      <w:pPr>
        <w:spacing w:after="40"/>
      </w:pPr>
    </w:p>
    <w:tbl>
      <w:tblPr>
        <w:tblStyle w:val="TableGrid"/>
        <w:tblW w:type="auto" w:w="0"/>
        <w:tblLook w:firstColumn="1" w:firstRow="1" w:lastColumn="0" w:lastRow="0" w:noHBand="0" w:noVBand="1" w:val="04A0"/>
      </w:tblPr>
      <w:tblGrid>
        <w:gridCol w:w="4703"/>
        <w:gridCol w:w="4703"/>
      </w:tblGrid>
      <w:tr>
        <w:tc>
          <w:tcPr>
            <w:tcW w:type="dxa" w:w="680"/>
            <w:shd w:val="clear" w:color="auto" w:fill="0A1628"/>
            <w:vAlign w:val="center"/>
          </w:tcPr>
          <w:p>
            <w:pPr>
              <w:jc w:val="center"/>
            </w:pPr>
            <w:r/>
            <w:r>
              <w:rPr>
                <w:b/>
                <w:i w:val="0"/>
                <w:color w:val="C9A84C"/>
                <w:sz w:val="32"/>
              </w:rPr>
              <w:t>10</w:t>
            </w:r>
          </w:p>
        </w:tc>
        <w:tc>
          <w:tcPr>
            <w:tcW w:type="dxa" w:w="4703"/>
            <w:shd w:val="clear" w:color="auto" w:fill="FAFBFC"/>
          </w:tcPr>
          <w:p>
            <w:r/>
          </w:p>
          <w:p>
            <w:r>
              <w:rPr>
                <w:b/>
                <w:color w:val="0A1628"/>
                <w:sz w:val="22"/>
              </w:rPr>
              <w:t>Registration, Taxes &amp; Post-Purchase Setup</w:t>
            </w:r>
            <w:r>
              <w:rPr>
                <w:color w:val="C9A84C"/>
                <w:sz w:val="16"/>
              </w:rPr>
              <w:t xml:space="preserve">  Weeks 14–20</w:t>
            </w:r>
          </w:p>
          <w:p>
            <w:r>
              <w:rPr>
                <w:color w:val="64748B"/>
                <w:sz w:val="18"/>
              </w:rPr>
              <w:t>Pay ITP (7% Andalusia resale) or IVA + AJD (10% + 1.2% new build) within 30 days. Gestoría files Land Registry (15–30 working days). Transfer utilities. Set up community fee direct debit. Investment property: register for tourist rental licence (VFT) if applicable.</w:t>
            </w:r>
          </w:p>
          <w:p>
            <w:r>
              <w:rPr>
                <w:b/>
                <w:color w:val="5B21B6"/>
                <w:sz w:val="16"/>
              </w:rPr>
              <w:t>[ITP 7% Andalusia — pay within 30 days]  [Land Registry — 15–30 working days]  [Transfer utilities]  [Investment: apply for VFT rental licence]</w:t>
            </w:r>
          </w:p>
        </w:tc>
      </w:tr>
    </w:tbl>
    <w:p>
      <w:pPr>
        <w:spacing w:after="40"/>
      </w:pPr>
    </w:p>
    <w:p>
      <w:r>
        <w:br w:type="page"/>
      </w:r>
    </w:p>
    <w:p>
      <w:pPr>
        <w:spacing w:before="360" w:after="120"/>
      </w:pPr>
      <w:r>
        <w:rPr>
          <w:b/>
          <w:color w:val="0A1628"/>
          <w:sz w:val="36"/>
        </w:rPr>
        <w:t>SECTION E — AGENCY ECOSYSTEM &amp; OFFICE STRUCTURE</w:t>
      </w:r>
    </w:p>
    <w:p>
      <w:pPr>
        <w:spacing w:after="80"/>
      </w:pPr>
      <w:r>
        <w:rPr>
          <w:b w:val="0"/>
          <w:i/>
          <w:color w:val="64748B"/>
          <w:sz w:val="20"/>
        </w:rPr>
        <w:t>How the real estate agency business actually works: the mechanics of commission flow, every professional involved in a transaction, pricing methodology, and the full organisational structure of an agency office.</w:t>
      </w:r>
    </w:p>
    <w:p>
      <w:pPr>
        <w:spacing w:before="240" w:after="80"/>
      </w:pPr>
      <w:r>
        <w:rPr>
          <w:b/>
          <w:color w:val="0A1628"/>
          <w:sz w:val="28"/>
        </w:rPr>
        <w:t>E1. How the Agency Business Model Works</w:t>
      </w:r>
    </w:p>
    <w:p>
      <w:pPr>
        <w:spacing w:before="160" w:after="40"/>
      </w:pPr>
      <w:r>
        <w:rPr>
          <w:b/>
          <w:color w:val="0A1628"/>
          <w:sz w:val="22"/>
        </w:rPr>
        <w:t>Commission Flow: Who Pays What</w:t>
      </w:r>
    </w:p>
    <w:p>
      <w:pPr>
        <w:spacing w:after="80"/>
      </w:pPr>
      <w:r>
        <w:rPr>
          <w:b w:val="0"/>
          <w:i w:val="0"/>
          <w:sz w:val="20"/>
        </w:rPr>
        <w:t>In Spain the agency commission is paid exclusively by the seller — buyers pay zero agency fees. The full flow from sale price to net revenue is as follows: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340"/>
            <w:shd w:val="clear" w:color="auto" w:fill="0A1628"/>
          </w:tcPr>
          <w:p>
            <w:pPr>
              <w:jc w:val="left"/>
            </w:pPr>
            <w:r/>
            <w:r>
              <w:rPr>
                <w:b/>
                <w:i w:val="0"/>
                <w:color w:val="FFFFFF"/>
                <w:sz w:val="18"/>
              </w:rPr>
              <w:t>Step</w:t>
            </w:r>
          </w:p>
        </w:tc>
        <w:tc>
          <w:tcPr>
            <w:tcW w:type="dxa" w:w="1701"/>
            <w:shd w:val="clear" w:color="auto" w:fill="0A1628"/>
          </w:tcPr>
          <w:p>
            <w:pPr>
              <w:jc w:val="left"/>
            </w:pPr>
            <w:r/>
            <w:r>
              <w:rPr>
                <w:b/>
                <w:i w:val="0"/>
                <w:color w:val="FFFFFF"/>
                <w:sz w:val="18"/>
              </w:rPr>
              <w:t>Actor</w:t>
            </w:r>
          </w:p>
        </w:tc>
        <w:tc>
          <w:tcPr>
            <w:tcW w:type="dxa" w:w="1984"/>
            <w:shd w:val="clear" w:color="auto" w:fill="0A1628"/>
          </w:tcPr>
          <w:p>
            <w:pPr>
              <w:jc w:val="left"/>
            </w:pPr>
            <w:r/>
            <w:r>
              <w:rPr>
                <w:b/>
                <w:i w:val="0"/>
                <w:color w:val="FFFFFF"/>
                <w:sz w:val="18"/>
              </w:rPr>
              <w:t>Pays / Receives</w:t>
            </w:r>
          </w:p>
        </w:tc>
        <w:tc>
          <w:tcPr>
            <w:tcW w:type="dxa" w:w="2268"/>
            <w:shd w:val="clear" w:color="auto" w:fill="0A1628"/>
          </w:tcPr>
          <w:p>
            <w:pPr>
              <w:jc w:val="left"/>
            </w:pPr>
            <w:r/>
            <w:r>
              <w:rPr>
                <w:b/>
                <w:i w:val="0"/>
                <w:color w:val="FFFFFF"/>
                <w:sz w:val="18"/>
              </w:rPr>
              <w:t>Amount (example: €280k sale)</w:t>
            </w:r>
          </w:p>
        </w:tc>
        <w:tc>
          <w:tcPr>
            <w:tcW w:type="dxa" w:w="3061"/>
            <w:shd w:val="clear" w:color="auto" w:fill="0A1628"/>
          </w:tcPr>
          <w:p>
            <w:pPr>
              <w:jc w:val="left"/>
            </w:pPr>
            <w:r/>
            <w:r>
              <w:rPr>
                <w:b/>
                <w:i w:val="0"/>
                <w:color w:val="FFFFFF"/>
                <w:sz w:val="18"/>
              </w:rPr>
              <w:t>Notes</w:t>
            </w:r>
          </w:p>
        </w:tc>
      </w:tr>
      <w:tr>
        <w:tc>
          <w:tcPr>
            <w:tcW w:type="dxa" w:w="340"/>
            <w:shd w:val="clear" w:color="auto" w:fill="F8FAFC"/>
          </w:tcPr>
          <w:p>
            <w:pPr>
              <w:jc w:val="left"/>
            </w:pPr>
            <w:r/>
            <w:r>
              <w:rPr>
                <w:b w:val="0"/>
                <w:i w:val="0"/>
                <w:sz w:val="18"/>
              </w:rPr>
              <w:t>1</w:t>
            </w:r>
          </w:p>
        </w:tc>
        <w:tc>
          <w:tcPr>
            <w:tcW w:type="dxa" w:w="1701"/>
            <w:shd w:val="clear" w:color="auto" w:fill="F8FAFC"/>
          </w:tcPr>
          <w:p>
            <w:pPr>
              <w:jc w:val="left"/>
            </w:pPr>
            <w:r/>
            <w:r>
              <w:rPr>
                <w:b w:val="0"/>
                <w:i w:val="0"/>
                <w:sz w:val="18"/>
              </w:rPr>
              <w:t>Buyer</w:t>
            </w:r>
          </w:p>
        </w:tc>
        <w:tc>
          <w:tcPr>
            <w:tcW w:type="dxa" w:w="1984"/>
            <w:shd w:val="clear" w:color="auto" w:fill="F8FAFC"/>
          </w:tcPr>
          <w:p>
            <w:pPr>
              <w:jc w:val="left"/>
            </w:pPr>
            <w:r/>
            <w:r>
              <w:rPr>
                <w:b w:val="0"/>
                <w:i w:val="0"/>
                <w:sz w:val="18"/>
              </w:rPr>
              <w:t>Pays sale price</w:t>
            </w:r>
          </w:p>
        </w:tc>
        <w:tc>
          <w:tcPr>
            <w:tcW w:type="dxa" w:w="2268"/>
            <w:shd w:val="clear" w:color="auto" w:fill="F8FAFC"/>
          </w:tcPr>
          <w:p>
            <w:pPr>
              <w:jc w:val="left"/>
            </w:pPr>
            <w:r/>
            <w:r>
              <w:rPr>
                <w:b w:val="0"/>
                <w:i w:val="0"/>
                <w:sz w:val="18"/>
              </w:rPr>
              <w:t>€280,000</w:t>
            </w:r>
          </w:p>
        </w:tc>
        <w:tc>
          <w:tcPr>
            <w:tcW w:type="dxa" w:w="3061"/>
            <w:shd w:val="clear" w:color="auto" w:fill="F8FAFC"/>
          </w:tcPr>
          <w:p>
            <w:pPr>
              <w:jc w:val="left"/>
            </w:pPr>
            <w:r/>
            <w:r>
              <w:rPr>
                <w:b w:val="0"/>
                <w:i w:val="0"/>
                <w:sz w:val="18"/>
              </w:rPr>
              <w:t>Plus ~10–12% in taxes &amp; fees (ITP, notary, registry)</w:t>
            </w:r>
          </w:p>
        </w:tc>
      </w:tr>
      <w:tr>
        <w:tc>
          <w:tcPr>
            <w:tcW w:type="dxa" w:w="340"/>
            <w:shd w:val="clear" w:color="auto" w:fill="FFFFFF"/>
          </w:tcPr>
          <w:p>
            <w:pPr>
              <w:jc w:val="left"/>
            </w:pPr>
            <w:r/>
            <w:r>
              <w:rPr>
                <w:b w:val="0"/>
                <w:i w:val="0"/>
                <w:sz w:val="18"/>
              </w:rPr>
              <w:t>2</w:t>
            </w:r>
          </w:p>
        </w:tc>
        <w:tc>
          <w:tcPr>
            <w:tcW w:type="dxa" w:w="1701"/>
            <w:shd w:val="clear" w:color="auto" w:fill="FFFFFF"/>
          </w:tcPr>
          <w:p>
            <w:pPr>
              <w:jc w:val="left"/>
            </w:pPr>
            <w:r/>
            <w:r>
              <w:rPr>
                <w:b w:val="0"/>
                <w:i w:val="0"/>
                <w:sz w:val="18"/>
              </w:rPr>
              <w:t>Seller → Agency</w:t>
            </w:r>
          </w:p>
        </w:tc>
        <w:tc>
          <w:tcPr>
            <w:tcW w:type="dxa" w:w="1984"/>
            <w:shd w:val="clear" w:color="auto" w:fill="FFFFFF"/>
          </w:tcPr>
          <w:p>
            <w:pPr>
              <w:jc w:val="left"/>
            </w:pPr>
            <w:r/>
            <w:r>
              <w:rPr>
                <w:b w:val="0"/>
                <w:i w:val="0"/>
                <w:sz w:val="18"/>
              </w:rPr>
              <w:t>Pays commission</w:t>
            </w:r>
          </w:p>
        </w:tc>
        <w:tc>
          <w:tcPr>
            <w:tcW w:type="dxa" w:w="2268"/>
            <w:shd w:val="clear" w:color="auto" w:fill="FFFFFF"/>
          </w:tcPr>
          <w:p>
            <w:pPr>
              <w:jc w:val="left"/>
            </w:pPr>
            <w:r/>
            <w:r>
              <w:rPr>
                <w:b w:val="0"/>
                <w:i w:val="0"/>
                <w:sz w:val="18"/>
              </w:rPr>
              <w:t>€11,200 (4%)</w:t>
            </w:r>
          </w:p>
        </w:tc>
        <w:tc>
          <w:tcPr>
            <w:tcW w:type="dxa" w:w="3061"/>
            <w:shd w:val="clear" w:color="auto" w:fill="FFFFFF"/>
          </w:tcPr>
          <w:p>
            <w:pPr>
              <w:jc w:val="left"/>
            </w:pPr>
            <w:r/>
            <w:r>
              <w:rPr>
                <w:b w:val="0"/>
                <w:i w:val="0"/>
                <w:sz w:val="18"/>
              </w:rPr>
              <w:t>Commission + 21% IVA on top → seller pays €13,552 total</w:t>
            </w:r>
          </w:p>
        </w:tc>
      </w:tr>
      <w:tr>
        <w:tc>
          <w:tcPr>
            <w:tcW w:type="dxa" w:w="340"/>
            <w:shd w:val="clear" w:color="auto" w:fill="F8FAFC"/>
          </w:tcPr>
          <w:p>
            <w:pPr>
              <w:jc w:val="left"/>
            </w:pPr>
            <w:r/>
            <w:r>
              <w:rPr>
                <w:b w:val="0"/>
                <w:i w:val="0"/>
                <w:sz w:val="18"/>
              </w:rPr>
              <w:t>3</w:t>
            </w:r>
          </w:p>
        </w:tc>
        <w:tc>
          <w:tcPr>
            <w:tcW w:type="dxa" w:w="1701"/>
            <w:shd w:val="clear" w:color="auto" w:fill="F8FAFC"/>
          </w:tcPr>
          <w:p>
            <w:pPr>
              <w:jc w:val="left"/>
            </w:pPr>
            <w:r/>
            <w:r>
              <w:rPr>
                <w:b w:val="0"/>
                <w:i w:val="0"/>
                <w:sz w:val="18"/>
              </w:rPr>
              <w:t>IVA on commission</w:t>
            </w:r>
          </w:p>
        </w:tc>
        <w:tc>
          <w:tcPr>
            <w:tcW w:type="dxa" w:w="1984"/>
            <w:shd w:val="clear" w:color="auto" w:fill="F8FAFC"/>
          </w:tcPr>
          <w:p>
            <w:pPr>
              <w:jc w:val="left"/>
            </w:pPr>
            <w:r/>
            <w:r>
              <w:rPr>
                <w:b w:val="0"/>
                <w:i w:val="0"/>
                <w:sz w:val="18"/>
              </w:rPr>
              <w:t>Seller pays to Hacienda</w:t>
            </w:r>
          </w:p>
        </w:tc>
        <w:tc>
          <w:tcPr>
            <w:tcW w:type="dxa" w:w="2268"/>
            <w:shd w:val="clear" w:color="auto" w:fill="F8FAFC"/>
          </w:tcPr>
          <w:p>
            <w:pPr>
              <w:jc w:val="left"/>
            </w:pPr>
            <w:r/>
            <w:r>
              <w:rPr>
                <w:b w:val="0"/>
                <w:i w:val="0"/>
                <w:sz w:val="18"/>
              </w:rPr>
              <w:t>€2,352 (21% IVA)</w:t>
            </w:r>
          </w:p>
        </w:tc>
        <w:tc>
          <w:tcPr>
            <w:tcW w:type="dxa" w:w="3061"/>
            <w:shd w:val="clear" w:color="auto" w:fill="F8FAFC"/>
          </w:tcPr>
          <w:p>
            <w:pPr>
              <w:jc w:val="left"/>
            </w:pPr>
            <w:r/>
            <w:r>
              <w:rPr>
                <w:b w:val="0"/>
                <w:i w:val="0"/>
                <w:sz w:val="18"/>
              </w:rPr>
              <w:t>Agency collects and remits. Often missed in seller net calculations</w:t>
            </w:r>
          </w:p>
        </w:tc>
      </w:tr>
      <w:tr>
        <w:tc>
          <w:tcPr>
            <w:tcW w:type="dxa" w:w="340"/>
            <w:shd w:val="clear" w:color="auto" w:fill="FFFFFF"/>
          </w:tcPr>
          <w:p>
            <w:pPr>
              <w:jc w:val="left"/>
            </w:pPr>
            <w:r/>
            <w:r>
              <w:rPr>
                <w:b w:val="0"/>
                <w:i w:val="0"/>
                <w:sz w:val="18"/>
              </w:rPr>
              <w:t>4</w:t>
            </w:r>
          </w:p>
        </w:tc>
        <w:tc>
          <w:tcPr>
            <w:tcW w:type="dxa" w:w="1701"/>
            <w:shd w:val="clear" w:color="auto" w:fill="FFFFFF"/>
          </w:tcPr>
          <w:p>
            <w:pPr>
              <w:jc w:val="left"/>
            </w:pPr>
            <w:r/>
            <w:r>
              <w:rPr>
                <w:b w:val="0"/>
                <w:i w:val="0"/>
                <w:sz w:val="18"/>
              </w:rPr>
              <w:t>Franchise fee / brand royalty</w:t>
            </w:r>
          </w:p>
        </w:tc>
        <w:tc>
          <w:tcPr>
            <w:tcW w:type="dxa" w:w="1984"/>
            <w:shd w:val="clear" w:color="auto" w:fill="FFFFFF"/>
          </w:tcPr>
          <w:p>
            <w:pPr>
              <w:jc w:val="left"/>
            </w:pPr>
            <w:r/>
            <w:r>
              <w:rPr>
                <w:b w:val="0"/>
                <w:i w:val="0"/>
                <w:sz w:val="18"/>
              </w:rPr>
              <w:t>Agency pays to franchise</w:t>
            </w:r>
          </w:p>
        </w:tc>
        <w:tc>
          <w:tcPr>
            <w:tcW w:type="dxa" w:w="2268"/>
            <w:shd w:val="clear" w:color="auto" w:fill="FFFFFF"/>
          </w:tcPr>
          <w:p>
            <w:pPr>
              <w:jc w:val="left"/>
            </w:pPr>
            <w:r/>
            <w:r>
              <w:rPr>
                <w:b w:val="0"/>
                <w:i w:val="0"/>
                <w:sz w:val="18"/>
              </w:rPr>
              <w:t>€1,120 (10% of gross)</w:t>
            </w:r>
          </w:p>
        </w:tc>
        <w:tc>
          <w:tcPr>
            <w:tcW w:type="dxa" w:w="3061"/>
            <w:shd w:val="clear" w:color="auto" w:fill="FFFFFF"/>
          </w:tcPr>
          <w:p>
            <w:pPr>
              <w:jc w:val="left"/>
            </w:pPr>
            <w:r/>
            <w:r>
              <w:rPr>
                <w:b w:val="0"/>
                <w:i w:val="0"/>
                <w:sz w:val="18"/>
              </w:rPr>
              <w:t>RE/MAX, E&amp;V, Century 21 all charge this. Independents keep full gross</w:t>
            </w:r>
          </w:p>
        </w:tc>
      </w:tr>
      <w:tr>
        <w:tc>
          <w:tcPr>
            <w:tcW w:type="dxa" w:w="340"/>
            <w:shd w:val="clear" w:color="auto" w:fill="F8FAFC"/>
          </w:tcPr>
          <w:p>
            <w:pPr>
              <w:jc w:val="left"/>
            </w:pPr>
            <w:r/>
            <w:r>
              <w:rPr>
                <w:b w:val="0"/>
                <w:i w:val="0"/>
                <w:sz w:val="18"/>
              </w:rPr>
              <w:t>5</w:t>
            </w:r>
          </w:p>
        </w:tc>
        <w:tc>
          <w:tcPr>
            <w:tcW w:type="dxa" w:w="1701"/>
            <w:shd w:val="clear" w:color="auto" w:fill="F8FAFC"/>
          </w:tcPr>
          <w:p>
            <w:pPr>
              <w:jc w:val="left"/>
            </w:pPr>
            <w:r/>
            <w:r>
              <w:rPr>
                <w:b w:val="0"/>
                <w:i w:val="0"/>
                <w:sz w:val="18"/>
              </w:rPr>
              <w:t>Agent split</w:t>
            </w:r>
          </w:p>
        </w:tc>
        <w:tc>
          <w:tcPr>
            <w:tcW w:type="dxa" w:w="1984"/>
            <w:shd w:val="clear" w:color="auto" w:fill="F8FAFC"/>
          </w:tcPr>
          <w:p>
            <w:pPr>
              <w:jc w:val="left"/>
            </w:pPr>
            <w:r/>
            <w:r>
              <w:rPr>
                <w:b w:val="0"/>
                <w:i w:val="0"/>
                <w:sz w:val="18"/>
              </w:rPr>
              <w:t>Agency pays to agent</w:t>
            </w:r>
          </w:p>
        </w:tc>
        <w:tc>
          <w:tcPr>
            <w:tcW w:type="dxa" w:w="2268"/>
            <w:shd w:val="clear" w:color="auto" w:fill="F8FAFC"/>
          </w:tcPr>
          <w:p>
            <w:pPr>
              <w:jc w:val="left"/>
            </w:pPr>
            <w:r/>
            <w:r>
              <w:rPr>
                <w:b w:val="0"/>
                <w:i w:val="0"/>
                <w:sz w:val="18"/>
              </w:rPr>
              <w:t>€7,840 (70% split)</w:t>
            </w:r>
          </w:p>
        </w:tc>
        <w:tc>
          <w:tcPr>
            <w:tcW w:type="dxa" w:w="3061"/>
            <w:shd w:val="clear" w:color="auto" w:fill="F8FAFC"/>
          </w:tcPr>
          <w:p>
            <w:pPr>
              <w:jc w:val="left"/>
            </w:pPr>
            <w:r/>
            <w:r>
              <w:rPr>
                <w:b w:val="0"/>
                <w:i w:val="0"/>
                <w:sz w:val="18"/>
              </w:rPr>
              <w:t>Typical range: 50–80% to agent depending on seniority and model</w:t>
            </w:r>
          </w:p>
        </w:tc>
      </w:tr>
      <w:tr>
        <w:tc>
          <w:tcPr>
            <w:tcW w:type="dxa" w:w="340"/>
            <w:shd w:val="clear" w:color="auto" w:fill="FFFFFF"/>
          </w:tcPr>
          <w:p>
            <w:pPr>
              <w:jc w:val="left"/>
            </w:pPr>
            <w:r/>
            <w:r>
              <w:rPr>
                <w:b w:val="0"/>
                <w:i w:val="0"/>
                <w:sz w:val="18"/>
              </w:rPr>
              <w:t>6</w:t>
            </w:r>
          </w:p>
        </w:tc>
        <w:tc>
          <w:tcPr>
            <w:tcW w:type="dxa" w:w="1701"/>
            <w:shd w:val="clear" w:color="auto" w:fill="FFFFFF"/>
          </w:tcPr>
          <w:p>
            <w:pPr>
              <w:jc w:val="left"/>
            </w:pPr>
            <w:r/>
            <w:r>
              <w:rPr>
                <w:b w:val="0"/>
                <w:i w:val="0"/>
                <w:sz w:val="18"/>
              </w:rPr>
              <w:t>Huspy net (agency)</w:t>
            </w:r>
          </w:p>
        </w:tc>
        <w:tc>
          <w:tcPr>
            <w:tcW w:type="dxa" w:w="1984"/>
            <w:shd w:val="clear" w:color="auto" w:fill="FFFFFF"/>
          </w:tcPr>
          <w:p>
            <w:pPr>
              <w:jc w:val="left"/>
            </w:pPr>
            <w:r/>
            <w:r>
              <w:rPr>
                <w:b w:val="0"/>
                <w:i w:val="0"/>
                <w:sz w:val="18"/>
              </w:rPr>
              <w:t>Retained after split</w:t>
            </w:r>
          </w:p>
        </w:tc>
        <w:tc>
          <w:tcPr>
            <w:tcW w:type="dxa" w:w="2268"/>
            <w:shd w:val="clear" w:color="auto" w:fill="FFFFFF"/>
          </w:tcPr>
          <w:p>
            <w:pPr>
              <w:jc w:val="left"/>
            </w:pPr>
            <w:r/>
            <w:r>
              <w:rPr>
                <w:b w:val="0"/>
                <w:i w:val="0"/>
                <w:sz w:val="18"/>
              </w:rPr>
              <w:t>€3,360</w:t>
            </w:r>
          </w:p>
        </w:tc>
        <w:tc>
          <w:tcPr>
            <w:tcW w:type="dxa" w:w="3061"/>
            <w:shd w:val="clear" w:color="auto" w:fill="FFFFFF"/>
          </w:tcPr>
          <w:p>
            <w:pPr>
              <w:jc w:val="left"/>
            </w:pPr>
            <w:r/>
            <w:r>
              <w:rPr>
                <w:b w:val="0"/>
                <w:i w:val="0"/>
                <w:sz w:val="18"/>
              </w:rPr>
              <w:t>Before platform costs, lead gen, compliance</w:t>
            </w:r>
          </w:p>
        </w:tc>
      </w:tr>
      <w:tr>
        <w:tc>
          <w:tcPr>
            <w:tcW w:type="dxa" w:w="340"/>
            <w:shd w:val="clear" w:color="auto" w:fill="F8FAFC"/>
          </w:tcPr>
          <w:p>
            <w:pPr>
              <w:jc w:val="left"/>
            </w:pPr>
            <w:r/>
            <w:r>
              <w:rPr>
                <w:b w:val="0"/>
                <w:i w:val="0"/>
                <w:sz w:val="18"/>
              </w:rPr>
              <w:t>7</w:t>
            </w:r>
          </w:p>
        </w:tc>
        <w:tc>
          <w:tcPr>
            <w:tcW w:type="dxa" w:w="1701"/>
            <w:shd w:val="clear" w:color="auto" w:fill="F8FAFC"/>
          </w:tcPr>
          <w:p>
            <w:pPr>
              <w:jc w:val="left"/>
            </w:pPr>
            <w:r/>
            <w:r>
              <w:rPr>
                <w:b w:val="0"/>
                <w:i w:val="0"/>
                <w:sz w:val="18"/>
              </w:rPr>
              <w:t>Mortgage fee (bank referral)</w:t>
            </w:r>
          </w:p>
        </w:tc>
        <w:tc>
          <w:tcPr>
            <w:tcW w:type="dxa" w:w="1984"/>
            <w:shd w:val="clear" w:color="auto" w:fill="F8FAFC"/>
          </w:tcPr>
          <w:p>
            <w:pPr>
              <w:jc w:val="left"/>
            </w:pPr>
            <w:r/>
            <w:r>
              <w:rPr>
                <w:b w:val="0"/>
                <w:i w:val="0"/>
                <w:sz w:val="18"/>
              </w:rPr>
              <w:t>Bank pays Huspy</w:t>
            </w:r>
          </w:p>
        </w:tc>
        <w:tc>
          <w:tcPr>
            <w:tcW w:type="dxa" w:w="2268"/>
            <w:shd w:val="clear" w:color="auto" w:fill="F8FAFC"/>
          </w:tcPr>
          <w:p>
            <w:pPr>
              <w:jc w:val="left"/>
            </w:pPr>
            <w:r/>
            <w:r>
              <w:rPr>
                <w:b w:val="0"/>
                <w:i w:val="0"/>
                <w:sz w:val="18"/>
              </w:rPr>
              <w:t>+€1,000–1,500</w:t>
            </w:r>
          </w:p>
        </w:tc>
        <w:tc>
          <w:tcPr>
            <w:tcW w:type="dxa" w:w="3061"/>
            <w:shd w:val="clear" w:color="auto" w:fill="F8FAFC"/>
          </w:tcPr>
          <w:p>
            <w:pPr>
              <w:jc w:val="left"/>
            </w:pPr>
            <w:r/>
            <w:r>
              <w:rPr>
                <w:b w:val="0"/>
                <w:i w:val="0"/>
                <w:sz w:val="18"/>
              </w:rPr>
              <w:t>40% of deals attach a Huspy mortgage — zero extra agent cost</w:t>
            </w:r>
          </w:p>
        </w:tc>
      </w:tr>
      <w:tr>
        <w:tc>
          <w:tcPr>
            <w:tcW w:type="dxa" w:w="340"/>
            <w:shd w:val="clear" w:color="auto" w:fill="FFFFFF"/>
          </w:tcPr>
          <w:p>
            <w:pPr>
              <w:jc w:val="left"/>
            </w:pPr>
            <w:r/>
            <w:r>
              <w:rPr>
                <w:b w:val="0"/>
                <w:i w:val="0"/>
                <w:sz w:val="18"/>
              </w:rPr>
              <w:t>8</w:t>
            </w:r>
          </w:p>
        </w:tc>
        <w:tc>
          <w:tcPr>
            <w:tcW w:type="dxa" w:w="1701"/>
            <w:shd w:val="clear" w:color="auto" w:fill="FFFFFF"/>
          </w:tcPr>
          <w:p>
            <w:pPr>
              <w:jc w:val="left"/>
            </w:pPr>
            <w:r/>
            <w:r>
              <w:rPr>
                <w:b w:val="0"/>
                <w:i w:val="0"/>
                <w:sz w:val="18"/>
              </w:rPr>
              <w:t>Net contribution margin</w:t>
            </w:r>
          </w:p>
        </w:tc>
        <w:tc>
          <w:tcPr>
            <w:tcW w:type="dxa" w:w="1984"/>
            <w:shd w:val="clear" w:color="auto" w:fill="FFFFFF"/>
          </w:tcPr>
          <w:p>
            <w:pPr>
              <w:jc w:val="left"/>
            </w:pPr>
            <w:r/>
            <w:r>
              <w:rPr>
                <w:b w:val="0"/>
                <w:i w:val="0"/>
                <w:sz w:val="18"/>
              </w:rPr>
              <w:t>Huspy retains</w:t>
            </w:r>
          </w:p>
        </w:tc>
        <w:tc>
          <w:tcPr>
            <w:tcW w:type="dxa" w:w="2268"/>
            <w:shd w:val="clear" w:color="auto" w:fill="FFFFFF"/>
          </w:tcPr>
          <w:p>
            <w:pPr>
              <w:jc w:val="left"/>
            </w:pPr>
            <w:r/>
            <w:r>
              <w:rPr>
                <w:b w:val="0"/>
                <w:i w:val="0"/>
                <w:sz w:val="18"/>
              </w:rPr>
              <w:t>~€3,500–4,500</w:t>
            </w:r>
          </w:p>
        </w:tc>
        <w:tc>
          <w:tcPr>
            <w:tcW w:type="dxa" w:w="3061"/>
            <w:shd w:val="clear" w:color="auto" w:fill="FFFFFF"/>
          </w:tcPr>
          <w:p>
            <w:pPr>
              <w:jc w:val="left"/>
            </w:pPr>
            <w:r/>
            <w:r>
              <w:rPr>
                <w:b w:val="0"/>
                <w:i w:val="0"/>
                <w:sz w:val="18"/>
              </w:rPr>
              <w:t>Per transaction before overhead allocation</w:t>
            </w:r>
          </w:p>
        </w:tc>
      </w:tr>
    </w:tbl>
    <w:p/>
    <w:p>
      <w:pPr>
        <w:spacing w:after="80"/>
      </w:pPr>
      <w:r>
        <w:rPr>
          <w:b/>
          <w:i w:val="0"/>
          <w:color w:val="C0392B"/>
          <w:sz w:val="20"/>
        </w:rPr>
        <w:t>Critical: IVA (21%) is charged ON TOP of the commission rate — a 4% commission on €280k is €11,200 but the seller actually pays €13,552. Always quote the IVA-inclusive figure to sellers to avoid disputes at closing.</w:t>
      </w:r>
    </w:p>
    <w:p>
      <w:pPr>
        <w:spacing w:before="160" w:after="40"/>
      </w:pPr>
      <w:r>
        <w:rPr>
          <w:b/>
          <w:color w:val="0A1628"/>
          <w:sz w:val="22"/>
        </w:rPr>
        <w:t>Mandate Types: Exclusive vs. Open</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0A1628"/>
          </w:tcPr>
          <w:p>
            <w:pPr>
              <w:jc w:val="left"/>
            </w:pPr>
            <w:r/>
            <w:r>
              <w:rPr>
                <w:b/>
                <w:i w:val="0"/>
                <w:color w:val="FFFFFF"/>
                <w:sz w:val="18"/>
              </w:rPr>
              <w:t>Feature</w:t>
            </w:r>
          </w:p>
        </w:tc>
        <w:tc>
          <w:tcPr>
            <w:tcW w:type="dxa" w:w="3402"/>
            <w:shd w:val="clear" w:color="auto" w:fill="0A1628"/>
          </w:tcPr>
          <w:p>
            <w:pPr>
              <w:jc w:val="left"/>
            </w:pPr>
            <w:r/>
            <w:r>
              <w:rPr>
                <w:b/>
                <w:i w:val="0"/>
                <w:color w:val="FFFFFF"/>
                <w:sz w:val="18"/>
              </w:rPr>
              <w:t>Exclusiva (Exclusive)</w:t>
            </w:r>
          </w:p>
        </w:tc>
        <w:tc>
          <w:tcPr>
            <w:tcW w:type="dxa" w:w="3685"/>
            <w:shd w:val="clear" w:color="auto" w:fill="0A1628"/>
          </w:tcPr>
          <w:p>
            <w:pPr>
              <w:jc w:val="left"/>
            </w:pPr>
            <w:r/>
            <w:r>
              <w:rPr>
                <w:b/>
                <w:i w:val="0"/>
                <w:color w:val="FFFFFF"/>
                <w:sz w:val="18"/>
              </w:rPr>
              <w:t>Abierto (Open)</w:t>
            </w:r>
          </w:p>
        </w:tc>
      </w:tr>
      <w:tr>
        <w:tc>
          <w:tcPr>
            <w:tcW w:type="dxa" w:w="2268"/>
            <w:shd w:val="clear" w:color="auto" w:fill="F8FAFC"/>
          </w:tcPr>
          <w:p>
            <w:pPr>
              <w:jc w:val="left"/>
            </w:pPr>
            <w:r/>
            <w:r>
              <w:rPr>
                <w:b w:val="0"/>
                <w:i w:val="0"/>
                <w:sz w:val="18"/>
              </w:rPr>
              <w:t>Definition</w:t>
            </w:r>
          </w:p>
        </w:tc>
        <w:tc>
          <w:tcPr>
            <w:tcW w:type="dxa" w:w="3402"/>
            <w:shd w:val="clear" w:color="auto" w:fill="F8FAFC"/>
          </w:tcPr>
          <w:p>
            <w:pPr>
              <w:jc w:val="left"/>
            </w:pPr>
            <w:r/>
            <w:r>
              <w:rPr>
                <w:b w:val="0"/>
                <w:i w:val="0"/>
                <w:sz w:val="18"/>
              </w:rPr>
              <w:t>One agency has sole right to sell</w:t>
            </w:r>
          </w:p>
        </w:tc>
        <w:tc>
          <w:tcPr>
            <w:tcW w:type="dxa" w:w="3685"/>
            <w:shd w:val="clear" w:color="auto" w:fill="F8FAFC"/>
          </w:tcPr>
          <w:p>
            <w:pPr>
              <w:jc w:val="left"/>
            </w:pPr>
            <w:r/>
            <w:r>
              <w:rPr>
                <w:b w:val="0"/>
                <w:i w:val="0"/>
                <w:sz w:val="18"/>
              </w:rPr>
              <w:t>Multiple agencies list simultaneously</w:t>
            </w:r>
          </w:p>
        </w:tc>
      </w:tr>
      <w:tr>
        <w:tc>
          <w:tcPr>
            <w:tcW w:type="dxa" w:w="2268"/>
            <w:shd w:val="clear" w:color="auto" w:fill="FFFFFF"/>
          </w:tcPr>
          <w:p>
            <w:pPr>
              <w:jc w:val="left"/>
            </w:pPr>
            <w:r/>
            <w:r>
              <w:rPr>
                <w:b w:val="0"/>
                <w:i w:val="0"/>
                <w:sz w:val="18"/>
              </w:rPr>
              <w:t>Portal investment</w:t>
            </w:r>
          </w:p>
        </w:tc>
        <w:tc>
          <w:tcPr>
            <w:tcW w:type="dxa" w:w="3402"/>
            <w:shd w:val="clear" w:color="auto" w:fill="FFFFFF"/>
          </w:tcPr>
          <w:p>
            <w:pPr>
              <w:jc w:val="left"/>
            </w:pPr>
            <w:r/>
            <w:r>
              <w:rPr>
                <w:b w:val="0"/>
                <w:i w:val="0"/>
                <w:sz w:val="18"/>
              </w:rPr>
              <w:t>Full professional photos, video, featured listings</w:t>
            </w:r>
          </w:p>
        </w:tc>
        <w:tc>
          <w:tcPr>
            <w:tcW w:type="dxa" w:w="3685"/>
            <w:shd w:val="clear" w:color="auto" w:fill="FFFFFF"/>
          </w:tcPr>
          <w:p>
            <w:pPr>
              <w:jc w:val="left"/>
            </w:pPr>
            <w:r/>
            <w:r>
              <w:rPr>
                <w:b w:val="0"/>
                <w:i w:val="0"/>
                <w:sz w:val="18"/>
              </w:rPr>
              <w:t>Minimal — agent won't invest if another sells first</w:t>
            </w:r>
          </w:p>
        </w:tc>
      </w:tr>
      <w:tr>
        <w:tc>
          <w:tcPr>
            <w:tcW w:type="dxa" w:w="2268"/>
            <w:shd w:val="clear" w:color="auto" w:fill="F8FAFC"/>
          </w:tcPr>
          <w:p>
            <w:pPr>
              <w:jc w:val="left"/>
            </w:pPr>
            <w:r/>
            <w:r>
              <w:rPr>
                <w:b w:val="0"/>
                <w:i w:val="0"/>
                <w:sz w:val="18"/>
              </w:rPr>
              <w:t>Agent effort</w:t>
            </w:r>
          </w:p>
        </w:tc>
        <w:tc>
          <w:tcPr>
            <w:tcW w:type="dxa" w:w="3402"/>
            <w:shd w:val="clear" w:color="auto" w:fill="F8FAFC"/>
          </w:tcPr>
          <w:p>
            <w:pPr>
              <w:jc w:val="left"/>
            </w:pPr>
            <w:r/>
            <w:r>
              <w:rPr>
                <w:b w:val="0"/>
                <w:i w:val="0"/>
                <w:sz w:val="18"/>
              </w:rPr>
              <w:t>Full — agent knows they'll be paid</w:t>
            </w:r>
          </w:p>
        </w:tc>
        <w:tc>
          <w:tcPr>
            <w:tcW w:type="dxa" w:w="3685"/>
            <w:shd w:val="clear" w:color="auto" w:fill="F8FAFC"/>
          </w:tcPr>
          <w:p>
            <w:pPr>
              <w:jc w:val="left"/>
            </w:pPr>
            <w:r/>
            <w:r>
              <w:rPr>
                <w:b w:val="0"/>
                <w:i w:val="0"/>
                <w:sz w:val="18"/>
              </w:rPr>
              <w:t>Partial — race-to-close mentality</w:t>
            </w:r>
          </w:p>
        </w:tc>
      </w:tr>
      <w:tr>
        <w:tc>
          <w:tcPr>
            <w:tcW w:type="dxa" w:w="2268"/>
            <w:shd w:val="clear" w:color="auto" w:fill="FFFFFF"/>
          </w:tcPr>
          <w:p>
            <w:pPr>
              <w:jc w:val="left"/>
            </w:pPr>
            <w:r/>
            <w:r>
              <w:rPr>
                <w:b w:val="0"/>
                <w:i w:val="0"/>
                <w:sz w:val="18"/>
              </w:rPr>
              <w:t>Avg. days on market</w:t>
            </w:r>
          </w:p>
        </w:tc>
        <w:tc>
          <w:tcPr>
            <w:tcW w:type="dxa" w:w="3402"/>
            <w:shd w:val="clear" w:color="auto" w:fill="FFFFFF"/>
          </w:tcPr>
          <w:p>
            <w:pPr>
              <w:jc w:val="left"/>
            </w:pPr>
            <w:r/>
            <w:r>
              <w:rPr>
                <w:b w:val="0"/>
                <w:i w:val="0"/>
                <w:sz w:val="18"/>
              </w:rPr>
              <w:t>30–45 days (Málaga)</w:t>
            </w:r>
          </w:p>
        </w:tc>
        <w:tc>
          <w:tcPr>
            <w:tcW w:type="dxa" w:w="3685"/>
            <w:shd w:val="clear" w:color="auto" w:fill="FFFFFF"/>
          </w:tcPr>
          <w:p>
            <w:pPr>
              <w:jc w:val="left"/>
            </w:pPr>
            <w:r/>
            <w:r>
              <w:rPr>
                <w:b w:val="0"/>
                <w:i w:val="0"/>
                <w:sz w:val="18"/>
              </w:rPr>
              <w:t>55–80 days (Málaga)</w:t>
            </w:r>
          </w:p>
        </w:tc>
      </w:tr>
      <w:tr>
        <w:tc>
          <w:tcPr>
            <w:tcW w:type="dxa" w:w="2268"/>
            <w:shd w:val="clear" w:color="auto" w:fill="F8FAFC"/>
          </w:tcPr>
          <w:p>
            <w:pPr>
              <w:jc w:val="left"/>
            </w:pPr>
            <w:r/>
            <w:r>
              <w:rPr>
                <w:b w:val="0"/>
                <w:i w:val="0"/>
                <w:sz w:val="18"/>
              </w:rPr>
              <w:t>Price achieved</w:t>
            </w:r>
          </w:p>
        </w:tc>
        <w:tc>
          <w:tcPr>
            <w:tcW w:type="dxa" w:w="3402"/>
            <w:shd w:val="clear" w:color="auto" w:fill="F8FAFC"/>
          </w:tcPr>
          <w:p>
            <w:pPr>
              <w:jc w:val="left"/>
            </w:pPr>
            <w:r/>
            <w:r>
              <w:rPr>
                <w:b w:val="0"/>
                <w:i w:val="0"/>
                <w:sz w:val="18"/>
              </w:rPr>
              <w:t>Closer to asking (less urgency discounting)</w:t>
            </w:r>
          </w:p>
        </w:tc>
        <w:tc>
          <w:tcPr>
            <w:tcW w:type="dxa" w:w="3685"/>
            <w:shd w:val="clear" w:color="auto" w:fill="F8FAFC"/>
          </w:tcPr>
          <w:p>
            <w:pPr>
              <w:jc w:val="left"/>
            </w:pPr>
            <w:r/>
            <w:r>
              <w:rPr>
                <w:b w:val="0"/>
                <w:i w:val="0"/>
                <w:sz w:val="18"/>
              </w:rPr>
              <w:t>More negotiation, more pressure from multiple agents</w:t>
            </w:r>
          </w:p>
        </w:tc>
      </w:tr>
      <w:tr>
        <w:tc>
          <w:tcPr>
            <w:tcW w:type="dxa" w:w="2268"/>
            <w:shd w:val="clear" w:color="auto" w:fill="FFFFFF"/>
          </w:tcPr>
          <w:p>
            <w:pPr>
              <w:jc w:val="left"/>
            </w:pPr>
            <w:r/>
            <w:r>
              <w:rPr>
                <w:b w:val="0"/>
                <w:i w:val="0"/>
                <w:sz w:val="18"/>
              </w:rPr>
              <w:t>Seller control</w:t>
            </w:r>
          </w:p>
        </w:tc>
        <w:tc>
          <w:tcPr>
            <w:tcW w:type="dxa" w:w="3402"/>
            <w:shd w:val="clear" w:color="auto" w:fill="FFFFFF"/>
          </w:tcPr>
          <w:p>
            <w:pPr>
              <w:jc w:val="left"/>
            </w:pPr>
            <w:r/>
            <w:r>
              <w:rPr>
                <w:b w:val="0"/>
                <w:i w:val="0"/>
                <w:sz w:val="18"/>
              </w:rPr>
              <w:t>Single point of contact; coordinated strategy</w:t>
            </w:r>
          </w:p>
        </w:tc>
        <w:tc>
          <w:tcPr>
            <w:tcW w:type="dxa" w:w="3685"/>
            <w:shd w:val="clear" w:color="auto" w:fill="FFFFFF"/>
          </w:tcPr>
          <w:p>
            <w:pPr>
              <w:jc w:val="left"/>
            </w:pPr>
            <w:r/>
            <w:r>
              <w:rPr>
                <w:b w:val="0"/>
                <w:i w:val="0"/>
                <w:sz w:val="18"/>
              </w:rPr>
              <w:t>Multiple agents, mixed messages, confused buyers</w:t>
            </w:r>
          </w:p>
        </w:tc>
      </w:tr>
      <w:tr>
        <w:tc>
          <w:tcPr>
            <w:tcW w:type="dxa" w:w="2268"/>
            <w:shd w:val="clear" w:color="auto" w:fill="F8FAFC"/>
          </w:tcPr>
          <w:p>
            <w:pPr>
              <w:jc w:val="left"/>
            </w:pPr>
            <w:r/>
            <w:r>
              <w:rPr>
                <w:b w:val="0"/>
                <w:i w:val="0"/>
                <w:sz w:val="18"/>
              </w:rPr>
              <w:t>Commission rate</w:t>
            </w:r>
          </w:p>
        </w:tc>
        <w:tc>
          <w:tcPr>
            <w:tcW w:type="dxa" w:w="3402"/>
            <w:shd w:val="clear" w:color="auto" w:fill="F8FAFC"/>
          </w:tcPr>
          <w:p>
            <w:pPr>
              <w:jc w:val="left"/>
            </w:pPr>
            <w:r/>
            <w:r>
              <w:rPr>
                <w:b w:val="0"/>
                <w:i w:val="0"/>
                <w:sz w:val="18"/>
              </w:rPr>
              <w:t>Typically 3–4%</w:t>
            </w:r>
          </w:p>
        </w:tc>
        <w:tc>
          <w:tcPr>
            <w:tcW w:type="dxa" w:w="3685"/>
            <w:shd w:val="clear" w:color="auto" w:fill="F8FAFC"/>
          </w:tcPr>
          <w:p>
            <w:pPr>
              <w:jc w:val="left"/>
            </w:pPr>
            <w:r/>
            <w:r>
              <w:rPr>
                <w:b w:val="0"/>
                <w:i w:val="0"/>
                <w:sz w:val="18"/>
              </w:rPr>
              <w:t>Typically 5–6% (compensates for lower certainty)</w:t>
            </w:r>
          </w:p>
        </w:tc>
      </w:tr>
      <w:tr>
        <w:tc>
          <w:tcPr>
            <w:tcW w:type="dxa" w:w="2268"/>
            <w:shd w:val="clear" w:color="auto" w:fill="FFFFFF"/>
          </w:tcPr>
          <w:p>
            <w:pPr>
              <w:jc w:val="left"/>
            </w:pPr>
            <w:r/>
            <w:r>
              <w:rPr>
                <w:b w:val="0"/>
                <w:i w:val="0"/>
                <w:sz w:val="18"/>
              </w:rPr>
              <w:t>Huspy approach</w:t>
            </w:r>
          </w:p>
        </w:tc>
        <w:tc>
          <w:tcPr>
            <w:tcW w:type="dxa" w:w="3402"/>
            <w:shd w:val="clear" w:color="auto" w:fill="FFFFFF"/>
          </w:tcPr>
          <w:p>
            <w:pPr>
              <w:jc w:val="left"/>
            </w:pPr>
            <w:r/>
            <w:r>
              <w:rPr>
                <w:b w:val="0"/>
                <w:i w:val="0"/>
                <w:sz w:val="18"/>
              </w:rPr>
              <w:t>TARGET — pitch exclusiva on every listing</w:t>
            </w:r>
          </w:p>
        </w:tc>
        <w:tc>
          <w:tcPr>
            <w:tcW w:type="dxa" w:w="3685"/>
            <w:shd w:val="clear" w:color="auto" w:fill="FFFFFF"/>
          </w:tcPr>
          <w:p>
            <w:pPr>
              <w:jc w:val="left"/>
            </w:pPr>
            <w:r/>
            <w:r>
              <w:rPr>
                <w:b w:val="0"/>
                <w:i w:val="0"/>
                <w:sz w:val="18"/>
              </w:rPr>
              <w:t>Accept short-term but convert to exclusiva within 30 days</w:t>
            </w:r>
          </w:p>
        </w:tc>
      </w:tr>
    </w:tbl>
    <w:p/>
    <w:p>
      <w:pPr>
        <w:spacing w:before="160" w:after="40"/>
      </w:pPr>
      <w:r>
        <w:rPr>
          <w:b/>
          <w:color w:val="0A1628"/>
          <w:sz w:val="22"/>
        </w:rPr>
        <w:t>Revenue Streams: How an Agency Makes Money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268"/>
            <w:shd w:val="clear" w:color="auto" w:fill="0A1628"/>
          </w:tcPr>
          <w:p>
            <w:pPr>
              <w:jc w:val="left"/>
            </w:pPr>
            <w:r/>
            <w:r>
              <w:rPr>
                <w:b/>
                <w:i w:val="0"/>
                <w:color w:val="FFFFFF"/>
                <w:sz w:val="18"/>
              </w:rPr>
              <w:t>Revenue Stream</w:t>
            </w:r>
          </w:p>
        </w:tc>
        <w:tc>
          <w:tcPr>
            <w:tcW w:type="dxa" w:w="1984"/>
            <w:shd w:val="clear" w:color="auto" w:fill="0A1628"/>
          </w:tcPr>
          <w:p>
            <w:pPr>
              <w:jc w:val="left"/>
            </w:pPr>
            <w:r/>
            <w:r>
              <w:rPr>
                <w:b/>
                <w:i w:val="0"/>
                <w:color w:val="FFFFFF"/>
                <w:sz w:val="18"/>
              </w:rPr>
              <w:t>Source</w:t>
            </w:r>
          </w:p>
        </w:tc>
        <w:tc>
          <w:tcPr>
            <w:tcW w:type="dxa" w:w="1984"/>
            <w:shd w:val="clear" w:color="auto" w:fill="0A1628"/>
          </w:tcPr>
          <w:p>
            <w:pPr>
              <w:jc w:val="left"/>
            </w:pPr>
            <w:r/>
            <w:r>
              <w:rPr>
                <w:b/>
                <w:i w:val="0"/>
                <w:color w:val="FFFFFF"/>
                <w:sz w:val="18"/>
              </w:rPr>
              <w:t>Typical Amount</w:t>
            </w:r>
          </w:p>
        </w:tc>
        <w:tc>
          <w:tcPr>
            <w:tcW w:type="dxa" w:w="1587"/>
            <w:shd w:val="clear" w:color="auto" w:fill="0A1628"/>
          </w:tcPr>
          <w:p>
            <w:pPr>
              <w:jc w:val="left"/>
            </w:pPr>
            <w:r/>
            <w:r>
              <w:rPr>
                <w:b/>
                <w:i w:val="0"/>
                <w:color w:val="FFFFFF"/>
                <w:sz w:val="18"/>
              </w:rPr>
              <w:t>Frequency</w:t>
            </w:r>
          </w:p>
        </w:tc>
        <w:tc>
          <w:tcPr>
            <w:tcW w:type="dxa" w:w="2268"/>
            <w:shd w:val="clear" w:color="auto" w:fill="0A1628"/>
          </w:tcPr>
          <w:p>
            <w:pPr>
              <w:jc w:val="left"/>
            </w:pPr>
            <w:r/>
            <w:r>
              <w:rPr>
                <w:b/>
                <w:i w:val="0"/>
                <w:color w:val="FFFFFF"/>
                <w:sz w:val="18"/>
              </w:rPr>
              <w:t>Huspy Advantage</w:t>
            </w:r>
          </w:p>
        </w:tc>
      </w:tr>
      <w:tr>
        <w:tc>
          <w:tcPr>
            <w:tcW w:type="dxa" w:w="2268"/>
            <w:shd w:val="clear" w:color="auto" w:fill="F8FAFC"/>
          </w:tcPr>
          <w:p>
            <w:pPr>
              <w:jc w:val="left"/>
            </w:pPr>
            <w:r/>
            <w:r>
              <w:rPr>
                <w:b w:val="0"/>
                <w:i w:val="0"/>
                <w:sz w:val="18"/>
              </w:rPr>
              <w:t>Agency commission (sales)</w:t>
            </w:r>
          </w:p>
        </w:tc>
        <w:tc>
          <w:tcPr>
            <w:tcW w:type="dxa" w:w="1984"/>
            <w:shd w:val="clear" w:color="auto" w:fill="F8FAFC"/>
          </w:tcPr>
          <w:p>
            <w:pPr>
              <w:jc w:val="left"/>
            </w:pPr>
            <w:r/>
            <w:r>
              <w:rPr>
                <w:b w:val="0"/>
                <w:i w:val="0"/>
                <w:sz w:val="18"/>
              </w:rPr>
              <w:t>Seller at Escritura</w:t>
            </w:r>
          </w:p>
        </w:tc>
        <w:tc>
          <w:tcPr>
            <w:tcW w:type="dxa" w:w="1984"/>
            <w:shd w:val="clear" w:color="auto" w:fill="F8FAFC"/>
          </w:tcPr>
          <w:p>
            <w:pPr>
              <w:jc w:val="left"/>
            </w:pPr>
            <w:r/>
            <w:r>
              <w:rPr>
                <w:b w:val="0"/>
                <w:i w:val="0"/>
                <w:sz w:val="18"/>
              </w:rPr>
              <w:t>3–6% + 21% IVA</w:t>
            </w:r>
          </w:p>
        </w:tc>
        <w:tc>
          <w:tcPr>
            <w:tcW w:type="dxa" w:w="1587"/>
            <w:shd w:val="clear" w:color="auto" w:fill="F8FAFC"/>
          </w:tcPr>
          <w:p>
            <w:pPr>
              <w:jc w:val="left"/>
            </w:pPr>
            <w:r/>
            <w:r>
              <w:rPr>
                <w:b w:val="0"/>
                <w:i w:val="0"/>
                <w:sz w:val="18"/>
              </w:rPr>
              <w:t>Per transaction</w:t>
            </w:r>
          </w:p>
        </w:tc>
        <w:tc>
          <w:tcPr>
            <w:tcW w:type="dxa" w:w="2268"/>
            <w:shd w:val="clear" w:color="auto" w:fill="F8FAFC"/>
          </w:tcPr>
          <w:p>
            <w:pPr>
              <w:jc w:val="left"/>
            </w:pPr>
            <w:r/>
            <w:r>
              <w:rPr>
                <w:b w:val="0"/>
                <w:i w:val="0"/>
                <w:sz w:val="18"/>
              </w:rPr>
              <w:t>Core — agent split 70%</w:t>
            </w:r>
          </w:p>
        </w:tc>
      </w:tr>
      <w:tr>
        <w:tc>
          <w:tcPr>
            <w:tcW w:type="dxa" w:w="2268"/>
            <w:shd w:val="clear" w:color="auto" w:fill="FFFFFF"/>
          </w:tcPr>
          <w:p>
            <w:pPr>
              <w:jc w:val="left"/>
            </w:pPr>
            <w:r/>
            <w:r>
              <w:rPr>
                <w:b w:val="0"/>
                <w:i w:val="0"/>
                <w:sz w:val="18"/>
              </w:rPr>
              <w:t>Mortgage origination fee</w:t>
            </w:r>
          </w:p>
        </w:tc>
        <w:tc>
          <w:tcPr>
            <w:tcW w:type="dxa" w:w="1984"/>
            <w:shd w:val="clear" w:color="auto" w:fill="FFFFFF"/>
          </w:tcPr>
          <w:p>
            <w:pPr>
              <w:jc w:val="left"/>
            </w:pPr>
            <w:r/>
            <w:r>
              <w:rPr>
                <w:b w:val="0"/>
                <w:i w:val="0"/>
                <w:sz w:val="18"/>
              </w:rPr>
              <w:t>Bank pays on completion</w:t>
            </w:r>
          </w:p>
        </w:tc>
        <w:tc>
          <w:tcPr>
            <w:tcW w:type="dxa" w:w="1984"/>
            <w:shd w:val="clear" w:color="auto" w:fill="FFFFFF"/>
          </w:tcPr>
          <w:p>
            <w:pPr>
              <w:jc w:val="left"/>
            </w:pPr>
            <w:r/>
            <w:r>
              <w:rPr>
                <w:b w:val="0"/>
                <w:i w:val="0"/>
                <w:sz w:val="18"/>
              </w:rPr>
              <w:t>€1,000–1,500 per mortgage</w:t>
            </w:r>
          </w:p>
        </w:tc>
        <w:tc>
          <w:tcPr>
            <w:tcW w:type="dxa" w:w="1587"/>
            <w:shd w:val="clear" w:color="auto" w:fill="FFFFFF"/>
          </w:tcPr>
          <w:p>
            <w:pPr>
              <w:jc w:val="left"/>
            </w:pPr>
            <w:r/>
            <w:r>
              <w:rPr>
                <w:b w:val="0"/>
                <w:i w:val="0"/>
                <w:sz w:val="18"/>
              </w:rPr>
              <w:t>Per mortgage closed</w:t>
            </w:r>
          </w:p>
        </w:tc>
        <w:tc>
          <w:tcPr>
            <w:tcW w:type="dxa" w:w="2268"/>
            <w:shd w:val="clear" w:color="auto" w:fill="FFFFFF"/>
          </w:tcPr>
          <w:p>
            <w:pPr>
              <w:jc w:val="left"/>
            </w:pPr>
            <w:r/>
            <w:r>
              <w:rPr>
                <w:b w:val="0"/>
                <w:i w:val="0"/>
                <w:sz w:val="18"/>
              </w:rPr>
              <w:t>Huspy speciality — 25+ bank panel</w:t>
            </w:r>
          </w:p>
        </w:tc>
      </w:tr>
      <w:tr>
        <w:tc>
          <w:tcPr>
            <w:tcW w:type="dxa" w:w="2268"/>
            <w:shd w:val="clear" w:color="auto" w:fill="F8FAFC"/>
          </w:tcPr>
          <w:p>
            <w:pPr>
              <w:jc w:val="left"/>
            </w:pPr>
            <w:r/>
            <w:r>
              <w:rPr>
                <w:b w:val="0"/>
                <w:i w:val="0"/>
                <w:sz w:val="18"/>
              </w:rPr>
              <w:t>Insurance referral</w:t>
            </w:r>
          </w:p>
        </w:tc>
        <w:tc>
          <w:tcPr>
            <w:tcW w:type="dxa" w:w="1984"/>
            <w:shd w:val="clear" w:color="auto" w:fill="F8FAFC"/>
          </w:tcPr>
          <w:p>
            <w:pPr>
              <w:jc w:val="left"/>
            </w:pPr>
            <w:r/>
            <w:r>
              <w:rPr>
                <w:b w:val="0"/>
                <w:i w:val="0"/>
                <w:sz w:val="18"/>
              </w:rPr>
              <w:t>Insurer pays commission</w:t>
            </w:r>
          </w:p>
        </w:tc>
        <w:tc>
          <w:tcPr>
            <w:tcW w:type="dxa" w:w="1984"/>
            <w:shd w:val="clear" w:color="auto" w:fill="F8FAFC"/>
          </w:tcPr>
          <w:p>
            <w:pPr>
              <w:jc w:val="left"/>
            </w:pPr>
            <w:r/>
            <w:r>
              <w:rPr>
                <w:b w:val="0"/>
                <w:i w:val="0"/>
                <w:sz w:val="18"/>
              </w:rPr>
              <w:t>€200–400 per policy</w:t>
            </w:r>
          </w:p>
        </w:tc>
        <w:tc>
          <w:tcPr>
            <w:tcW w:type="dxa" w:w="1587"/>
            <w:shd w:val="clear" w:color="auto" w:fill="F8FAFC"/>
          </w:tcPr>
          <w:p>
            <w:pPr>
              <w:jc w:val="left"/>
            </w:pPr>
            <w:r/>
            <w:r>
              <w:rPr>
                <w:b w:val="0"/>
                <w:i w:val="0"/>
                <w:sz w:val="18"/>
              </w:rPr>
              <w:t>Per transaction</w:t>
            </w:r>
          </w:p>
        </w:tc>
        <w:tc>
          <w:tcPr>
            <w:tcW w:type="dxa" w:w="2268"/>
            <w:shd w:val="clear" w:color="auto" w:fill="F8FAFC"/>
          </w:tcPr>
          <w:p>
            <w:pPr>
              <w:jc w:val="left"/>
            </w:pPr>
            <w:r/>
            <w:r>
              <w:rPr>
                <w:b w:val="0"/>
                <w:i w:val="0"/>
                <w:sz w:val="18"/>
              </w:rPr>
              <w:t>Home insurance mandatory for bank mortgage</w:t>
            </w:r>
          </w:p>
        </w:tc>
      </w:tr>
      <w:tr>
        <w:tc>
          <w:tcPr>
            <w:tcW w:type="dxa" w:w="2268"/>
            <w:shd w:val="clear" w:color="auto" w:fill="FFFFFF"/>
          </w:tcPr>
          <w:p>
            <w:pPr>
              <w:jc w:val="left"/>
            </w:pPr>
            <w:r/>
            <w:r>
              <w:rPr>
                <w:b w:val="0"/>
                <w:i w:val="0"/>
                <w:sz w:val="18"/>
              </w:rPr>
              <w:t>Legal / gestoría referral</w:t>
            </w:r>
          </w:p>
        </w:tc>
        <w:tc>
          <w:tcPr>
            <w:tcW w:type="dxa" w:w="1984"/>
            <w:shd w:val="clear" w:color="auto" w:fill="FFFFFF"/>
          </w:tcPr>
          <w:p>
            <w:pPr>
              <w:jc w:val="left"/>
            </w:pPr>
            <w:r/>
            <w:r>
              <w:rPr>
                <w:b w:val="0"/>
                <w:i w:val="0"/>
                <w:sz w:val="18"/>
              </w:rPr>
              <w:t>Partner law firm or gestoría</w:t>
            </w:r>
          </w:p>
        </w:tc>
        <w:tc>
          <w:tcPr>
            <w:tcW w:type="dxa" w:w="1984"/>
            <w:shd w:val="clear" w:color="auto" w:fill="FFFFFF"/>
          </w:tcPr>
          <w:p>
            <w:pPr>
              <w:jc w:val="left"/>
            </w:pPr>
            <w:r/>
            <w:r>
              <w:rPr>
                <w:b w:val="0"/>
                <w:i w:val="0"/>
                <w:sz w:val="18"/>
              </w:rPr>
              <w:t>€150–300 per referral</w:t>
            </w:r>
          </w:p>
        </w:tc>
        <w:tc>
          <w:tcPr>
            <w:tcW w:type="dxa" w:w="1587"/>
            <w:shd w:val="clear" w:color="auto" w:fill="FFFFFF"/>
          </w:tcPr>
          <w:p>
            <w:pPr>
              <w:jc w:val="left"/>
            </w:pPr>
            <w:r/>
            <w:r>
              <w:rPr>
                <w:b w:val="0"/>
                <w:i w:val="0"/>
                <w:sz w:val="18"/>
              </w:rPr>
              <w:t>Per transaction</w:t>
            </w:r>
          </w:p>
        </w:tc>
        <w:tc>
          <w:tcPr>
            <w:tcW w:type="dxa" w:w="2268"/>
            <w:shd w:val="clear" w:color="auto" w:fill="FFFFFF"/>
          </w:tcPr>
          <w:p>
            <w:pPr>
              <w:jc w:val="left"/>
            </w:pPr>
            <w:r/>
            <w:r>
              <w:rPr>
                <w:b w:val="0"/>
                <w:i w:val="0"/>
                <w:sz w:val="18"/>
              </w:rPr>
              <w:t>Recommended but not mandatory</w:t>
            </w:r>
          </w:p>
        </w:tc>
      </w:tr>
      <w:tr>
        <w:tc>
          <w:tcPr>
            <w:tcW w:type="dxa" w:w="2268"/>
            <w:shd w:val="clear" w:color="auto" w:fill="F8FAFC"/>
          </w:tcPr>
          <w:p>
            <w:pPr>
              <w:jc w:val="left"/>
            </w:pPr>
            <w:r/>
            <w:r>
              <w:rPr>
                <w:b w:val="0"/>
                <w:i w:val="0"/>
                <w:sz w:val="18"/>
              </w:rPr>
              <w:t>New build developer fee</w:t>
            </w:r>
          </w:p>
        </w:tc>
        <w:tc>
          <w:tcPr>
            <w:tcW w:type="dxa" w:w="1984"/>
            <w:shd w:val="clear" w:color="auto" w:fill="F8FAFC"/>
          </w:tcPr>
          <w:p>
            <w:pPr>
              <w:jc w:val="left"/>
            </w:pPr>
            <w:r/>
            <w:r>
              <w:rPr>
                <w:b w:val="0"/>
                <w:i w:val="0"/>
                <w:sz w:val="18"/>
              </w:rPr>
              <w:t>Developer pays on reservation</w:t>
            </w:r>
          </w:p>
        </w:tc>
        <w:tc>
          <w:tcPr>
            <w:tcW w:type="dxa" w:w="1984"/>
            <w:shd w:val="clear" w:color="auto" w:fill="F8FAFC"/>
          </w:tcPr>
          <w:p>
            <w:pPr>
              <w:jc w:val="left"/>
            </w:pPr>
            <w:r/>
            <w:r>
              <w:rPr>
                <w:b w:val="0"/>
                <w:i w:val="0"/>
                <w:sz w:val="18"/>
              </w:rPr>
              <w:t>4–8% on new build price</w:t>
            </w:r>
          </w:p>
        </w:tc>
        <w:tc>
          <w:tcPr>
            <w:tcW w:type="dxa" w:w="1587"/>
            <w:shd w:val="clear" w:color="auto" w:fill="F8FAFC"/>
          </w:tcPr>
          <w:p>
            <w:pPr>
              <w:jc w:val="left"/>
            </w:pPr>
            <w:r/>
            <w:r>
              <w:rPr>
                <w:b w:val="0"/>
                <w:i w:val="0"/>
                <w:sz w:val="18"/>
              </w:rPr>
              <w:t>Per unit sold</w:t>
            </w:r>
          </w:p>
        </w:tc>
        <w:tc>
          <w:tcPr>
            <w:tcW w:type="dxa" w:w="2268"/>
            <w:shd w:val="clear" w:color="auto" w:fill="F8FAFC"/>
          </w:tcPr>
          <w:p>
            <w:pPr>
              <w:jc w:val="left"/>
            </w:pPr>
            <w:r/>
            <w:r>
              <w:rPr>
                <w:b w:val="0"/>
                <w:i w:val="0"/>
                <w:sz w:val="18"/>
              </w:rPr>
              <w:t>Developers pay higher rates — no seller to negotiate with</w:t>
            </w:r>
          </w:p>
        </w:tc>
      </w:tr>
      <w:tr>
        <w:tc>
          <w:tcPr>
            <w:tcW w:type="dxa" w:w="2268"/>
            <w:shd w:val="clear" w:color="auto" w:fill="FFFFFF"/>
          </w:tcPr>
          <w:p>
            <w:pPr>
              <w:jc w:val="left"/>
            </w:pPr>
            <w:r/>
            <w:r>
              <w:rPr>
                <w:b w:val="0"/>
                <w:i w:val="0"/>
                <w:sz w:val="18"/>
              </w:rPr>
              <w:t>Rental management</w:t>
            </w:r>
          </w:p>
        </w:tc>
        <w:tc>
          <w:tcPr>
            <w:tcW w:type="dxa" w:w="1984"/>
            <w:shd w:val="clear" w:color="auto" w:fill="FFFFFF"/>
          </w:tcPr>
          <w:p>
            <w:pPr>
              <w:jc w:val="left"/>
            </w:pPr>
            <w:r/>
            <w:r>
              <w:rPr>
                <w:b w:val="0"/>
                <w:i w:val="0"/>
                <w:sz w:val="18"/>
              </w:rPr>
              <w:t>Landlord pays monthly</w:t>
            </w:r>
          </w:p>
        </w:tc>
        <w:tc>
          <w:tcPr>
            <w:tcW w:type="dxa" w:w="1984"/>
            <w:shd w:val="clear" w:color="auto" w:fill="FFFFFF"/>
          </w:tcPr>
          <w:p>
            <w:pPr>
              <w:jc w:val="left"/>
            </w:pPr>
            <w:r/>
            <w:r>
              <w:rPr>
                <w:b w:val="0"/>
                <w:i w:val="0"/>
                <w:sz w:val="18"/>
              </w:rPr>
              <w:t>8–12% of monthly rent</w:t>
            </w:r>
          </w:p>
        </w:tc>
        <w:tc>
          <w:tcPr>
            <w:tcW w:type="dxa" w:w="1587"/>
            <w:shd w:val="clear" w:color="auto" w:fill="FFFFFF"/>
          </w:tcPr>
          <w:p>
            <w:pPr>
              <w:jc w:val="left"/>
            </w:pPr>
            <w:r/>
            <w:r>
              <w:rPr>
                <w:b w:val="0"/>
                <w:i w:val="0"/>
                <w:sz w:val="18"/>
              </w:rPr>
              <w:t>Monthly recurring</w:t>
            </w:r>
          </w:p>
        </w:tc>
        <w:tc>
          <w:tcPr>
            <w:tcW w:type="dxa" w:w="2268"/>
            <w:shd w:val="clear" w:color="auto" w:fill="FFFFFF"/>
          </w:tcPr>
          <w:p>
            <w:pPr>
              <w:jc w:val="left"/>
            </w:pPr>
            <w:r/>
            <w:r>
              <w:rPr>
                <w:b w:val="0"/>
                <w:i w:val="0"/>
                <w:sz w:val="18"/>
              </w:rPr>
              <w:t>Recurring revenue; Huspy opportunity to build vertical</w:t>
            </w:r>
          </w:p>
        </w:tc>
      </w:tr>
      <w:tr>
        <w:tc>
          <w:tcPr>
            <w:tcW w:type="dxa" w:w="2268"/>
            <w:shd w:val="clear" w:color="auto" w:fill="F8FAFC"/>
          </w:tcPr>
          <w:p>
            <w:pPr>
              <w:jc w:val="left"/>
            </w:pPr>
            <w:r/>
            <w:r>
              <w:rPr>
                <w:b w:val="0"/>
                <w:i w:val="0"/>
                <w:sz w:val="18"/>
              </w:rPr>
              <w:t>Rental finding fee</w:t>
            </w:r>
          </w:p>
        </w:tc>
        <w:tc>
          <w:tcPr>
            <w:tcW w:type="dxa" w:w="1984"/>
            <w:shd w:val="clear" w:color="auto" w:fill="F8FAFC"/>
          </w:tcPr>
          <w:p>
            <w:pPr>
              <w:jc w:val="left"/>
            </w:pPr>
            <w:r/>
            <w:r>
              <w:rPr>
                <w:b w:val="0"/>
                <w:i w:val="0"/>
                <w:sz w:val="18"/>
              </w:rPr>
              <w:t>Landlord one-off</w:t>
            </w:r>
          </w:p>
        </w:tc>
        <w:tc>
          <w:tcPr>
            <w:tcW w:type="dxa" w:w="1984"/>
            <w:shd w:val="clear" w:color="auto" w:fill="F8FAFC"/>
          </w:tcPr>
          <w:p>
            <w:pPr>
              <w:jc w:val="left"/>
            </w:pPr>
            <w:r/>
            <w:r>
              <w:rPr>
                <w:b w:val="0"/>
                <w:i w:val="0"/>
                <w:sz w:val="18"/>
              </w:rPr>
              <w:t>1 month's rent</w:t>
            </w:r>
          </w:p>
        </w:tc>
        <w:tc>
          <w:tcPr>
            <w:tcW w:type="dxa" w:w="1587"/>
            <w:shd w:val="clear" w:color="auto" w:fill="F8FAFC"/>
          </w:tcPr>
          <w:p>
            <w:pPr>
              <w:jc w:val="left"/>
            </w:pPr>
            <w:r/>
            <w:r>
              <w:rPr>
                <w:b w:val="0"/>
                <w:i w:val="0"/>
                <w:sz w:val="18"/>
              </w:rPr>
              <w:t>Per placement</w:t>
            </w:r>
          </w:p>
        </w:tc>
        <w:tc>
          <w:tcPr>
            <w:tcW w:type="dxa" w:w="2268"/>
            <w:shd w:val="clear" w:color="auto" w:fill="F8FAFC"/>
          </w:tcPr>
          <w:p>
            <w:pPr>
              <w:jc w:val="left"/>
            </w:pPr>
            <w:r/>
            <w:r>
              <w:rPr>
                <w:b w:val="0"/>
                <w:i w:val="0"/>
                <w:sz w:val="18"/>
              </w:rPr>
              <w:t>Quick transaction; builds landlord relationship</w:t>
            </w:r>
          </w:p>
        </w:tc>
      </w:tr>
    </w:tbl>
    <w:p/>
    <w:p>
      <w:pPr>
        <w:spacing w:before="160" w:after="40"/>
      </w:pPr>
      <w:r>
        <w:rPr>
          <w:b/>
          <w:color w:val="0A1628"/>
          <w:sz w:val="22"/>
        </w:rPr>
        <w:t>Portal Dependency: The Idealista Problem</w:t>
      </w:r>
    </w:p>
    <w:p>
      <w:pPr>
        <w:spacing w:after="80"/>
      </w:pPr>
      <w:r>
        <w:rPr>
          <w:b w:val="0"/>
          <w:i w:val="0"/>
          <w:sz w:val="20"/>
        </w:rPr>
        <w:t>The Spanish real estate market has a structural dependency on listing portals — primarily Idealista — that creates both a lead source and a margin risk for agencies.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0A1628"/>
          </w:tcPr>
          <w:p>
            <w:pPr>
              <w:jc w:val="left"/>
            </w:pPr>
            <w:r/>
            <w:r>
              <w:rPr>
                <w:b/>
                <w:i w:val="0"/>
                <w:color w:val="FFFFFF"/>
                <w:sz w:val="18"/>
              </w:rPr>
              <w:t>Portal</w:t>
            </w:r>
          </w:p>
        </w:tc>
        <w:tc>
          <w:tcPr>
            <w:tcW w:type="dxa" w:w="1417"/>
            <w:shd w:val="clear" w:color="auto" w:fill="0A1628"/>
          </w:tcPr>
          <w:p>
            <w:pPr>
              <w:jc w:val="left"/>
            </w:pPr>
            <w:r/>
            <w:r>
              <w:rPr>
                <w:b/>
                <w:i w:val="0"/>
                <w:color w:val="FFFFFF"/>
                <w:sz w:val="18"/>
              </w:rPr>
              <w:t>Monthly Visits</w:t>
            </w:r>
          </w:p>
        </w:tc>
        <w:tc>
          <w:tcPr>
            <w:tcW w:type="dxa" w:w="1701"/>
            <w:shd w:val="clear" w:color="auto" w:fill="0A1628"/>
          </w:tcPr>
          <w:p>
            <w:pPr>
              <w:jc w:val="left"/>
            </w:pPr>
            <w:r/>
            <w:r>
              <w:rPr>
                <w:b/>
                <w:i w:val="0"/>
                <w:color w:val="FFFFFF"/>
                <w:sz w:val="18"/>
              </w:rPr>
              <w:t>Market Position</w:t>
            </w:r>
          </w:p>
        </w:tc>
        <w:tc>
          <w:tcPr>
            <w:tcW w:type="dxa" w:w="1984"/>
            <w:shd w:val="clear" w:color="auto" w:fill="0A1628"/>
          </w:tcPr>
          <w:p>
            <w:pPr>
              <w:jc w:val="left"/>
            </w:pPr>
            <w:r/>
            <w:r>
              <w:rPr>
                <w:b/>
                <w:i w:val="0"/>
                <w:color w:val="FFFFFF"/>
                <w:sz w:val="18"/>
              </w:rPr>
              <w:t>Cost to Agency</w:t>
            </w:r>
          </w:p>
        </w:tc>
        <w:tc>
          <w:tcPr>
            <w:tcW w:type="dxa" w:w="2268"/>
            <w:shd w:val="clear" w:color="auto" w:fill="0A1628"/>
          </w:tcPr>
          <w:p>
            <w:pPr>
              <w:jc w:val="left"/>
            </w:pPr>
            <w:r/>
            <w:r>
              <w:rPr>
                <w:b/>
                <w:i w:val="0"/>
                <w:color w:val="FFFFFF"/>
                <w:sz w:val="18"/>
              </w:rPr>
              <w:t>Buyer Profile</w:t>
            </w:r>
          </w:p>
        </w:tc>
        <w:tc>
          <w:tcPr>
            <w:tcW w:type="dxa" w:w="1984"/>
            <w:shd w:val="clear" w:color="auto" w:fill="0A1628"/>
          </w:tcPr>
          <w:p>
            <w:pPr>
              <w:jc w:val="left"/>
            </w:pPr>
            <w:r/>
            <w:r>
              <w:rPr>
                <w:b/>
                <w:i w:val="0"/>
                <w:color w:val="FFFFFF"/>
                <w:sz w:val="18"/>
              </w:rPr>
              <w:t>Risk for Huspy</w:t>
            </w:r>
          </w:p>
        </w:tc>
      </w:tr>
      <w:tr>
        <w:tc>
          <w:tcPr>
            <w:tcW w:type="dxa" w:w="1984"/>
            <w:shd w:val="clear" w:color="auto" w:fill="F8FAFC"/>
          </w:tcPr>
          <w:p>
            <w:pPr>
              <w:jc w:val="left"/>
            </w:pPr>
            <w:r/>
            <w:r>
              <w:rPr>
                <w:b w:val="0"/>
                <w:i w:val="0"/>
                <w:sz w:val="18"/>
              </w:rPr>
              <w:t>Idealista</w:t>
            </w:r>
          </w:p>
        </w:tc>
        <w:tc>
          <w:tcPr>
            <w:tcW w:type="dxa" w:w="1417"/>
            <w:shd w:val="clear" w:color="auto" w:fill="F8FAFC"/>
          </w:tcPr>
          <w:p>
            <w:pPr>
              <w:jc w:val="left"/>
            </w:pPr>
            <w:r/>
            <w:r>
              <w:rPr>
                <w:b w:val="0"/>
                <w:i w:val="0"/>
                <w:sz w:val="18"/>
              </w:rPr>
              <w:t>50M+</w:t>
            </w:r>
          </w:p>
        </w:tc>
        <w:tc>
          <w:tcPr>
            <w:tcW w:type="dxa" w:w="1701"/>
            <w:shd w:val="clear" w:color="auto" w:fill="F8FAFC"/>
          </w:tcPr>
          <w:p>
            <w:pPr>
              <w:jc w:val="left"/>
            </w:pPr>
            <w:r/>
            <w:r>
              <w:rPr>
                <w:b w:val="0"/>
                <w:i w:val="0"/>
                <w:sz w:val="18"/>
              </w:rPr>
              <w:t>#1 — dominant</w:t>
            </w:r>
          </w:p>
        </w:tc>
        <w:tc>
          <w:tcPr>
            <w:tcW w:type="dxa" w:w="1984"/>
            <w:shd w:val="clear" w:color="auto" w:fill="F8FAFC"/>
          </w:tcPr>
          <w:p>
            <w:pPr>
              <w:jc w:val="left"/>
            </w:pPr>
            <w:r/>
            <w:r>
              <w:rPr>
                <w:b w:val="0"/>
                <w:i w:val="0"/>
                <w:sz w:val="18"/>
              </w:rPr>
              <w:t>€200–600/month per office</w:t>
            </w:r>
          </w:p>
        </w:tc>
        <w:tc>
          <w:tcPr>
            <w:tcW w:type="dxa" w:w="2268"/>
            <w:shd w:val="clear" w:color="auto" w:fill="F8FAFC"/>
          </w:tcPr>
          <w:p>
            <w:pPr>
              <w:jc w:val="left"/>
            </w:pPr>
            <w:r/>
            <w:r>
              <w:rPr>
                <w:b w:val="0"/>
                <w:i w:val="0"/>
                <w:sz w:val="18"/>
              </w:rPr>
              <w:t>All buyer types; 60%+ start here</w:t>
            </w:r>
          </w:p>
        </w:tc>
        <w:tc>
          <w:tcPr>
            <w:tcW w:type="dxa" w:w="1984"/>
            <w:shd w:val="clear" w:color="auto" w:fill="F8FAFC"/>
          </w:tcPr>
          <w:p>
            <w:pPr>
              <w:jc w:val="left"/>
            </w:pPr>
            <w:r/>
            <w:r>
              <w:rPr>
                <w:b w:val="0"/>
                <w:i w:val="0"/>
                <w:sz w:val="18"/>
              </w:rPr>
              <w:t>HIGH — if Idealista raises prices, Huspy's CAC rises</w:t>
            </w:r>
          </w:p>
        </w:tc>
      </w:tr>
      <w:tr>
        <w:tc>
          <w:tcPr>
            <w:tcW w:type="dxa" w:w="1984"/>
            <w:shd w:val="clear" w:color="auto" w:fill="FFFFFF"/>
          </w:tcPr>
          <w:p>
            <w:pPr>
              <w:jc w:val="left"/>
            </w:pPr>
            <w:r/>
            <w:r>
              <w:rPr>
                <w:b w:val="0"/>
                <w:i w:val="0"/>
                <w:sz w:val="18"/>
              </w:rPr>
              <w:t>Fotocasa</w:t>
            </w:r>
          </w:p>
        </w:tc>
        <w:tc>
          <w:tcPr>
            <w:tcW w:type="dxa" w:w="1417"/>
            <w:shd w:val="clear" w:color="auto" w:fill="FFFFFF"/>
          </w:tcPr>
          <w:p>
            <w:pPr>
              <w:jc w:val="left"/>
            </w:pPr>
            <w:r/>
            <w:r>
              <w:rPr>
                <w:b w:val="0"/>
                <w:i w:val="0"/>
                <w:sz w:val="18"/>
              </w:rPr>
              <w:t>20M+</w:t>
            </w:r>
          </w:p>
        </w:tc>
        <w:tc>
          <w:tcPr>
            <w:tcW w:type="dxa" w:w="1701"/>
            <w:shd w:val="clear" w:color="auto" w:fill="FFFFFF"/>
          </w:tcPr>
          <w:p>
            <w:pPr>
              <w:jc w:val="left"/>
            </w:pPr>
            <w:r/>
            <w:r>
              <w:rPr>
                <w:b w:val="0"/>
                <w:i w:val="0"/>
                <w:sz w:val="18"/>
              </w:rPr>
              <w:t>#2 — strong</w:t>
            </w:r>
          </w:p>
        </w:tc>
        <w:tc>
          <w:tcPr>
            <w:tcW w:type="dxa" w:w="1984"/>
            <w:shd w:val="clear" w:color="auto" w:fill="FFFFFF"/>
          </w:tcPr>
          <w:p>
            <w:pPr>
              <w:jc w:val="left"/>
            </w:pPr>
            <w:r/>
            <w:r>
              <w:rPr>
                <w:b w:val="0"/>
                <w:i w:val="0"/>
                <w:sz w:val="18"/>
              </w:rPr>
              <w:t>€100–300/month</w:t>
            </w:r>
          </w:p>
        </w:tc>
        <w:tc>
          <w:tcPr>
            <w:tcW w:type="dxa" w:w="2268"/>
            <w:shd w:val="clear" w:color="auto" w:fill="FFFFFF"/>
          </w:tcPr>
          <w:p>
            <w:pPr>
              <w:jc w:val="left"/>
            </w:pPr>
            <w:r/>
            <w:r>
              <w:rPr>
                <w:b w:val="0"/>
                <w:i w:val="0"/>
                <w:sz w:val="18"/>
              </w:rPr>
              <w:t>Spanish domestic buyers</w:t>
            </w:r>
          </w:p>
        </w:tc>
        <w:tc>
          <w:tcPr>
            <w:tcW w:type="dxa" w:w="1984"/>
            <w:shd w:val="clear" w:color="auto" w:fill="FFFFFF"/>
          </w:tcPr>
          <w:p>
            <w:pPr>
              <w:jc w:val="left"/>
            </w:pPr>
            <w:r/>
            <w:r>
              <w:rPr>
                <w:b w:val="0"/>
                <w:i w:val="0"/>
                <w:sz w:val="18"/>
              </w:rPr>
              <w:t>MEDIUM</w:t>
            </w:r>
          </w:p>
        </w:tc>
      </w:tr>
      <w:tr>
        <w:tc>
          <w:tcPr>
            <w:tcW w:type="dxa" w:w="1984"/>
            <w:shd w:val="clear" w:color="auto" w:fill="F8FAFC"/>
          </w:tcPr>
          <w:p>
            <w:pPr>
              <w:jc w:val="left"/>
            </w:pPr>
            <w:r/>
            <w:r>
              <w:rPr>
                <w:b w:val="0"/>
                <w:i w:val="0"/>
                <w:sz w:val="18"/>
              </w:rPr>
              <w:t>Kyero</w:t>
            </w:r>
          </w:p>
        </w:tc>
        <w:tc>
          <w:tcPr>
            <w:tcW w:type="dxa" w:w="1417"/>
            <w:shd w:val="clear" w:color="auto" w:fill="F8FAFC"/>
          </w:tcPr>
          <w:p>
            <w:pPr>
              <w:jc w:val="left"/>
            </w:pPr>
            <w:r/>
            <w:r>
              <w:rPr>
                <w:b w:val="0"/>
                <w:i w:val="0"/>
                <w:sz w:val="18"/>
              </w:rPr>
              <w:t>2M+</w:t>
            </w:r>
          </w:p>
        </w:tc>
        <w:tc>
          <w:tcPr>
            <w:tcW w:type="dxa" w:w="1701"/>
            <w:shd w:val="clear" w:color="auto" w:fill="F8FAFC"/>
          </w:tcPr>
          <w:p>
            <w:pPr>
              <w:jc w:val="left"/>
            </w:pPr>
            <w:r/>
            <w:r>
              <w:rPr>
                <w:b w:val="0"/>
                <w:i w:val="0"/>
                <w:sz w:val="18"/>
              </w:rPr>
              <w:t>Foreign buyers specialist</w:t>
            </w:r>
          </w:p>
        </w:tc>
        <w:tc>
          <w:tcPr>
            <w:tcW w:type="dxa" w:w="1984"/>
            <w:shd w:val="clear" w:color="auto" w:fill="F8FAFC"/>
          </w:tcPr>
          <w:p>
            <w:pPr>
              <w:jc w:val="left"/>
            </w:pPr>
            <w:r/>
            <w:r>
              <w:rPr>
                <w:b w:val="0"/>
                <w:i w:val="0"/>
                <w:sz w:val="18"/>
              </w:rPr>
              <w:t>€150–400/month</w:t>
            </w:r>
          </w:p>
        </w:tc>
        <w:tc>
          <w:tcPr>
            <w:tcW w:type="dxa" w:w="2268"/>
            <w:shd w:val="clear" w:color="auto" w:fill="F8FAFC"/>
          </w:tcPr>
          <w:p>
            <w:pPr>
              <w:jc w:val="left"/>
            </w:pPr>
            <w:r/>
            <w:r>
              <w:rPr>
                <w:b w:val="0"/>
                <w:i w:val="0"/>
                <w:sz w:val="18"/>
              </w:rPr>
              <w:t>British, Dutch, German buyers</w:t>
            </w:r>
          </w:p>
        </w:tc>
        <w:tc>
          <w:tcPr>
            <w:tcW w:type="dxa" w:w="1984"/>
            <w:shd w:val="clear" w:color="auto" w:fill="F8FAFC"/>
          </w:tcPr>
          <w:p>
            <w:pPr>
              <w:jc w:val="left"/>
            </w:pPr>
            <w:r/>
            <w:r>
              <w:rPr>
                <w:b w:val="0"/>
                <w:i w:val="0"/>
                <w:sz w:val="18"/>
              </w:rPr>
              <w:t>LOW — useful for Málaga foreign buyer segment</w:t>
            </w:r>
          </w:p>
        </w:tc>
      </w:tr>
      <w:tr>
        <w:tc>
          <w:tcPr>
            <w:tcW w:type="dxa" w:w="1984"/>
            <w:shd w:val="clear" w:color="auto" w:fill="FFFFFF"/>
          </w:tcPr>
          <w:p>
            <w:pPr>
              <w:jc w:val="left"/>
            </w:pPr>
            <w:r/>
            <w:r>
              <w:rPr>
                <w:b w:val="0"/>
                <w:i w:val="0"/>
                <w:sz w:val="18"/>
              </w:rPr>
              <w:t>Rightmove Overseas</w:t>
            </w:r>
          </w:p>
        </w:tc>
        <w:tc>
          <w:tcPr>
            <w:tcW w:type="dxa" w:w="1417"/>
            <w:shd w:val="clear" w:color="auto" w:fill="FFFFFF"/>
          </w:tcPr>
          <w:p>
            <w:pPr>
              <w:jc w:val="left"/>
            </w:pPr>
            <w:r/>
            <w:r>
              <w:rPr>
                <w:b w:val="0"/>
                <w:i w:val="0"/>
                <w:sz w:val="18"/>
              </w:rPr>
              <w:t>1M+</w:t>
            </w:r>
          </w:p>
        </w:tc>
        <w:tc>
          <w:tcPr>
            <w:tcW w:type="dxa" w:w="1701"/>
            <w:shd w:val="clear" w:color="auto" w:fill="FFFFFF"/>
          </w:tcPr>
          <w:p>
            <w:pPr>
              <w:jc w:val="left"/>
            </w:pPr>
            <w:r/>
            <w:r>
              <w:rPr>
                <w:b w:val="0"/>
                <w:i w:val="0"/>
                <w:sz w:val="18"/>
              </w:rPr>
              <w:t>UK buyers specifically</w:t>
            </w:r>
          </w:p>
        </w:tc>
        <w:tc>
          <w:tcPr>
            <w:tcW w:type="dxa" w:w="1984"/>
            <w:shd w:val="clear" w:color="auto" w:fill="FFFFFF"/>
          </w:tcPr>
          <w:p>
            <w:pPr>
              <w:jc w:val="left"/>
            </w:pPr>
            <w:r/>
            <w:r>
              <w:rPr>
                <w:b w:val="0"/>
                <w:i w:val="0"/>
                <w:sz w:val="18"/>
              </w:rPr>
              <w:t>€100–250/month</w:t>
            </w:r>
          </w:p>
        </w:tc>
        <w:tc>
          <w:tcPr>
            <w:tcW w:type="dxa" w:w="2268"/>
            <w:shd w:val="clear" w:color="auto" w:fill="FFFFFF"/>
          </w:tcPr>
          <w:p>
            <w:pPr>
              <w:jc w:val="left"/>
            </w:pPr>
            <w:r/>
            <w:r>
              <w:rPr>
                <w:b w:val="0"/>
                <w:i w:val="0"/>
                <w:sz w:val="18"/>
              </w:rPr>
              <w:t>British buyers</w:t>
            </w:r>
          </w:p>
        </w:tc>
        <w:tc>
          <w:tcPr>
            <w:tcW w:type="dxa" w:w="1984"/>
            <w:shd w:val="clear" w:color="auto" w:fill="FFFFFF"/>
          </w:tcPr>
          <w:p>
            <w:pPr>
              <w:jc w:val="left"/>
            </w:pPr>
            <w:r/>
            <w:r>
              <w:rPr>
                <w:b w:val="0"/>
                <w:i w:val="0"/>
                <w:sz w:val="18"/>
              </w:rPr>
              <w:t>LOW — niche but high-ticket Málaga buyers</w:t>
            </w:r>
          </w:p>
        </w:tc>
      </w:tr>
      <w:tr>
        <w:tc>
          <w:tcPr>
            <w:tcW w:type="dxa" w:w="1984"/>
            <w:shd w:val="clear" w:color="auto" w:fill="F8FAFC"/>
          </w:tcPr>
          <w:p>
            <w:pPr>
              <w:jc w:val="left"/>
            </w:pPr>
            <w:r/>
            <w:r>
              <w:rPr>
                <w:b w:val="0"/>
                <w:i w:val="0"/>
                <w:sz w:val="18"/>
              </w:rPr>
              <w:t>Pisos.com</w:t>
            </w:r>
          </w:p>
        </w:tc>
        <w:tc>
          <w:tcPr>
            <w:tcW w:type="dxa" w:w="1417"/>
            <w:shd w:val="clear" w:color="auto" w:fill="F8FAFC"/>
          </w:tcPr>
          <w:p>
            <w:pPr>
              <w:jc w:val="left"/>
            </w:pPr>
            <w:r/>
            <w:r>
              <w:rPr>
                <w:b w:val="0"/>
                <w:i w:val="0"/>
                <w:sz w:val="18"/>
              </w:rPr>
              <w:t>8M+</w:t>
            </w:r>
          </w:p>
        </w:tc>
        <w:tc>
          <w:tcPr>
            <w:tcW w:type="dxa" w:w="1701"/>
            <w:shd w:val="clear" w:color="auto" w:fill="F8FAFC"/>
          </w:tcPr>
          <w:p>
            <w:pPr>
              <w:jc w:val="left"/>
            </w:pPr>
            <w:r/>
            <w:r>
              <w:rPr>
                <w:b w:val="0"/>
                <w:i w:val="0"/>
                <w:sz w:val="18"/>
              </w:rPr>
              <w:t>#3 nationally</w:t>
            </w:r>
          </w:p>
        </w:tc>
        <w:tc>
          <w:tcPr>
            <w:tcW w:type="dxa" w:w="1984"/>
            <w:shd w:val="clear" w:color="auto" w:fill="F8FAFC"/>
          </w:tcPr>
          <w:p>
            <w:pPr>
              <w:jc w:val="left"/>
            </w:pPr>
            <w:r/>
            <w:r>
              <w:rPr>
                <w:b w:val="0"/>
                <w:i w:val="0"/>
                <w:sz w:val="18"/>
              </w:rPr>
              <w:t>€80–200/month</w:t>
            </w:r>
          </w:p>
        </w:tc>
        <w:tc>
          <w:tcPr>
            <w:tcW w:type="dxa" w:w="2268"/>
            <w:shd w:val="clear" w:color="auto" w:fill="F8FAFC"/>
          </w:tcPr>
          <w:p>
            <w:pPr>
              <w:jc w:val="left"/>
            </w:pPr>
            <w:r/>
            <w:r>
              <w:rPr>
                <w:b w:val="0"/>
                <w:i w:val="0"/>
                <w:sz w:val="18"/>
              </w:rPr>
              <w:t>Price-sensitive domestic</w:t>
            </w:r>
          </w:p>
        </w:tc>
        <w:tc>
          <w:tcPr>
            <w:tcW w:type="dxa" w:w="1984"/>
            <w:shd w:val="clear" w:color="auto" w:fill="F8FAFC"/>
          </w:tcPr>
          <w:p>
            <w:pPr>
              <w:jc w:val="left"/>
            </w:pPr>
            <w:r/>
            <w:r>
              <w:rPr>
                <w:b w:val="0"/>
                <w:i w:val="0"/>
                <w:sz w:val="18"/>
              </w:rPr>
              <w:t>LOW</w:t>
            </w:r>
          </w:p>
        </w:tc>
      </w:tr>
    </w:tbl>
    <w:p/>
    <w:p>
      <w:pPr>
        <w:spacing w:after="80"/>
      </w:pPr>
      <w:r>
        <w:rPr>
          <w:b w:val="0"/>
          <w:i/>
          <w:color w:val="1E40AF"/>
          <w:sz w:val="20"/>
        </w:rPr>
        <w:t>Huspy's strategic hedge: mortgage lock-in. Once a buyer uses Huspy for a mortgage pre-approval, they become a Huspy buyer regardless of which portal they found the property on. This partially decouples lead ownership from portal dependency.</w:t>
      </w:r>
    </w:p>
    <w:p>
      <w:pPr>
        <w:spacing w:before="240" w:after="80"/>
      </w:pPr>
      <w:r>
        <w:rPr>
          <w:b/>
          <w:color w:val="0A1628"/>
          <w:sz w:val="28"/>
        </w:rPr>
        <w:t>E2. Full Ecosystem: Every Professional in a Transaction</w:t>
      </w:r>
    </w:p>
    <w:p>
      <w:pPr>
        <w:spacing w:after="80"/>
      </w:pPr>
      <w:r>
        <w:rPr>
          <w:b w:val="0"/>
          <w:i w:val="0"/>
          <w:sz w:val="20"/>
        </w:rPr>
        <w:t>A Spanish real estate transaction involves up to 10 distinct professional roles. Understanding who each one is, what they do, who pays them, and where Huspy intersects is essential knowledge for any operations director.</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0A1628"/>
          </w:tcPr>
          <w:p>
            <w:pPr>
              <w:jc w:val="left"/>
            </w:pPr>
            <w:r/>
            <w:r>
              <w:rPr>
                <w:b/>
                <w:i w:val="0"/>
                <w:color w:val="FFFFFF"/>
                <w:sz w:val="18"/>
              </w:rPr>
              <w:t>Role</w:t>
            </w:r>
          </w:p>
        </w:tc>
        <w:tc>
          <w:tcPr>
            <w:tcW w:type="dxa" w:w="1984"/>
            <w:shd w:val="clear" w:color="auto" w:fill="0A1628"/>
          </w:tcPr>
          <w:p>
            <w:pPr>
              <w:jc w:val="left"/>
            </w:pPr>
            <w:r/>
            <w:r>
              <w:rPr>
                <w:b/>
                <w:i w:val="0"/>
                <w:color w:val="FFFFFF"/>
                <w:sz w:val="18"/>
              </w:rPr>
              <w:t>Spanish Title</w:t>
            </w:r>
          </w:p>
        </w:tc>
        <w:tc>
          <w:tcPr>
            <w:tcW w:type="dxa" w:w="1417"/>
            <w:shd w:val="clear" w:color="auto" w:fill="0A1628"/>
          </w:tcPr>
          <w:p>
            <w:pPr>
              <w:jc w:val="left"/>
            </w:pPr>
            <w:r/>
            <w:r>
              <w:rPr>
                <w:b/>
                <w:i w:val="0"/>
                <w:color w:val="FFFFFF"/>
                <w:sz w:val="18"/>
              </w:rPr>
              <w:t>Who Pays</w:t>
            </w:r>
          </w:p>
        </w:tc>
        <w:tc>
          <w:tcPr>
            <w:tcW w:type="dxa" w:w="1701"/>
            <w:shd w:val="clear" w:color="auto" w:fill="0A1628"/>
          </w:tcPr>
          <w:p>
            <w:pPr>
              <w:jc w:val="left"/>
            </w:pPr>
            <w:r/>
            <w:r>
              <w:rPr>
                <w:b/>
                <w:i w:val="0"/>
                <w:color w:val="FFFFFF"/>
                <w:sz w:val="18"/>
              </w:rPr>
              <w:t>Typical Fee</w:t>
            </w:r>
          </w:p>
        </w:tc>
        <w:tc>
          <w:tcPr>
            <w:tcW w:type="dxa" w:w="1984"/>
            <w:shd w:val="clear" w:color="auto" w:fill="0A1628"/>
          </w:tcPr>
          <w:p>
            <w:pPr>
              <w:jc w:val="left"/>
            </w:pPr>
            <w:r/>
            <w:r>
              <w:rPr>
                <w:b/>
                <w:i w:val="0"/>
                <w:color w:val="FFFFFF"/>
                <w:sz w:val="18"/>
              </w:rPr>
              <w:t>At Which Stage</w:t>
            </w:r>
          </w:p>
        </w:tc>
        <w:tc>
          <w:tcPr>
            <w:tcW w:type="dxa" w:w="1984"/>
            <w:shd w:val="clear" w:color="auto" w:fill="0A1628"/>
          </w:tcPr>
          <w:p>
            <w:pPr>
              <w:jc w:val="left"/>
            </w:pPr>
            <w:r/>
            <w:r>
              <w:rPr>
                <w:b/>
                <w:i w:val="0"/>
                <w:color w:val="FFFFFF"/>
                <w:sz w:val="18"/>
              </w:rPr>
              <w:t>Huspy Touchpoint?</w:t>
            </w:r>
          </w:p>
        </w:tc>
      </w:tr>
      <w:tr>
        <w:tc>
          <w:tcPr>
            <w:tcW w:type="dxa" w:w="1984"/>
            <w:shd w:val="clear" w:color="auto" w:fill="F8FAFC"/>
          </w:tcPr>
          <w:p>
            <w:pPr>
              <w:jc w:val="left"/>
            </w:pPr>
            <w:r/>
            <w:r>
              <w:rPr>
                <w:b w:val="0"/>
                <w:i w:val="0"/>
                <w:sz w:val="18"/>
              </w:rPr>
              <w:t>Real estate agent (seller side)</w:t>
            </w:r>
          </w:p>
        </w:tc>
        <w:tc>
          <w:tcPr>
            <w:tcW w:type="dxa" w:w="1984"/>
            <w:shd w:val="clear" w:color="auto" w:fill="F8FAFC"/>
          </w:tcPr>
          <w:p>
            <w:pPr>
              <w:jc w:val="left"/>
            </w:pPr>
            <w:r/>
            <w:r>
              <w:rPr>
                <w:b w:val="0"/>
                <w:i w:val="0"/>
                <w:sz w:val="18"/>
              </w:rPr>
              <w:t>Agente inmobiliario</w:t>
            </w:r>
          </w:p>
        </w:tc>
        <w:tc>
          <w:tcPr>
            <w:tcW w:type="dxa" w:w="1417"/>
            <w:shd w:val="clear" w:color="auto" w:fill="F8FAFC"/>
          </w:tcPr>
          <w:p>
            <w:pPr>
              <w:jc w:val="left"/>
            </w:pPr>
            <w:r/>
            <w:r>
              <w:rPr>
                <w:b w:val="0"/>
                <w:i w:val="0"/>
                <w:sz w:val="18"/>
              </w:rPr>
              <w:t>Seller</w:t>
            </w:r>
          </w:p>
        </w:tc>
        <w:tc>
          <w:tcPr>
            <w:tcW w:type="dxa" w:w="1701"/>
            <w:shd w:val="clear" w:color="auto" w:fill="F8FAFC"/>
          </w:tcPr>
          <w:p>
            <w:pPr>
              <w:jc w:val="left"/>
            </w:pPr>
            <w:r/>
            <w:r>
              <w:rPr>
                <w:b w:val="0"/>
                <w:i w:val="0"/>
                <w:sz w:val="18"/>
              </w:rPr>
              <w:t>3–6% + IVA</w:t>
            </w:r>
          </w:p>
        </w:tc>
        <w:tc>
          <w:tcPr>
            <w:tcW w:type="dxa" w:w="1984"/>
            <w:shd w:val="clear" w:color="auto" w:fill="F8FAFC"/>
          </w:tcPr>
          <w:p>
            <w:pPr>
              <w:jc w:val="left"/>
            </w:pPr>
            <w:r/>
            <w:r>
              <w:rPr>
                <w:b w:val="0"/>
                <w:i w:val="0"/>
                <w:sz w:val="18"/>
              </w:rPr>
              <w:t>Valuation → Escritura</w:t>
            </w:r>
          </w:p>
        </w:tc>
        <w:tc>
          <w:tcPr>
            <w:tcW w:type="dxa" w:w="1984"/>
            <w:shd w:val="clear" w:color="auto" w:fill="F8FAFC"/>
          </w:tcPr>
          <w:p>
            <w:pPr>
              <w:jc w:val="left"/>
            </w:pPr>
            <w:r/>
            <w:r>
              <w:rPr>
                <w:b w:val="0"/>
                <w:i w:val="0"/>
                <w:sz w:val="18"/>
              </w:rPr>
              <w:t>YES — core Huspy employee/partner</w:t>
            </w:r>
          </w:p>
        </w:tc>
      </w:tr>
      <w:tr>
        <w:tc>
          <w:tcPr>
            <w:tcW w:type="dxa" w:w="1984"/>
            <w:shd w:val="clear" w:color="auto" w:fill="FFFFFF"/>
          </w:tcPr>
          <w:p>
            <w:pPr>
              <w:jc w:val="left"/>
            </w:pPr>
            <w:r/>
            <w:r>
              <w:rPr>
                <w:b w:val="0"/>
                <w:i w:val="0"/>
                <w:sz w:val="18"/>
              </w:rPr>
              <w:t>Real estate agent (buyer side)</w:t>
            </w:r>
          </w:p>
        </w:tc>
        <w:tc>
          <w:tcPr>
            <w:tcW w:type="dxa" w:w="1984"/>
            <w:shd w:val="clear" w:color="auto" w:fill="FFFFFF"/>
          </w:tcPr>
          <w:p>
            <w:pPr>
              <w:jc w:val="left"/>
            </w:pPr>
            <w:r/>
            <w:r>
              <w:rPr>
                <w:b w:val="0"/>
                <w:i w:val="0"/>
                <w:sz w:val="18"/>
              </w:rPr>
              <w:t>Agente del comprador</w:t>
            </w:r>
          </w:p>
        </w:tc>
        <w:tc>
          <w:tcPr>
            <w:tcW w:type="dxa" w:w="1417"/>
            <w:shd w:val="clear" w:color="auto" w:fill="FFFFFF"/>
          </w:tcPr>
          <w:p>
            <w:pPr>
              <w:jc w:val="left"/>
            </w:pPr>
            <w:r/>
            <w:r>
              <w:rPr>
                <w:b w:val="0"/>
                <w:i w:val="0"/>
                <w:sz w:val="18"/>
              </w:rPr>
              <w:t>Seller (same pool)</w:t>
            </w:r>
          </w:p>
        </w:tc>
        <w:tc>
          <w:tcPr>
            <w:tcW w:type="dxa" w:w="1701"/>
            <w:shd w:val="clear" w:color="auto" w:fill="FFFFFF"/>
          </w:tcPr>
          <w:p>
            <w:pPr>
              <w:jc w:val="left"/>
            </w:pPr>
            <w:r/>
            <w:r>
              <w:rPr>
                <w:b w:val="0"/>
                <w:i w:val="0"/>
                <w:sz w:val="18"/>
              </w:rPr>
              <w:t>Shared from same commission</w:t>
            </w:r>
          </w:p>
        </w:tc>
        <w:tc>
          <w:tcPr>
            <w:tcW w:type="dxa" w:w="1984"/>
            <w:shd w:val="clear" w:color="auto" w:fill="FFFFFF"/>
          </w:tcPr>
          <w:p>
            <w:pPr>
              <w:jc w:val="left"/>
            </w:pPr>
            <w:r/>
            <w:r>
              <w:rPr>
                <w:b w:val="0"/>
                <w:i w:val="0"/>
                <w:sz w:val="18"/>
              </w:rPr>
              <w:t>Search → Arras</w:t>
            </w:r>
          </w:p>
        </w:tc>
        <w:tc>
          <w:tcPr>
            <w:tcW w:type="dxa" w:w="1984"/>
            <w:shd w:val="clear" w:color="auto" w:fill="FFFFFF"/>
          </w:tcPr>
          <w:p>
            <w:pPr>
              <w:jc w:val="left"/>
            </w:pPr>
            <w:r/>
            <w:r>
              <w:rPr>
                <w:b w:val="0"/>
                <w:i w:val="0"/>
                <w:sz w:val="18"/>
              </w:rPr>
              <w:t>YES — Huspy agent represents buyer</w:t>
            </w:r>
          </w:p>
        </w:tc>
      </w:tr>
      <w:tr>
        <w:tc>
          <w:tcPr>
            <w:tcW w:type="dxa" w:w="1984"/>
            <w:shd w:val="clear" w:color="auto" w:fill="F8FAFC"/>
          </w:tcPr>
          <w:p>
            <w:pPr>
              <w:jc w:val="left"/>
            </w:pPr>
            <w:r/>
            <w:r>
              <w:rPr>
                <w:b w:val="0"/>
                <w:i w:val="0"/>
                <w:sz w:val="18"/>
              </w:rPr>
              <w:t>Mortgage broker</w:t>
            </w:r>
          </w:p>
        </w:tc>
        <w:tc>
          <w:tcPr>
            <w:tcW w:type="dxa" w:w="1984"/>
            <w:shd w:val="clear" w:color="auto" w:fill="F8FAFC"/>
          </w:tcPr>
          <w:p>
            <w:pPr>
              <w:jc w:val="left"/>
            </w:pPr>
            <w:r/>
            <w:r>
              <w:rPr>
                <w:b w:val="0"/>
                <w:i w:val="0"/>
                <w:sz w:val="18"/>
              </w:rPr>
              <w:t>Corredor de crédito hipotecario</w:t>
            </w:r>
          </w:p>
        </w:tc>
        <w:tc>
          <w:tcPr>
            <w:tcW w:type="dxa" w:w="1417"/>
            <w:shd w:val="clear" w:color="auto" w:fill="F8FAFC"/>
          </w:tcPr>
          <w:p>
            <w:pPr>
              <w:jc w:val="left"/>
            </w:pPr>
            <w:r/>
            <w:r>
              <w:rPr>
                <w:b w:val="0"/>
                <w:i w:val="0"/>
                <w:sz w:val="18"/>
              </w:rPr>
              <w:t>Bank (on completion)</w:t>
            </w:r>
          </w:p>
        </w:tc>
        <w:tc>
          <w:tcPr>
            <w:tcW w:type="dxa" w:w="1701"/>
            <w:shd w:val="clear" w:color="auto" w:fill="F8FAFC"/>
          </w:tcPr>
          <w:p>
            <w:pPr>
              <w:jc w:val="left"/>
            </w:pPr>
            <w:r/>
            <w:r>
              <w:rPr>
                <w:b w:val="0"/>
                <w:i w:val="0"/>
                <w:sz w:val="18"/>
              </w:rPr>
              <w:t>€1,000–1,500 per mortgage</w:t>
            </w:r>
          </w:p>
        </w:tc>
        <w:tc>
          <w:tcPr>
            <w:tcW w:type="dxa" w:w="1984"/>
            <w:shd w:val="clear" w:color="auto" w:fill="F8FAFC"/>
          </w:tcPr>
          <w:p>
            <w:pPr>
              <w:jc w:val="left"/>
            </w:pPr>
            <w:r/>
            <w:r>
              <w:rPr>
                <w:b w:val="0"/>
                <w:i w:val="0"/>
                <w:sz w:val="18"/>
              </w:rPr>
              <w:t>Pre-approval → FEIN</w:t>
            </w:r>
          </w:p>
        </w:tc>
        <w:tc>
          <w:tcPr>
            <w:tcW w:type="dxa" w:w="1984"/>
            <w:shd w:val="clear" w:color="auto" w:fill="F8FAFC"/>
          </w:tcPr>
          <w:p>
            <w:pPr>
              <w:jc w:val="left"/>
            </w:pPr>
            <w:r/>
            <w:r>
              <w:rPr>
                <w:b w:val="0"/>
                <w:i w:val="0"/>
                <w:sz w:val="18"/>
              </w:rPr>
              <w:t>YES — Huspy's core differentiator</w:t>
            </w:r>
          </w:p>
        </w:tc>
      </w:tr>
      <w:tr>
        <w:tc>
          <w:tcPr>
            <w:tcW w:type="dxa" w:w="1984"/>
            <w:shd w:val="clear" w:color="auto" w:fill="FFFFFF"/>
          </w:tcPr>
          <w:p>
            <w:pPr>
              <w:jc w:val="left"/>
            </w:pPr>
            <w:r/>
            <w:r>
              <w:rPr>
                <w:b w:val="0"/>
                <w:i w:val="0"/>
                <w:sz w:val="18"/>
              </w:rPr>
              <w:t>Property lawyer</w:t>
            </w:r>
          </w:p>
        </w:tc>
        <w:tc>
          <w:tcPr>
            <w:tcW w:type="dxa" w:w="1984"/>
            <w:shd w:val="clear" w:color="auto" w:fill="FFFFFF"/>
          </w:tcPr>
          <w:p>
            <w:pPr>
              <w:jc w:val="left"/>
            </w:pPr>
            <w:r/>
            <w:r>
              <w:rPr>
                <w:b w:val="0"/>
                <w:i w:val="0"/>
                <w:sz w:val="18"/>
              </w:rPr>
              <w:t>Abogado inmobiliario</w:t>
            </w:r>
          </w:p>
        </w:tc>
        <w:tc>
          <w:tcPr>
            <w:tcW w:type="dxa" w:w="1417"/>
            <w:shd w:val="clear" w:color="auto" w:fill="FFFFFF"/>
          </w:tcPr>
          <w:p>
            <w:pPr>
              <w:jc w:val="left"/>
            </w:pPr>
            <w:r/>
            <w:r>
              <w:rPr>
                <w:b w:val="0"/>
                <w:i w:val="0"/>
                <w:sz w:val="18"/>
              </w:rPr>
              <w:t>Buyer (always)</w:t>
            </w:r>
          </w:p>
        </w:tc>
        <w:tc>
          <w:tcPr>
            <w:tcW w:type="dxa" w:w="1701"/>
            <w:shd w:val="clear" w:color="auto" w:fill="FFFFFF"/>
          </w:tcPr>
          <w:p>
            <w:pPr>
              <w:jc w:val="left"/>
            </w:pPr>
            <w:r/>
            <w:r>
              <w:rPr>
                <w:b w:val="0"/>
                <w:i w:val="0"/>
                <w:sz w:val="18"/>
              </w:rPr>
              <w:t>€1,500–3,000 flat fee</w:t>
            </w:r>
          </w:p>
        </w:tc>
        <w:tc>
          <w:tcPr>
            <w:tcW w:type="dxa" w:w="1984"/>
            <w:shd w:val="clear" w:color="auto" w:fill="FFFFFF"/>
          </w:tcPr>
          <w:p>
            <w:pPr>
              <w:jc w:val="left"/>
            </w:pPr>
            <w:r/>
            <w:r>
              <w:rPr>
                <w:b w:val="0"/>
                <w:i w:val="0"/>
                <w:sz w:val="18"/>
              </w:rPr>
              <w:t>Due diligence → Escritura</w:t>
            </w:r>
          </w:p>
        </w:tc>
        <w:tc>
          <w:tcPr>
            <w:tcW w:type="dxa" w:w="1984"/>
            <w:shd w:val="clear" w:color="auto" w:fill="FFFFFF"/>
          </w:tcPr>
          <w:p>
            <w:pPr>
              <w:jc w:val="left"/>
            </w:pPr>
            <w:r/>
            <w:r>
              <w:rPr>
                <w:b w:val="0"/>
                <w:i w:val="0"/>
                <w:sz w:val="18"/>
              </w:rPr>
              <w:t>Referral partner opportunity</w:t>
            </w:r>
          </w:p>
        </w:tc>
      </w:tr>
      <w:tr>
        <w:tc>
          <w:tcPr>
            <w:tcW w:type="dxa" w:w="1984"/>
            <w:shd w:val="clear" w:color="auto" w:fill="F8FAFC"/>
          </w:tcPr>
          <w:p>
            <w:pPr>
              <w:jc w:val="left"/>
            </w:pPr>
            <w:r/>
            <w:r>
              <w:rPr>
                <w:b w:val="0"/>
                <w:i w:val="0"/>
                <w:sz w:val="18"/>
              </w:rPr>
              <w:t>Notary</w:t>
            </w:r>
          </w:p>
        </w:tc>
        <w:tc>
          <w:tcPr>
            <w:tcW w:type="dxa" w:w="1984"/>
            <w:shd w:val="clear" w:color="auto" w:fill="F8FAFC"/>
          </w:tcPr>
          <w:p>
            <w:pPr>
              <w:jc w:val="left"/>
            </w:pPr>
            <w:r/>
            <w:r>
              <w:rPr>
                <w:b w:val="0"/>
                <w:i w:val="0"/>
                <w:sz w:val="18"/>
              </w:rPr>
              <w:t>Notario</w:t>
            </w:r>
          </w:p>
        </w:tc>
        <w:tc>
          <w:tcPr>
            <w:tcW w:type="dxa" w:w="1417"/>
            <w:shd w:val="clear" w:color="auto" w:fill="F8FAFC"/>
          </w:tcPr>
          <w:p>
            <w:pPr>
              <w:jc w:val="left"/>
            </w:pPr>
            <w:r/>
            <w:r>
              <w:rPr>
                <w:b w:val="0"/>
                <w:i w:val="0"/>
                <w:sz w:val="18"/>
              </w:rPr>
              <w:t>Buyer + Seller (split)</w:t>
            </w:r>
          </w:p>
        </w:tc>
        <w:tc>
          <w:tcPr>
            <w:tcW w:type="dxa" w:w="1701"/>
            <w:shd w:val="clear" w:color="auto" w:fill="F8FAFC"/>
          </w:tcPr>
          <w:p>
            <w:pPr>
              <w:jc w:val="left"/>
            </w:pPr>
            <w:r/>
            <w:r>
              <w:rPr>
                <w:b w:val="0"/>
                <w:i w:val="0"/>
                <w:sz w:val="18"/>
              </w:rPr>
              <w:t>€800–1,500 (regulated scale)</w:t>
            </w:r>
          </w:p>
        </w:tc>
        <w:tc>
          <w:tcPr>
            <w:tcW w:type="dxa" w:w="1984"/>
            <w:shd w:val="clear" w:color="auto" w:fill="F8FAFC"/>
          </w:tcPr>
          <w:p>
            <w:pPr>
              <w:jc w:val="left"/>
            </w:pPr>
            <w:r/>
            <w:r>
              <w:rPr>
                <w:b w:val="0"/>
                <w:i w:val="0"/>
                <w:sz w:val="18"/>
              </w:rPr>
              <w:t>Escritura signing only</w:t>
            </w:r>
          </w:p>
        </w:tc>
        <w:tc>
          <w:tcPr>
            <w:tcW w:type="dxa" w:w="1984"/>
            <w:shd w:val="clear" w:color="auto" w:fill="F8FAFC"/>
          </w:tcPr>
          <w:p>
            <w:pPr>
              <w:jc w:val="left"/>
            </w:pPr>
            <w:r/>
            <w:r>
              <w:rPr>
                <w:b w:val="0"/>
                <w:i w:val="0"/>
                <w:sz w:val="18"/>
              </w:rPr>
              <w:t>Required by law — no flexibility</w:t>
            </w:r>
          </w:p>
        </w:tc>
      </w:tr>
      <w:tr>
        <w:tc>
          <w:tcPr>
            <w:tcW w:type="dxa" w:w="1984"/>
            <w:shd w:val="clear" w:color="auto" w:fill="FFFFFF"/>
          </w:tcPr>
          <w:p>
            <w:pPr>
              <w:jc w:val="left"/>
            </w:pPr>
            <w:r/>
            <w:r>
              <w:rPr>
                <w:b w:val="0"/>
                <w:i w:val="0"/>
                <w:sz w:val="18"/>
              </w:rPr>
              <w:t>Official valuer</w:t>
            </w:r>
          </w:p>
        </w:tc>
        <w:tc>
          <w:tcPr>
            <w:tcW w:type="dxa" w:w="1984"/>
            <w:shd w:val="clear" w:color="auto" w:fill="FFFFFF"/>
          </w:tcPr>
          <w:p>
            <w:pPr>
              <w:jc w:val="left"/>
            </w:pPr>
            <w:r/>
            <w:r>
              <w:rPr>
                <w:b w:val="0"/>
                <w:i w:val="0"/>
                <w:sz w:val="18"/>
              </w:rPr>
              <w:t>Tasador homologado</w:t>
            </w:r>
          </w:p>
        </w:tc>
        <w:tc>
          <w:tcPr>
            <w:tcW w:type="dxa" w:w="1417"/>
            <w:shd w:val="clear" w:color="auto" w:fill="FFFFFF"/>
          </w:tcPr>
          <w:p>
            <w:pPr>
              <w:jc w:val="left"/>
            </w:pPr>
            <w:r/>
            <w:r>
              <w:rPr>
                <w:b w:val="0"/>
                <w:i w:val="0"/>
                <w:sz w:val="18"/>
              </w:rPr>
              <w:t>Buyer (bank requires it)</w:t>
            </w:r>
          </w:p>
        </w:tc>
        <w:tc>
          <w:tcPr>
            <w:tcW w:type="dxa" w:w="1701"/>
            <w:shd w:val="clear" w:color="auto" w:fill="FFFFFF"/>
          </w:tcPr>
          <w:p>
            <w:pPr>
              <w:jc w:val="left"/>
            </w:pPr>
            <w:r/>
            <w:r>
              <w:rPr>
                <w:b w:val="0"/>
                <w:i w:val="0"/>
                <w:sz w:val="18"/>
              </w:rPr>
              <w:t>€300–800</w:t>
            </w:r>
          </w:p>
        </w:tc>
        <w:tc>
          <w:tcPr>
            <w:tcW w:type="dxa" w:w="1984"/>
            <w:shd w:val="clear" w:color="auto" w:fill="FFFFFF"/>
          </w:tcPr>
          <w:p>
            <w:pPr>
              <w:jc w:val="left"/>
            </w:pPr>
            <w:r/>
            <w:r>
              <w:rPr>
                <w:b w:val="0"/>
                <w:i w:val="0"/>
                <w:sz w:val="18"/>
              </w:rPr>
              <w:t>After Arras, before FEIN</w:t>
            </w:r>
          </w:p>
        </w:tc>
        <w:tc>
          <w:tcPr>
            <w:tcW w:type="dxa" w:w="1984"/>
            <w:shd w:val="clear" w:color="auto" w:fill="FFFFFF"/>
          </w:tcPr>
          <w:p>
            <w:pPr>
              <w:jc w:val="left"/>
            </w:pPr>
            <w:r/>
            <w:r>
              <w:rPr>
                <w:b w:val="0"/>
                <w:i w:val="0"/>
                <w:sz w:val="18"/>
              </w:rPr>
              <w:t>Ordered by the bank Huspy places</w:t>
            </w:r>
          </w:p>
        </w:tc>
      </w:tr>
      <w:tr>
        <w:tc>
          <w:tcPr>
            <w:tcW w:type="dxa" w:w="1984"/>
            <w:shd w:val="clear" w:color="auto" w:fill="F8FAFC"/>
          </w:tcPr>
          <w:p>
            <w:pPr>
              <w:jc w:val="left"/>
            </w:pPr>
            <w:r/>
            <w:r>
              <w:rPr>
                <w:b w:val="0"/>
                <w:i w:val="0"/>
                <w:sz w:val="18"/>
              </w:rPr>
              <w:t>Administrative agency</w:t>
            </w:r>
          </w:p>
        </w:tc>
        <w:tc>
          <w:tcPr>
            <w:tcW w:type="dxa" w:w="1984"/>
            <w:shd w:val="clear" w:color="auto" w:fill="F8FAFC"/>
          </w:tcPr>
          <w:p>
            <w:pPr>
              <w:jc w:val="left"/>
            </w:pPr>
            <w:r/>
            <w:r>
              <w:rPr>
                <w:b w:val="0"/>
                <w:i w:val="0"/>
                <w:sz w:val="18"/>
              </w:rPr>
              <w:t>Gestoría</w:t>
            </w:r>
          </w:p>
        </w:tc>
        <w:tc>
          <w:tcPr>
            <w:tcW w:type="dxa" w:w="1417"/>
            <w:shd w:val="clear" w:color="auto" w:fill="F8FAFC"/>
          </w:tcPr>
          <w:p>
            <w:pPr>
              <w:jc w:val="left"/>
            </w:pPr>
            <w:r/>
            <w:r>
              <w:rPr>
                <w:b w:val="0"/>
                <w:i w:val="0"/>
                <w:sz w:val="18"/>
              </w:rPr>
              <w:t>Usually buyer</w:t>
            </w:r>
          </w:p>
        </w:tc>
        <w:tc>
          <w:tcPr>
            <w:tcW w:type="dxa" w:w="1701"/>
            <w:shd w:val="clear" w:color="auto" w:fill="F8FAFC"/>
          </w:tcPr>
          <w:p>
            <w:pPr>
              <w:jc w:val="left"/>
            </w:pPr>
            <w:r/>
            <w:r>
              <w:rPr>
                <w:b w:val="0"/>
                <w:i w:val="0"/>
                <w:sz w:val="18"/>
              </w:rPr>
              <w:t>€300–600 flat fee</w:t>
            </w:r>
          </w:p>
        </w:tc>
        <w:tc>
          <w:tcPr>
            <w:tcW w:type="dxa" w:w="1984"/>
            <w:shd w:val="clear" w:color="auto" w:fill="F8FAFC"/>
          </w:tcPr>
          <w:p>
            <w:pPr>
              <w:jc w:val="left"/>
            </w:pPr>
            <w:r/>
            <w:r>
              <w:rPr>
                <w:b w:val="0"/>
                <w:i w:val="0"/>
                <w:sz w:val="18"/>
              </w:rPr>
              <w:t>Post-Escritura</w:t>
            </w:r>
          </w:p>
        </w:tc>
        <w:tc>
          <w:tcPr>
            <w:tcW w:type="dxa" w:w="1984"/>
            <w:shd w:val="clear" w:color="auto" w:fill="F8FAFC"/>
          </w:tcPr>
          <w:p>
            <w:pPr>
              <w:jc w:val="left"/>
            </w:pPr>
            <w:r/>
            <w:r>
              <w:rPr>
                <w:b w:val="0"/>
                <w:i w:val="0"/>
                <w:sz w:val="18"/>
              </w:rPr>
              <w:t>Referral partner for post-sale admin</w:t>
            </w:r>
          </w:p>
        </w:tc>
      </w:tr>
      <w:tr>
        <w:tc>
          <w:tcPr>
            <w:tcW w:type="dxa" w:w="1984"/>
            <w:shd w:val="clear" w:color="auto" w:fill="FFFFFF"/>
          </w:tcPr>
          <w:p>
            <w:pPr>
              <w:jc w:val="left"/>
            </w:pPr>
            <w:r/>
            <w:r>
              <w:rPr>
                <w:b w:val="0"/>
                <w:i w:val="0"/>
                <w:sz w:val="18"/>
              </w:rPr>
              <w:t>Land registrar</w:t>
            </w:r>
          </w:p>
        </w:tc>
        <w:tc>
          <w:tcPr>
            <w:tcW w:type="dxa" w:w="1984"/>
            <w:shd w:val="clear" w:color="auto" w:fill="FFFFFF"/>
          </w:tcPr>
          <w:p>
            <w:pPr>
              <w:jc w:val="left"/>
            </w:pPr>
            <w:r/>
            <w:r>
              <w:rPr>
                <w:b w:val="0"/>
                <w:i w:val="0"/>
                <w:sz w:val="18"/>
              </w:rPr>
              <w:t>Registrador de la Propiedad</w:t>
            </w:r>
          </w:p>
        </w:tc>
        <w:tc>
          <w:tcPr>
            <w:tcW w:type="dxa" w:w="1417"/>
            <w:shd w:val="clear" w:color="auto" w:fill="FFFFFF"/>
          </w:tcPr>
          <w:p>
            <w:pPr>
              <w:jc w:val="left"/>
            </w:pPr>
            <w:r/>
            <w:r>
              <w:rPr>
                <w:b w:val="0"/>
                <w:i w:val="0"/>
                <w:sz w:val="18"/>
              </w:rPr>
              <w:t>Buyer</w:t>
            </w:r>
          </w:p>
        </w:tc>
        <w:tc>
          <w:tcPr>
            <w:tcW w:type="dxa" w:w="1701"/>
            <w:shd w:val="clear" w:color="auto" w:fill="FFFFFF"/>
          </w:tcPr>
          <w:p>
            <w:pPr>
              <w:jc w:val="left"/>
            </w:pPr>
            <w:r/>
            <w:r>
              <w:rPr>
                <w:b w:val="0"/>
                <w:i w:val="0"/>
                <w:sz w:val="18"/>
              </w:rPr>
              <w:t>€400–800 (regulated)</w:t>
            </w:r>
          </w:p>
        </w:tc>
        <w:tc>
          <w:tcPr>
            <w:tcW w:type="dxa" w:w="1984"/>
            <w:shd w:val="clear" w:color="auto" w:fill="FFFFFF"/>
          </w:tcPr>
          <w:p>
            <w:pPr>
              <w:jc w:val="left"/>
            </w:pPr>
            <w:r/>
            <w:r>
              <w:rPr>
                <w:b w:val="0"/>
                <w:i w:val="0"/>
                <w:sz w:val="18"/>
              </w:rPr>
              <w:t>Post-Escritura registration</w:t>
            </w:r>
          </w:p>
        </w:tc>
        <w:tc>
          <w:tcPr>
            <w:tcW w:type="dxa" w:w="1984"/>
            <w:shd w:val="clear" w:color="auto" w:fill="FFFFFF"/>
          </w:tcPr>
          <w:p>
            <w:pPr>
              <w:jc w:val="left"/>
            </w:pPr>
            <w:r/>
            <w:r>
              <w:rPr>
                <w:b w:val="0"/>
                <w:i w:val="0"/>
                <w:sz w:val="18"/>
              </w:rPr>
              <w:t>Required by law — no flexibility</w:t>
            </w:r>
          </w:p>
        </w:tc>
      </w:tr>
      <w:tr>
        <w:tc>
          <w:tcPr>
            <w:tcW w:type="dxa" w:w="1984"/>
            <w:shd w:val="clear" w:color="auto" w:fill="F8FAFC"/>
          </w:tcPr>
          <w:p>
            <w:pPr>
              <w:jc w:val="left"/>
            </w:pPr>
            <w:r/>
            <w:r>
              <w:rPr>
                <w:b w:val="0"/>
                <w:i w:val="0"/>
                <w:sz w:val="18"/>
              </w:rPr>
              <w:t>Home inspector / surveyor</w:t>
            </w:r>
          </w:p>
        </w:tc>
        <w:tc>
          <w:tcPr>
            <w:tcW w:type="dxa" w:w="1984"/>
            <w:shd w:val="clear" w:color="auto" w:fill="F8FAFC"/>
          </w:tcPr>
          <w:p>
            <w:pPr>
              <w:jc w:val="left"/>
            </w:pPr>
            <w:r/>
            <w:r>
              <w:rPr>
                <w:b w:val="0"/>
                <w:i w:val="0"/>
                <w:sz w:val="18"/>
              </w:rPr>
              <w:t>Arquitecto técnico / ITE inspector</w:t>
            </w:r>
          </w:p>
        </w:tc>
        <w:tc>
          <w:tcPr>
            <w:tcW w:type="dxa" w:w="1417"/>
            <w:shd w:val="clear" w:color="auto" w:fill="F8FAFC"/>
          </w:tcPr>
          <w:p>
            <w:pPr>
              <w:jc w:val="left"/>
            </w:pPr>
            <w:r/>
            <w:r>
              <w:rPr>
                <w:b w:val="0"/>
                <w:i w:val="0"/>
                <w:sz w:val="18"/>
              </w:rPr>
              <w:t>Buyer (optional)</w:t>
            </w:r>
          </w:p>
        </w:tc>
        <w:tc>
          <w:tcPr>
            <w:tcW w:type="dxa" w:w="1701"/>
            <w:shd w:val="clear" w:color="auto" w:fill="F8FAFC"/>
          </w:tcPr>
          <w:p>
            <w:pPr>
              <w:jc w:val="left"/>
            </w:pPr>
            <w:r/>
            <w:r>
              <w:rPr>
                <w:b w:val="0"/>
                <w:i w:val="0"/>
                <w:sz w:val="18"/>
              </w:rPr>
              <w:t>€300–600</w:t>
            </w:r>
          </w:p>
        </w:tc>
        <w:tc>
          <w:tcPr>
            <w:tcW w:type="dxa" w:w="1984"/>
            <w:shd w:val="clear" w:color="auto" w:fill="F8FAFC"/>
          </w:tcPr>
          <w:p>
            <w:pPr>
              <w:jc w:val="left"/>
            </w:pPr>
            <w:r/>
            <w:r>
              <w:rPr>
                <w:b w:val="0"/>
                <w:i w:val="0"/>
                <w:sz w:val="18"/>
              </w:rPr>
              <w:t>Before Arras (recommended)</w:t>
            </w:r>
          </w:p>
        </w:tc>
        <w:tc>
          <w:tcPr>
            <w:tcW w:type="dxa" w:w="1984"/>
            <w:shd w:val="clear" w:color="auto" w:fill="F8FAFC"/>
          </w:tcPr>
          <w:p>
            <w:pPr>
              <w:jc w:val="left"/>
            </w:pPr>
            <w:r/>
            <w:r>
              <w:rPr>
                <w:b w:val="0"/>
                <w:i w:val="0"/>
                <w:sz w:val="18"/>
              </w:rPr>
              <w:t>Referral opportunity — low penetration in Spain vs. UK</w:t>
            </w:r>
          </w:p>
        </w:tc>
      </w:tr>
      <w:tr>
        <w:tc>
          <w:tcPr>
            <w:tcW w:type="dxa" w:w="1984"/>
            <w:shd w:val="clear" w:color="auto" w:fill="FFFFFF"/>
          </w:tcPr>
          <w:p>
            <w:pPr>
              <w:jc w:val="left"/>
            </w:pPr>
            <w:r/>
            <w:r>
              <w:rPr>
                <w:b w:val="0"/>
                <w:i w:val="0"/>
                <w:sz w:val="18"/>
              </w:rPr>
              <w:t>Insurance broker</w:t>
            </w:r>
          </w:p>
        </w:tc>
        <w:tc>
          <w:tcPr>
            <w:tcW w:type="dxa" w:w="1984"/>
            <w:shd w:val="clear" w:color="auto" w:fill="FFFFFF"/>
          </w:tcPr>
          <w:p>
            <w:pPr>
              <w:jc w:val="left"/>
            </w:pPr>
            <w:r/>
            <w:r>
              <w:rPr>
                <w:b w:val="0"/>
                <w:i w:val="0"/>
                <w:sz w:val="18"/>
              </w:rPr>
              <w:t>Corredor de seguros</w:t>
            </w:r>
          </w:p>
        </w:tc>
        <w:tc>
          <w:tcPr>
            <w:tcW w:type="dxa" w:w="1417"/>
            <w:shd w:val="clear" w:color="auto" w:fill="FFFFFF"/>
          </w:tcPr>
          <w:p>
            <w:pPr>
              <w:jc w:val="left"/>
            </w:pPr>
            <w:r/>
            <w:r>
              <w:rPr>
                <w:b w:val="0"/>
                <w:i w:val="0"/>
                <w:sz w:val="18"/>
              </w:rPr>
              <w:t>Buyer (annual premium)</w:t>
            </w:r>
          </w:p>
        </w:tc>
        <w:tc>
          <w:tcPr>
            <w:tcW w:type="dxa" w:w="1701"/>
            <w:shd w:val="clear" w:color="auto" w:fill="FFFFFF"/>
          </w:tcPr>
          <w:p>
            <w:pPr>
              <w:jc w:val="left"/>
            </w:pPr>
            <w:r/>
            <w:r>
              <w:rPr>
                <w:b w:val="0"/>
                <w:i w:val="0"/>
                <w:sz w:val="18"/>
              </w:rPr>
              <w:t>€200–400/year</w:t>
            </w:r>
          </w:p>
        </w:tc>
        <w:tc>
          <w:tcPr>
            <w:tcW w:type="dxa" w:w="1984"/>
            <w:shd w:val="clear" w:color="auto" w:fill="FFFFFF"/>
          </w:tcPr>
          <w:p>
            <w:pPr>
              <w:jc w:val="left"/>
            </w:pPr>
            <w:r/>
            <w:r>
              <w:rPr>
                <w:b w:val="0"/>
                <w:i w:val="0"/>
                <w:sz w:val="18"/>
              </w:rPr>
              <w:t>At mortgage closing</w:t>
            </w:r>
          </w:p>
        </w:tc>
        <w:tc>
          <w:tcPr>
            <w:tcW w:type="dxa" w:w="1984"/>
            <w:shd w:val="clear" w:color="auto" w:fill="FFFFFF"/>
          </w:tcPr>
          <w:p>
            <w:pPr>
              <w:jc w:val="left"/>
            </w:pPr>
            <w:r/>
            <w:r>
              <w:rPr>
                <w:b w:val="0"/>
                <w:i w:val="0"/>
                <w:sz w:val="18"/>
              </w:rPr>
              <w:t>YES — home insurance mandatory for bank mortgage; Huspy referral fee</w:t>
            </w:r>
          </w:p>
        </w:tc>
      </w:tr>
      <w:tr>
        <w:tc>
          <w:tcPr>
            <w:tcW w:type="dxa" w:w="1984"/>
            <w:shd w:val="clear" w:color="auto" w:fill="F8FAFC"/>
          </w:tcPr>
          <w:p>
            <w:pPr>
              <w:jc w:val="left"/>
            </w:pPr>
            <w:r/>
            <w:r>
              <w:rPr>
                <w:b w:val="0"/>
                <w:i w:val="0"/>
                <w:sz w:val="18"/>
              </w:rPr>
              <w:t>Community administrator</w:t>
            </w:r>
          </w:p>
        </w:tc>
        <w:tc>
          <w:tcPr>
            <w:tcW w:type="dxa" w:w="1984"/>
            <w:shd w:val="clear" w:color="auto" w:fill="F8FAFC"/>
          </w:tcPr>
          <w:p>
            <w:pPr>
              <w:jc w:val="left"/>
            </w:pPr>
            <w:r/>
            <w:r>
              <w:rPr>
                <w:b w:val="0"/>
                <w:i w:val="0"/>
                <w:sz w:val="18"/>
              </w:rPr>
              <w:t>Administrador de fincas</w:t>
            </w:r>
          </w:p>
        </w:tc>
        <w:tc>
          <w:tcPr>
            <w:tcW w:type="dxa" w:w="1417"/>
            <w:shd w:val="clear" w:color="auto" w:fill="F8FAFC"/>
          </w:tcPr>
          <w:p>
            <w:pPr>
              <w:jc w:val="left"/>
            </w:pPr>
            <w:r/>
            <w:r>
              <w:rPr>
                <w:b w:val="0"/>
                <w:i w:val="0"/>
                <w:sz w:val="18"/>
              </w:rPr>
              <w:t>Community (owners)</w:t>
            </w:r>
          </w:p>
        </w:tc>
        <w:tc>
          <w:tcPr>
            <w:tcW w:type="dxa" w:w="1701"/>
            <w:shd w:val="clear" w:color="auto" w:fill="F8FAFC"/>
          </w:tcPr>
          <w:p>
            <w:pPr>
              <w:jc w:val="left"/>
            </w:pPr>
            <w:r/>
            <w:r>
              <w:rPr>
                <w:b w:val="0"/>
                <w:i w:val="0"/>
                <w:sz w:val="18"/>
              </w:rPr>
              <w:t>€20–50/month per unit</w:t>
            </w:r>
          </w:p>
        </w:tc>
        <w:tc>
          <w:tcPr>
            <w:tcW w:type="dxa" w:w="1984"/>
            <w:shd w:val="clear" w:color="auto" w:fill="F8FAFC"/>
          </w:tcPr>
          <w:p>
            <w:pPr>
              <w:jc w:val="left"/>
            </w:pPr>
            <w:r/>
            <w:r>
              <w:rPr>
                <w:b w:val="0"/>
                <w:i w:val="0"/>
                <w:sz w:val="18"/>
              </w:rPr>
              <w:t>Ongoing post-purchase</w:t>
            </w:r>
          </w:p>
        </w:tc>
        <w:tc>
          <w:tcPr>
            <w:tcW w:type="dxa" w:w="1984"/>
            <w:shd w:val="clear" w:color="auto" w:fill="F8FAFC"/>
          </w:tcPr>
          <w:p>
            <w:pPr>
              <w:jc w:val="left"/>
            </w:pPr>
            <w:r/>
            <w:r>
              <w:rPr>
                <w:b w:val="0"/>
                <w:i w:val="0"/>
                <w:sz w:val="18"/>
              </w:rPr>
              <w:t>Relevant for investor buyers managing multiple units</w:t>
            </w:r>
          </w:p>
        </w:tc>
      </w:tr>
    </w:tbl>
    <w:p/>
    <w:p>
      <w:pPr>
        <w:spacing w:after="80"/>
      </w:pPr>
      <w:r>
        <w:rPr>
          <w:b/>
          <w:i w:val="0"/>
          <w:color w:val="27AE60"/>
          <w:sz w:val="20"/>
        </w:rPr>
        <w:t>Key insight: Huspy directly monetises 3 of these 11 roles (agent, mortgage broker, insurance referral) and has referral relationships with 2 more (lawyer, gestoría). A fully integrated Huspy transaction can generate €5,000–6,500 per deal vs. €3,500 for agency-only.</w:t>
      </w:r>
    </w:p>
    <w:p>
      <w:pPr>
        <w:spacing w:before="240" w:after="80"/>
      </w:pPr>
      <w:r>
        <w:rPr>
          <w:b/>
          <w:color w:val="0A1628"/>
          <w:sz w:val="28"/>
        </w:rPr>
        <w:t>E3. Pricing Dynamics — How Prices Are Set and What Moves Them</w:t>
      </w:r>
    </w:p>
    <w:p>
      <w:pPr>
        <w:spacing w:before="160" w:after="40"/>
      </w:pPr>
      <w:r>
        <w:rPr>
          <w:b/>
          <w:color w:val="0A1628"/>
          <w:sz w:val="22"/>
        </w:rPr>
        <w:t>CMA Methodology: How Agents Set Listing Prices</w:t>
      </w:r>
    </w:p>
    <w:p>
      <w:pPr>
        <w:spacing w:after="80"/>
      </w:pPr>
      <w:r>
        <w:rPr>
          <w:b w:val="0"/>
          <w:i w:val="0"/>
          <w:sz w:val="20"/>
        </w:rPr>
        <w:t>A Comparative Market Analysis (Análisis de Mercado Comparativo) is the standard tool for pricing a listing. A rigorous CMA is the single most important thing an agent does — overpricing kills deals, underpricing destroys seller trust.</w:t>
      </w:r>
    </w:p>
    <w:tbl>
      <w:tblPr>
        <w:tblStyle w:val="TableGrid"/>
        <w:tblW w:type="auto" w:w="0"/>
        <w:tblLook w:firstColumn="1" w:firstRow="1" w:lastColumn="0" w:lastRow="0" w:noHBand="0" w:noVBand="1" w:val="04A0"/>
      </w:tblPr>
      <w:tblGrid>
        <w:gridCol w:w="2351"/>
        <w:gridCol w:w="2351"/>
        <w:gridCol w:w="2351"/>
        <w:gridCol w:w="2351"/>
      </w:tblGrid>
      <w:tr>
        <w:tc>
          <w:tcPr>
            <w:tcW w:type="dxa" w:w="1701"/>
            <w:shd w:val="clear" w:color="auto" w:fill="0A1628"/>
          </w:tcPr>
          <w:p>
            <w:pPr>
              <w:jc w:val="left"/>
            </w:pPr>
            <w:r/>
            <w:r>
              <w:rPr>
                <w:b/>
                <w:i w:val="0"/>
                <w:color w:val="FFFFFF"/>
                <w:sz w:val="18"/>
              </w:rPr>
              <w:t>CMA Step</w:t>
            </w:r>
          </w:p>
        </w:tc>
        <w:tc>
          <w:tcPr>
            <w:tcW w:type="dxa" w:w="2551"/>
            <w:shd w:val="clear" w:color="auto" w:fill="0A1628"/>
          </w:tcPr>
          <w:p>
            <w:pPr>
              <w:jc w:val="left"/>
            </w:pPr>
            <w:r/>
            <w:r>
              <w:rPr>
                <w:b/>
                <w:i w:val="0"/>
                <w:color w:val="FFFFFF"/>
                <w:sz w:val="18"/>
              </w:rPr>
              <w:t>What to Do</w:t>
            </w:r>
          </w:p>
        </w:tc>
        <w:tc>
          <w:tcPr>
            <w:tcW w:type="dxa" w:w="2268"/>
            <w:shd w:val="clear" w:color="auto" w:fill="0A1628"/>
          </w:tcPr>
          <w:p>
            <w:pPr>
              <w:jc w:val="left"/>
            </w:pPr>
            <w:r/>
            <w:r>
              <w:rPr>
                <w:b/>
                <w:i w:val="0"/>
                <w:color w:val="FFFFFF"/>
                <w:sz w:val="18"/>
              </w:rPr>
              <w:t>Tool / Source</w:t>
            </w:r>
          </w:p>
        </w:tc>
        <w:tc>
          <w:tcPr>
            <w:tcW w:type="dxa" w:w="2835"/>
            <w:shd w:val="clear" w:color="auto" w:fill="0A1628"/>
          </w:tcPr>
          <w:p>
            <w:pPr>
              <w:jc w:val="left"/>
            </w:pPr>
            <w:r/>
            <w:r>
              <w:rPr>
                <w:b/>
                <w:i w:val="0"/>
                <w:color w:val="FFFFFF"/>
                <w:sz w:val="18"/>
              </w:rPr>
              <w:t>Adjustment Factor</w:t>
            </w:r>
          </w:p>
        </w:tc>
      </w:tr>
      <w:tr>
        <w:tc>
          <w:tcPr>
            <w:tcW w:type="dxa" w:w="1701"/>
            <w:shd w:val="clear" w:color="auto" w:fill="F8FAFC"/>
          </w:tcPr>
          <w:p>
            <w:pPr>
              <w:jc w:val="left"/>
            </w:pPr>
            <w:r/>
            <w:r>
              <w:rPr>
                <w:b w:val="0"/>
                <w:i w:val="0"/>
                <w:sz w:val="18"/>
              </w:rPr>
              <w:t>1. Pull comparables</w:t>
            </w:r>
          </w:p>
        </w:tc>
        <w:tc>
          <w:tcPr>
            <w:tcW w:type="dxa" w:w="2551"/>
            <w:shd w:val="clear" w:color="auto" w:fill="F8FAFC"/>
          </w:tcPr>
          <w:p>
            <w:pPr>
              <w:jc w:val="left"/>
            </w:pPr>
            <w:r/>
            <w:r>
              <w:rPr>
                <w:b w:val="0"/>
                <w:i w:val="0"/>
                <w:sz w:val="18"/>
              </w:rPr>
              <w:t>Find 3–5 SOLD properties: same zone, same type, last 6–12 months</w:t>
            </w:r>
          </w:p>
        </w:tc>
        <w:tc>
          <w:tcPr>
            <w:tcW w:type="dxa" w:w="2268"/>
            <w:shd w:val="clear" w:color="auto" w:fill="F8FAFC"/>
          </w:tcPr>
          <w:p>
            <w:pPr>
              <w:jc w:val="left"/>
            </w:pPr>
            <w:r/>
            <w:r>
              <w:rPr>
                <w:b w:val="0"/>
                <w:i w:val="0"/>
                <w:sz w:val="18"/>
              </w:rPr>
              <w:t>Registradores.es, Idealista Valoraciones, Tinsa</w:t>
            </w:r>
          </w:p>
        </w:tc>
        <w:tc>
          <w:tcPr>
            <w:tcW w:type="dxa" w:w="2835"/>
            <w:shd w:val="clear" w:color="auto" w:fill="F8FAFC"/>
          </w:tcPr>
          <w:p>
            <w:pPr>
              <w:jc w:val="left"/>
            </w:pPr>
            <w:r/>
            <w:r>
              <w:rPr>
                <w:b w:val="0"/>
                <w:i w:val="0"/>
                <w:sz w:val="18"/>
              </w:rPr>
              <w:t>Sold price only — never listed price</w:t>
            </w:r>
          </w:p>
        </w:tc>
      </w:tr>
      <w:tr>
        <w:tc>
          <w:tcPr>
            <w:tcW w:type="dxa" w:w="1701"/>
            <w:shd w:val="clear" w:color="auto" w:fill="FFFFFF"/>
          </w:tcPr>
          <w:p>
            <w:pPr>
              <w:jc w:val="left"/>
            </w:pPr>
            <w:r/>
            <w:r>
              <w:rPr>
                <w:b w:val="0"/>
                <w:i w:val="0"/>
                <w:sz w:val="18"/>
              </w:rPr>
              <w:t>2. Calculate base price/m²</w:t>
            </w:r>
          </w:p>
        </w:tc>
        <w:tc>
          <w:tcPr>
            <w:tcW w:type="dxa" w:w="2551"/>
            <w:shd w:val="clear" w:color="auto" w:fill="FFFFFF"/>
          </w:tcPr>
          <w:p>
            <w:pPr>
              <w:jc w:val="left"/>
            </w:pPr>
            <w:r/>
            <w:r>
              <w:rPr>
                <w:b w:val="0"/>
                <w:i w:val="0"/>
                <w:sz w:val="18"/>
              </w:rPr>
              <w:t>Sold price ÷ superficie útil (usable area, NOT constructed)</w:t>
            </w:r>
          </w:p>
        </w:tc>
        <w:tc>
          <w:tcPr>
            <w:tcW w:type="dxa" w:w="2268"/>
            <w:shd w:val="clear" w:color="auto" w:fill="FFFFFF"/>
          </w:tcPr>
          <w:p>
            <w:pPr>
              <w:jc w:val="left"/>
            </w:pPr>
            <w:r/>
            <w:r>
              <w:rPr>
                <w:b w:val="0"/>
                <w:i w:val="0"/>
                <w:sz w:val="18"/>
              </w:rPr>
              <w:t>Catastro certificate + Nota Simple</w:t>
            </w:r>
          </w:p>
        </w:tc>
        <w:tc>
          <w:tcPr>
            <w:tcW w:type="dxa" w:w="2835"/>
            <w:shd w:val="clear" w:color="auto" w:fill="FFFFFF"/>
          </w:tcPr>
          <w:p>
            <w:pPr>
              <w:jc w:val="left"/>
            </w:pPr>
            <w:r/>
            <w:r>
              <w:rPr>
                <w:b w:val="0"/>
                <w:i w:val="0"/>
                <w:sz w:val="18"/>
              </w:rPr>
              <w:t>Spain uses útil, not construida — big difference in apartments</w:t>
            </w:r>
          </w:p>
        </w:tc>
      </w:tr>
      <w:tr>
        <w:tc>
          <w:tcPr>
            <w:tcW w:type="dxa" w:w="1701"/>
            <w:shd w:val="clear" w:color="auto" w:fill="F8FAFC"/>
          </w:tcPr>
          <w:p>
            <w:pPr>
              <w:jc w:val="left"/>
            </w:pPr>
            <w:r/>
            <w:r>
              <w:rPr>
                <w:b w:val="0"/>
                <w:i w:val="0"/>
                <w:sz w:val="18"/>
              </w:rPr>
              <w:t>3. Condition adjustment</w:t>
            </w:r>
          </w:p>
        </w:tc>
        <w:tc>
          <w:tcPr>
            <w:tcW w:type="dxa" w:w="2551"/>
            <w:shd w:val="clear" w:color="auto" w:fill="F8FAFC"/>
          </w:tcPr>
          <w:p>
            <w:pPr>
              <w:jc w:val="left"/>
            </w:pPr>
            <w:r/>
            <w:r>
              <w:rPr>
                <w:b w:val="0"/>
                <w:i w:val="0"/>
                <w:sz w:val="18"/>
              </w:rPr>
              <w:t>Assess reform requirement honestly</w:t>
            </w:r>
          </w:p>
        </w:tc>
        <w:tc>
          <w:tcPr>
            <w:tcW w:type="dxa" w:w="2268"/>
            <w:shd w:val="clear" w:color="auto" w:fill="F8FAFC"/>
          </w:tcPr>
          <w:p>
            <w:pPr>
              <w:jc w:val="left"/>
            </w:pPr>
            <w:r/>
            <w:r>
              <w:rPr>
                <w:b w:val="0"/>
                <w:i w:val="0"/>
                <w:sz w:val="18"/>
              </w:rPr>
              <w:t>Agent inspection + photos</w:t>
            </w:r>
          </w:p>
        </w:tc>
        <w:tc>
          <w:tcPr>
            <w:tcW w:type="dxa" w:w="2835"/>
            <w:shd w:val="clear" w:color="auto" w:fill="F8FAFC"/>
          </w:tcPr>
          <w:p>
            <w:pPr>
              <w:jc w:val="left"/>
            </w:pPr>
            <w:r/>
            <w:r>
              <w:rPr>
                <w:b w:val="0"/>
                <w:i w:val="0"/>
                <w:sz w:val="18"/>
              </w:rPr>
              <w:t>Full reform needed: −15 to −20%; updated kitchen/bath: −5%</w:t>
            </w:r>
          </w:p>
        </w:tc>
      </w:tr>
      <w:tr>
        <w:tc>
          <w:tcPr>
            <w:tcW w:type="dxa" w:w="1701"/>
            <w:shd w:val="clear" w:color="auto" w:fill="FFFFFF"/>
          </w:tcPr>
          <w:p>
            <w:pPr>
              <w:jc w:val="left"/>
            </w:pPr>
            <w:r/>
            <w:r>
              <w:rPr>
                <w:b w:val="0"/>
                <w:i w:val="0"/>
                <w:sz w:val="18"/>
              </w:rPr>
              <w:t>4. Floor &amp; light premium</w:t>
            </w:r>
          </w:p>
        </w:tc>
        <w:tc>
          <w:tcPr>
            <w:tcW w:type="dxa" w:w="2551"/>
            <w:shd w:val="clear" w:color="auto" w:fill="FFFFFF"/>
          </w:tcPr>
          <w:p>
            <w:pPr>
              <w:jc w:val="left"/>
            </w:pPr>
            <w:r/>
            <w:r>
              <w:rPr>
                <w:b w:val="0"/>
                <w:i w:val="0"/>
                <w:sz w:val="18"/>
              </w:rPr>
              <w:t>Higher floors + natural light + views</w:t>
            </w:r>
          </w:p>
        </w:tc>
        <w:tc>
          <w:tcPr>
            <w:tcW w:type="dxa" w:w="2268"/>
            <w:shd w:val="clear" w:color="auto" w:fill="FFFFFF"/>
          </w:tcPr>
          <w:p>
            <w:pPr>
              <w:jc w:val="left"/>
            </w:pPr>
            <w:r/>
            <w:r>
              <w:rPr>
                <w:b w:val="0"/>
                <w:i w:val="0"/>
                <w:sz w:val="18"/>
              </w:rPr>
              <w:t>Market data + agent judgement</w:t>
            </w:r>
          </w:p>
        </w:tc>
        <w:tc>
          <w:tcPr>
            <w:tcW w:type="dxa" w:w="2835"/>
            <w:shd w:val="clear" w:color="auto" w:fill="FFFFFF"/>
          </w:tcPr>
          <w:p>
            <w:pPr>
              <w:jc w:val="left"/>
            </w:pPr>
            <w:r/>
            <w:r>
              <w:rPr>
                <w:b w:val="0"/>
                <w:i w:val="0"/>
                <w:sz w:val="18"/>
              </w:rPr>
              <w:t>Penthouse vs. ground floor: +10–20% in Málaga city</w:t>
            </w:r>
          </w:p>
        </w:tc>
      </w:tr>
      <w:tr>
        <w:tc>
          <w:tcPr>
            <w:tcW w:type="dxa" w:w="1701"/>
            <w:shd w:val="clear" w:color="auto" w:fill="F8FAFC"/>
          </w:tcPr>
          <w:p>
            <w:pPr>
              <w:jc w:val="left"/>
            </w:pPr>
            <w:r/>
            <w:r>
              <w:rPr>
                <w:b w:val="0"/>
                <w:i w:val="0"/>
                <w:sz w:val="18"/>
              </w:rPr>
              <w:t>5. Orientation premium</w:t>
            </w:r>
          </w:p>
        </w:tc>
        <w:tc>
          <w:tcPr>
            <w:tcW w:type="dxa" w:w="2551"/>
            <w:shd w:val="clear" w:color="auto" w:fill="F8FAFC"/>
          </w:tcPr>
          <w:p>
            <w:pPr>
              <w:jc w:val="left"/>
            </w:pPr>
            <w:r/>
            <w:r>
              <w:rPr>
                <w:b w:val="0"/>
                <w:i w:val="0"/>
                <w:sz w:val="18"/>
              </w:rPr>
              <w:t>South-facing in Spain = more light = more value</w:t>
            </w:r>
          </w:p>
        </w:tc>
        <w:tc>
          <w:tcPr>
            <w:tcW w:type="dxa" w:w="2268"/>
            <w:shd w:val="clear" w:color="auto" w:fill="F8FAFC"/>
          </w:tcPr>
          <w:p>
            <w:pPr>
              <w:jc w:val="left"/>
            </w:pPr>
            <w:r/>
            <w:r>
              <w:rPr>
                <w:b w:val="0"/>
                <w:i w:val="0"/>
                <w:sz w:val="18"/>
              </w:rPr>
              <w:t>Agent site visit</w:t>
            </w:r>
          </w:p>
        </w:tc>
        <w:tc>
          <w:tcPr>
            <w:tcW w:type="dxa" w:w="2835"/>
            <w:shd w:val="clear" w:color="auto" w:fill="F8FAFC"/>
          </w:tcPr>
          <w:p>
            <w:pPr>
              <w:jc w:val="left"/>
            </w:pPr>
            <w:r/>
            <w:r>
              <w:rPr>
                <w:b w:val="0"/>
                <w:i w:val="0"/>
                <w:sz w:val="18"/>
              </w:rPr>
              <w:t>+5–8% for south-facing in Málaga</w:t>
            </w:r>
          </w:p>
        </w:tc>
      </w:tr>
      <w:tr>
        <w:tc>
          <w:tcPr>
            <w:tcW w:type="dxa" w:w="1701"/>
            <w:shd w:val="clear" w:color="auto" w:fill="FFFFFF"/>
          </w:tcPr>
          <w:p>
            <w:pPr>
              <w:jc w:val="left"/>
            </w:pPr>
            <w:r/>
            <w:r>
              <w:rPr>
                <w:b w:val="0"/>
                <w:i w:val="0"/>
                <w:sz w:val="18"/>
              </w:rPr>
              <w:t>6. Parking &amp; storage</w:t>
            </w:r>
          </w:p>
        </w:tc>
        <w:tc>
          <w:tcPr>
            <w:tcW w:type="dxa" w:w="2551"/>
            <w:shd w:val="clear" w:color="auto" w:fill="FFFFFF"/>
          </w:tcPr>
          <w:p>
            <w:pPr>
              <w:jc w:val="left"/>
            </w:pPr>
            <w:r/>
            <w:r>
              <w:rPr>
                <w:b w:val="0"/>
                <w:i w:val="0"/>
                <w:sz w:val="18"/>
              </w:rPr>
              <w:t>Garage space + trastero</w:t>
            </w:r>
          </w:p>
        </w:tc>
        <w:tc>
          <w:tcPr>
            <w:tcW w:type="dxa" w:w="2268"/>
            <w:shd w:val="clear" w:color="auto" w:fill="FFFFFF"/>
          </w:tcPr>
          <w:p>
            <w:pPr>
              <w:jc w:val="left"/>
            </w:pPr>
            <w:r/>
            <w:r>
              <w:rPr>
                <w:b w:val="0"/>
                <w:i w:val="0"/>
                <w:sz w:val="18"/>
              </w:rPr>
              <w:t>Nota Simple / community registry</w:t>
            </w:r>
          </w:p>
        </w:tc>
        <w:tc>
          <w:tcPr>
            <w:tcW w:type="dxa" w:w="2835"/>
            <w:shd w:val="clear" w:color="auto" w:fill="FFFFFF"/>
          </w:tcPr>
          <w:p>
            <w:pPr>
              <w:jc w:val="left"/>
            </w:pPr>
            <w:r/>
            <w:r>
              <w:rPr>
                <w:b w:val="0"/>
                <w:i w:val="0"/>
                <w:sz w:val="18"/>
              </w:rPr>
              <w:t>Parking: +€15k–€25k in city; +€8k in coast</w:t>
            </w:r>
          </w:p>
        </w:tc>
      </w:tr>
      <w:tr>
        <w:tc>
          <w:tcPr>
            <w:tcW w:type="dxa" w:w="1701"/>
            <w:shd w:val="clear" w:color="auto" w:fill="F8FAFC"/>
          </w:tcPr>
          <w:p>
            <w:pPr>
              <w:jc w:val="left"/>
            </w:pPr>
            <w:r/>
            <w:r>
              <w:rPr>
                <w:b w:val="0"/>
                <w:i w:val="0"/>
                <w:sz w:val="18"/>
              </w:rPr>
              <w:t>7. Urgency discount</w:t>
            </w:r>
          </w:p>
        </w:tc>
        <w:tc>
          <w:tcPr>
            <w:tcW w:type="dxa" w:w="2551"/>
            <w:shd w:val="clear" w:color="auto" w:fill="F8FAFC"/>
          </w:tcPr>
          <w:p>
            <w:pPr>
              <w:jc w:val="left"/>
            </w:pPr>
            <w:r/>
            <w:r>
              <w:rPr>
                <w:b w:val="0"/>
                <w:i w:val="0"/>
                <w:sz w:val="18"/>
              </w:rPr>
              <w:t>Seller timeline affects price strategy</w:t>
            </w:r>
          </w:p>
        </w:tc>
        <w:tc>
          <w:tcPr>
            <w:tcW w:type="dxa" w:w="2268"/>
            <w:shd w:val="clear" w:color="auto" w:fill="F8FAFC"/>
          </w:tcPr>
          <w:p>
            <w:pPr>
              <w:jc w:val="left"/>
            </w:pPr>
            <w:r/>
            <w:r>
              <w:rPr>
                <w:b w:val="0"/>
                <w:i w:val="0"/>
                <w:sz w:val="18"/>
              </w:rPr>
              <w:t>Seller interview at valuation</w:t>
            </w:r>
          </w:p>
        </w:tc>
        <w:tc>
          <w:tcPr>
            <w:tcW w:type="dxa" w:w="2835"/>
            <w:shd w:val="clear" w:color="auto" w:fill="F8FAFC"/>
          </w:tcPr>
          <w:p>
            <w:pPr>
              <w:jc w:val="left"/>
            </w:pPr>
            <w:r/>
            <w:r>
              <w:rPr>
                <w:b w:val="0"/>
                <w:i w:val="0"/>
                <w:sz w:val="18"/>
              </w:rPr>
              <w:t>Need to sell in &lt;60 days: −5 to −8% to ensure fast close</w:t>
            </w:r>
          </w:p>
        </w:tc>
      </w:tr>
      <w:tr>
        <w:tc>
          <w:tcPr>
            <w:tcW w:type="dxa" w:w="1701"/>
            <w:shd w:val="clear" w:color="auto" w:fill="FFFFFF"/>
          </w:tcPr>
          <w:p>
            <w:pPr>
              <w:jc w:val="left"/>
            </w:pPr>
            <w:r/>
            <w:r>
              <w:rPr>
                <w:b w:val="0"/>
                <w:i w:val="0"/>
                <w:sz w:val="18"/>
              </w:rPr>
              <w:t>8. Portal price check</w:t>
            </w:r>
          </w:p>
        </w:tc>
        <w:tc>
          <w:tcPr>
            <w:tcW w:type="dxa" w:w="2551"/>
            <w:shd w:val="clear" w:color="auto" w:fill="FFFFFF"/>
          </w:tcPr>
          <w:p>
            <w:pPr>
              <w:jc w:val="left"/>
            </w:pPr>
            <w:r/>
            <w:r>
              <w:rPr>
                <w:b w:val="0"/>
                <w:i w:val="0"/>
                <w:sz w:val="18"/>
              </w:rPr>
              <w:t>Cross-check current active listings</w:t>
            </w:r>
          </w:p>
        </w:tc>
        <w:tc>
          <w:tcPr>
            <w:tcW w:type="dxa" w:w="2268"/>
            <w:shd w:val="clear" w:color="auto" w:fill="FFFFFF"/>
          </w:tcPr>
          <w:p>
            <w:pPr>
              <w:jc w:val="left"/>
            </w:pPr>
            <w:r/>
            <w:r>
              <w:rPr>
                <w:b w:val="0"/>
                <w:i w:val="0"/>
                <w:sz w:val="18"/>
              </w:rPr>
              <w:t>Idealista.com live search</w:t>
            </w:r>
          </w:p>
        </w:tc>
        <w:tc>
          <w:tcPr>
            <w:tcW w:type="dxa" w:w="2835"/>
            <w:shd w:val="clear" w:color="auto" w:fill="FFFFFF"/>
          </w:tcPr>
          <w:p>
            <w:pPr>
              <w:jc w:val="left"/>
            </w:pPr>
            <w:r/>
            <w:r>
              <w:rPr>
                <w:b w:val="0"/>
                <w:i w:val="0"/>
                <w:sz w:val="18"/>
              </w:rPr>
              <w:t>If zone has 20+ listings, buyer has choice — price sharper</w:t>
            </w:r>
          </w:p>
        </w:tc>
      </w:tr>
    </w:tbl>
    <w:p/>
    <w:p>
      <w:pPr>
        <w:spacing w:after="80"/>
      </w:pPr>
      <w:r>
        <w:rPr>
          <w:b/>
          <w:i w:val="0"/>
          <w:color w:val="C0392B"/>
          <w:sz w:val="20"/>
        </w:rPr>
        <w:t>Critical distinction: Superficie útil (usable internal area) vs. superficie construida (constructed area including walls, shared areas). Spanish law requires marketing on útil. A 90m² construida apartment is typically 75–80m² útil. Using the wrong figure makes your CMA wrong by 10–15%.</w:t>
      </w:r>
    </w:p>
    <w:p>
      <w:pPr>
        <w:spacing w:before="160" w:after="40"/>
      </w:pPr>
      <w:r>
        <w:rPr>
          <w:b/>
          <w:color w:val="0A1628"/>
          <w:sz w:val="22"/>
        </w:rPr>
        <w:t>Pricing by Property Type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0A1628"/>
          </w:tcPr>
          <w:p>
            <w:pPr>
              <w:jc w:val="left"/>
            </w:pPr>
            <w:r/>
            <w:r>
              <w:rPr>
                <w:b/>
                <w:i w:val="0"/>
                <w:color w:val="FFFFFF"/>
                <w:sz w:val="18"/>
              </w:rPr>
              <w:t>Property Type</w:t>
            </w:r>
          </w:p>
        </w:tc>
        <w:tc>
          <w:tcPr>
            <w:tcW w:type="dxa" w:w="1984"/>
            <w:shd w:val="clear" w:color="auto" w:fill="0A1628"/>
          </w:tcPr>
          <w:p>
            <w:pPr>
              <w:jc w:val="left"/>
            </w:pPr>
            <w:r/>
            <w:r>
              <w:rPr>
                <w:b/>
                <w:i w:val="0"/>
                <w:color w:val="FFFFFF"/>
                <w:sz w:val="18"/>
              </w:rPr>
              <w:t>Spanish Term</w:t>
            </w:r>
          </w:p>
        </w:tc>
        <w:tc>
          <w:tcPr>
            <w:tcW w:type="dxa" w:w="1701"/>
            <w:shd w:val="clear" w:color="auto" w:fill="0A1628"/>
          </w:tcPr>
          <w:p>
            <w:pPr>
              <w:jc w:val="left"/>
            </w:pPr>
            <w:r/>
            <w:r>
              <w:rPr>
                <w:b/>
                <w:i w:val="0"/>
                <w:color w:val="FFFFFF"/>
                <w:sz w:val="18"/>
              </w:rPr>
              <w:t>Avg Price/m² Málaga</w:t>
            </w:r>
          </w:p>
        </w:tc>
        <w:tc>
          <w:tcPr>
            <w:tcW w:type="dxa" w:w="1701"/>
            <w:shd w:val="clear" w:color="auto" w:fill="0A1628"/>
          </w:tcPr>
          <w:p>
            <w:pPr>
              <w:jc w:val="left"/>
            </w:pPr>
            <w:r/>
            <w:r>
              <w:rPr>
                <w:b/>
                <w:i w:val="0"/>
                <w:color w:val="FFFFFF"/>
                <w:sz w:val="18"/>
              </w:rPr>
              <w:t>Avg Price/m² Spain</w:t>
            </w:r>
          </w:p>
        </w:tc>
        <w:tc>
          <w:tcPr>
            <w:tcW w:type="dxa" w:w="1701"/>
            <w:shd w:val="clear" w:color="auto" w:fill="0A1628"/>
          </w:tcPr>
          <w:p>
            <w:pPr>
              <w:jc w:val="left"/>
            </w:pPr>
            <w:r/>
            <w:r>
              <w:rPr>
                <w:b/>
                <w:i w:val="0"/>
                <w:color w:val="FFFFFF"/>
                <w:sz w:val="18"/>
              </w:rPr>
              <w:t>Premium vs. National</w:t>
            </w:r>
          </w:p>
        </w:tc>
        <w:tc>
          <w:tcPr>
            <w:tcW w:type="dxa" w:w="3118"/>
            <w:shd w:val="clear" w:color="auto" w:fill="0A1628"/>
          </w:tcPr>
          <w:p>
            <w:pPr>
              <w:jc w:val="left"/>
            </w:pPr>
            <w:r/>
            <w:r>
              <w:rPr>
                <w:b/>
                <w:i w:val="0"/>
                <w:color w:val="FFFFFF"/>
                <w:sz w:val="18"/>
              </w:rPr>
              <w:t>Key Notes</w:t>
            </w:r>
          </w:p>
        </w:tc>
      </w:tr>
      <w:tr>
        <w:tc>
          <w:tcPr>
            <w:tcW w:type="dxa" w:w="1984"/>
            <w:shd w:val="clear" w:color="auto" w:fill="F8FAFC"/>
          </w:tcPr>
          <w:p>
            <w:pPr>
              <w:jc w:val="left"/>
            </w:pPr>
            <w:r/>
            <w:r>
              <w:rPr>
                <w:b w:val="0"/>
                <w:i w:val="0"/>
                <w:sz w:val="18"/>
              </w:rPr>
              <w:t>City apartment</w:t>
            </w:r>
          </w:p>
        </w:tc>
        <w:tc>
          <w:tcPr>
            <w:tcW w:type="dxa" w:w="1984"/>
            <w:shd w:val="clear" w:color="auto" w:fill="F8FAFC"/>
          </w:tcPr>
          <w:p>
            <w:pPr>
              <w:jc w:val="left"/>
            </w:pPr>
            <w:r/>
            <w:r>
              <w:rPr>
                <w:b w:val="0"/>
                <w:i w:val="0"/>
                <w:sz w:val="18"/>
              </w:rPr>
              <w:t>Piso</w:t>
            </w:r>
          </w:p>
        </w:tc>
        <w:tc>
          <w:tcPr>
            <w:tcW w:type="dxa" w:w="1701"/>
            <w:shd w:val="clear" w:color="auto" w:fill="F8FAFC"/>
          </w:tcPr>
          <w:p>
            <w:pPr>
              <w:jc w:val="left"/>
            </w:pPr>
            <w:r/>
            <w:r>
              <w:rPr>
                <w:b w:val="0"/>
                <w:i w:val="0"/>
                <w:sz w:val="18"/>
              </w:rPr>
              <w:t>€2,950</w:t>
            </w:r>
          </w:p>
        </w:tc>
        <w:tc>
          <w:tcPr>
            <w:tcW w:type="dxa" w:w="1701"/>
            <w:shd w:val="clear" w:color="auto" w:fill="F8FAFC"/>
          </w:tcPr>
          <w:p>
            <w:pPr>
              <w:jc w:val="left"/>
            </w:pPr>
            <w:r/>
            <w:r>
              <w:rPr>
                <w:b w:val="0"/>
                <w:i w:val="0"/>
                <w:sz w:val="18"/>
              </w:rPr>
              <w:t>€2,311</w:t>
            </w:r>
          </w:p>
        </w:tc>
        <w:tc>
          <w:tcPr>
            <w:tcW w:type="dxa" w:w="1701"/>
            <w:shd w:val="clear" w:color="auto" w:fill="F8FAFC"/>
          </w:tcPr>
          <w:p>
            <w:pPr>
              <w:jc w:val="left"/>
            </w:pPr>
            <w:r/>
            <w:r>
              <w:rPr>
                <w:b w:val="0"/>
                <w:i w:val="0"/>
                <w:sz w:val="18"/>
              </w:rPr>
              <w:t>+27.7%</w:t>
            </w:r>
          </w:p>
        </w:tc>
        <w:tc>
          <w:tcPr>
            <w:tcW w:type="dxa" w:w="3118"/>
            <w:shd w:val="clear" w:color="auto" w:fill="F8FAFC"/>
          </w:tcPr>
          <w:p>
            <w:pPr>
              <w:jc w:val="left"/>
            </w:pPr>
            <w:r/>
            <w:r>
              <w:rPr>
                <w:b w:val="0"/>
                <w:i w:val="0"/>
                <w:sz w:val="18"/>
              </w:rPr>
              <w:t>Most liquid asset class; fastest to sell</w:t>
            </w:r>
          </w:p>
        </w:tc>
      </w:tr>
      <w:tr>
        <w:tc>
          <w:tcPr>
            <w:tcW w:type="dxa" w:w="1984"/>
            <w:shd w:val="clear" w:color="auto" w:fill="FFFFFF"/>
          </w:tcPr>
          <w:p>
            <w:pPr>
              <w:jc w:val="left"/>
            </w:pPr>
            <w:r/>
            <w:r>
              <w:rPr>
                <w:b w:val="0"/>
                <w:i w:val="0"/>
                <w:sz w:val="18"/>
              </w:rPr>
              <w:t>Penthouse</w:t>
            </w:r>
          </w:p>
        </w:tc>
        <w:tc>
          <w:tcPr>
            <w:tcW w:type="dxa" w:w="1984"/>
            <w:shd w:val="clear" w:color="auto" w:fill="FFFFFF"/>
          </w:tcPr>
          <w:p>
            <w:pPr>
              <w:jc w:val="left"/>
            </w:pPr>
            <w:r/>
            <w:r>
              <w:rPr>
                <w:b w:val="0"/>
                <w:i w:val="0"/>
                <w:sz w:val="18"/>
              </w:rPr>
              <w:t>Ático</w:t>
            </w:r>
          </w:p>
        </w:tc>
        <w:tc>
          <w:tcPr>
            <w:tcW w:type="dxa" w:w="1701"/>
            <w:shd w:val="clear" w:color="auto" w:fill="FFFFFF"/>
          </w:tcPr>
          <w:p>
            <w:pPr>
              <w:jc w:val="left"/>
            </w:pPr>
            <w:r/>
            <w:r>
              <w:rPr>
                <w:b w:val="0"/>
                <w:i w:val="0"/>
                <w:sz w:val="18"/>
              </w:rPr>
              <w:t>€3,800–5,500</w:t>
            </w:r>
          </w:p>
        </w:tc>
        <w:tc>
          <w:tcPr>
            <w:tcW w:type="dxa" w:w="1701"/>
            <w:shd w:val="clear" w:color="auto" w:fill="FFFFFF"/>
          </w:tcPr>
          <w:p>
            <w:pPr>
              <w:jc w:val="left"/>
            </w:pPr>
            <w:r/>
            <w:r>
              <w:rPr>
                <w:b w:val="0"/>
                <w:i w:val="0"/>
                <w:sz w:val="18"/>
              </w:rPr>
              <w:t>€2,900</w:t>
            </w:r>
          </w:p>
        </w:tc>
        <w:tc>
          <w:tcPr>
            <w:tcW w:type="dxa" w:w="1701"/>
            <w:shd w:val="clear" w:color="auto" w:fill="FFFFFF"/>
          </w:tcPr>
          <w:p>
            <w:pPr>
              <w:jc w:val="left"/>
            </w:pPr>
            <w:r/>
            <w:r>
              <w:rPr>
                <w:b w:val="0"/>
                <w:i w:val="0"/>
                <w:sz w:val="18"/>
              </w:rPr>
              <w:t>+30–90%</w:t>
            </w:r>
          </w:p>
        </w:tc>
        <w:tc>
          <w:tcPr>
            <w:tcW w:type="dxa" w:w="3118"/>
            <w:shd w:val="clear" w:color="auto" w:fill="FFFFFF"/>
          </w:tcPr>
          <w:p>
            <w:pPr>
              <w:jc w:val="left"/>
            </w:pPr>
            <w:r/>
            <w:r>
              <w:rPr>
                <w:b w:val="0"/>
                <w:i w:val="0"/>
                <w:sz w:val="18"/>
              </w:rPr>
              <w:t>Terrace size is a multiplier; views command 20%+ premium</w:t>
            </w:r>
          </w:p>
        </w:tc>
      </w:tr>
      <w:tr>
        <w:tc>
          <w:tcPr>
            <w:tcW w:type="dxa" w:w="1984"/>
            <w:shd w:val="clear" w:color="auto" w:fill="F8FAFC"/>
          </w:tcPr>
          <w:p>
            <w:pPr>
              <w:jc w:val="left"/>
            </w:pPr>
            <w:r/>
            <w:r>
              <w:rPr>
                <w:b w:val="0"/>
                <w:i w:val="0"/>
                <w:sz w:val="18"/>
              </w:rPr>
              <w:t>Townhouse</w:t>
            </w:r>
          </w:p>
        </w:tc>
        <w:tc>
          <w:tcPr>
            <w:tcW w:type="dxa" w:w="1984"/>
            <w:shd w:val="clear" w:color="auto" w:fill="F8FAFC"/>
          </w:tcPr>
          <w:p>
            <w:pPr>
              <w:jc w:val="left"/>
            </w:pPr>
            <w:r/>
            <w:r>
              <w:rPr>
                <w:b w:val="0"/>
                <w:i w:val="0"/>
                <w:sz w:val="18"/>
              </w:rPr>
              <w:t>Adosado / Casa adosada</w:t>
            </w:r>
          </w:p>
        </w:tc>
        <w:tc>
          <w:tcPr>
            <w:tcW w:type="dxa" w:w="1701"/>
            <w:shd w:val="clear" w:color="auto" w:fill="F8FAFC"/>
          </w:tcPr>
          <w:p>
            <w:pPr>
              <w:jc w:val="left"/>
            </w:pPr>
            <w:r/>
            <w:r>
              <w:rPr>
                <w:b w:val="0"/>
                <w:i w:val="0"/>
                <w:sz w:val="18"/>
              </w:rPr>
              <w:t>€2,400</w:t>
            </w:r>
          </w:p>
        </w:tc>
        <w:tc>
          <w:tcPr>
            <w:tcW w:type="dxa" w:w="1701"/>
            <w:shd w:val="clear" w:color="auto" w:fill="F8FAFC"/>
          </w:tcPr>
          <w:p>
            <w:pPr>
              <w:jc w:val="left"/>
            </w:pPr>
            <w:r/>
            <w:r>
              <w:rPr>
                <w:b w:val="0"/>
                <w:i w:val="0"/>
                <w:sz w:val="18"/>
              </w:rPr>
              <w:t>€1,950</w:t>
            </w:r>
          </w:p>
        </w:tc>
        <w:tc>
          <w:tcPr>
            <w:tcW w:type="dxa" w:w="1701"/>
            <w:shd w:val="clear" w:color="auto" w:fill="F8FAFC"/>
          </w:tcPr>
          <w:p>
            <w:pPr>
              <w:jc w:val="left"/>
            </w:pPr>
            <w:r/>
            <w:r>
              <w:rPr>
                <w:b w:val="0"/>
                <w:i w:val="0"/>
                <w:sz w:val="18"/>
              </w:rPr>
              <w:t>+23%</w:t>
            </w:r>
          </w:p>
        </w:tc>
        <w:tc>
          <w:tcPr>
            <w:tcW w:type="dxa" w:w="3118"/>
            <w:shd w:val="clear" w:color="auto" w:fill="F8FAFC"/>
          </w:tcPr>
          <w:p>
            <w:pPr>
              <w:jc w:val="left"/>
            </w:pPr>
            <w:r/>
            <w:r>
              <w:rPr>
                <w:b w:val="0"/>
                <w:i w:val="0"/>
                <w:sz w:val="18"/>
              </w:rPr>
              <w:t>Popular with families; community fees lower than apartments</w:t>
            </w:r>
          </w:p>
        </w:tc>
      </w:tr>
      <w:tr>
        <w:tc>
          <w:tcPr>
            <w:tcW w:type="dxa" w:w="1984"/>
            <w:shd w:val="clear" w:color="auto" w:fill="FFFFFF"/>
          </w:tcPr>
          <w:p>
            <w:pPr>
              <w:jc w:val="left"/>
            </w:pPr>
            <w:r/>
            <w:r>
              <w:rPr>
                <w:b w:val="0"/>
                <w:i w:val="0"/>
                <w:sz w:val="18"/>
              </w:rPr>
              <w:t>Detached villa</w:t>
            </w:r>
          </w:p>
        </w:tc>
        <w:tc>
          <w:tcPr>
            <w:tcW w:type="dxa" w:w="1984"/>
            <w:shd w:val="clear" w:color="auto" w:fill="FFFFFF"/>
          </w:tcPr>
          <w:p>
            <w:pPr>
              <w:jc w:val="left"/>
            </w:pPr>
            <w:r/>
            <w:r>
              <w:rPr>
                <w:b w:val="0"/>
                <w:i w:val="0"/>
                <w:sz w:val="18"/>
              </w:rPr>
              <w:t>Chalet / Villa independiente</w:t>
            </w:r>
          </w:p>
        </w:tc>
        <w:tc>
          <w:tcPr>
            <w:tcW w:type="dxa" w:w="1701"/>
            <w:shd w:val="clear" w:color="auto" w:fill="FFFFFF"/>
          </w:tcPr>
          <w:p>
            <w:pPr>
              <w:jc w:val="left"/>
            </w:pPr>
            <w:r/>
            <w:r>
              <w:rPr>
                <w:b w:val="0"/>
                <w:i w:val="0"/>
                <w:sz w:val="18"/>
              </w:rPr>
              <w:t>€3,500–8,000+</w:t>
            </w:r>
          </w:p>
        </w:tc>
        <w:tc>
          <w:tcPr>
            <w:tcW w:type="dxa" w:w="1701"/>
            <w:shd w:val="clear" w:color="auto" w:fill="FFFFFF"/>
          </w:tcPr>
          <w:p>
            <w:pPr>
              <w:jc w:val="left"/>
            </w:pPr>
            <w:r/>
            <w:r>
              <w:rPr>
                <w:b w:val="0"/>
                <w:i w:val="0"/>
                <w:sz w:val="18"/>
              </w:rPr>
              <w:t>€2,600</w:t>
            </w:r>
          </w:p>
        </w:tc>
        <w:tc>
          <w:tcPr>
            <w:tcW w:type="dxa" w:w="1701"/>
            <w:shd w:val="clear" w:color="auto" w:fill="FFFFFF"/>
          </w:tcPr>
          <w:p>
            <w:pPr>
              <w:jc w:val="left"/>
            </w:pPr>
            <w:r/>
            <w:r>
              <w:rPr>
                <w:b w:val="0"/>
                <w:i w:val="0"/>
                <w:sz w:val="18"/>
              </w:rPr>
              <w:t>+35–200%</w:t>
            </w:r>
          </w:p>
        </w:tc>
        <w:tc>
          <w:tcPr>
            <w:tcW w:type="dxa" w:w="3118"/>
            <w:shd w:val="clear" w:color="auto" w:fill="FFFFFF"/>
          </w:tcPr>
          <w:p>
            <w:pPr>
              <w:jc w:val="left"/>
            </w:pPr>
            <w:r/>
            <w:r>
              <w:rPr>
                <w:b w:val="0"/>
                <w:i w:val="0"/>
                <w:sz w:val="18"/>
              </w:rPr>
              <w:t>Wide range — plot size, pool, privacy are key value drivers</w:t>
            </w:r>
          </w:p>
        </w:tc>
      </w:tr>
      <w:tr>
        <w:tc>
          <w:tcPr>
            <w:tcW w:type="dxa" w:w="1984"/>
            <w:shd w:val="clear" w:color="auto" w:fill="F8FAFC"/>
          </w:tcPr>
          <w:p>
            <w:pPr>
              <w:jc w:val="left"/>
            </w:pPr>
            <w:r/>
            <w:r>
              <w:rPr>
                <w:b w:val="0"/>
                <w:i w:val="0"/>
                <w:sz w:val="18"/>
              </w:rPr>
              <w:t>Ground floor + garden</w:t>
            </w:r>
          </w:p>
        </w:tc>
        <w:tc>
          <w:tcPr>
            <w:tcW w:type="dxa" w:w="1984"/>
            <w:shd w:val="clear" w:color="auto" w:fill="F8FAFC"/>
          </w:tcPr>
          <w:p>
            <w:pPr>
              <w:jc w:val="left"/>
            </w:pPr>
            <w:r/>
            <w:r>
              <w:rPr>
                <w:b w:val="0"/>
                <w:i w:val="0"/>
                <w:sz w:val="18"/>
              </w:rPr>
              <w:t>Bajo con jardín</w:t>
            </w:r>
          </w:p>
        </w:tc>
        <w:tc>
          <w:tcPr>
            <w:tcW w:type="dxa" w:w="1701"/>
            <w:shd w:val="clear" w:color="auto" w:fill="F8FAFC"/>
          </w:tcPr>
          <w:p>
            <w:pPr>
              <w:jc w:val="left"/>
            </w:pPr>
            <w:r/>
            <w:r>
              <w:rPr>
                <w:b w:val="0"/>
                <w:i w:val="0"/>
                <w:sz w:val="18"/>
              </w:rPr>
              <w:t>€2,200–2,600</w:t>
            </w:r>
          </w:p>
        </w:tc>
        <w:tc>
          <w:tcPr>
            <w:tcW w:type="dxa" w:w="1701"/>
            <w:shd w:val="clear" w:color="auto" w:fill="F8FAFC"/>
          </w:tcPr>
          <w:p>
            <w:pPr>
              <w:jc w:val="left"/>
            </w:pPr>
            <w:r/>
            <w:r>
              <w:rPr>
                <w:b w:val="0"/>
                <w:i w:val="0"/>
                <w:sz w:val="18"/>
              </w:rPr>
              <w:t>€1,900</w:t>
            </w:r>
          </w:p>
        </w:tc>
        <w:tc>
          <w:tcPr>
            <w:tcW w:type="dxa" w:w="1701"/>
            <w:shd w:val="clear" w:color="auto" w:fill="F8FAFC"/>
          </w:tcPr>
          <w:p>
            <w:pPr>
              <w:jc w:val="left"/>
            </w:pPr>
            <w:r/>
            <w:r>
              <w:rPr>
                <w:b w:val="0"/>
                <w:i w:val="0"/>
                <w:sz w:val="18"/>
              </w:rPr>
              <w:t>+15%</w:t>
            </w:r>
          </w:p>
        </w:tc>
        <w:tc>
          <w:tcPr>
            <w:tcW w:type="dxa" w:w="3118"/>
            <w:shd w:val="clear" w:color="auto" w:fill="F8FAFC"/>
          </w:tcPr>
          <w:p>
            <w:pPr>
              <w:jc w:val="left"/>
            </w:pPr>
            <w:r/>
            <w:r>
              <w:rPr>
                <w:b w:val="0"/>
                <w:i w:val="0"/>
                <w:sz w:val="18"/>
              </w:rPr>
              <w:t>Discount vs. upper floors in city; premium on coast (private garden)</w:t>
            </w:r>
          </w:p>
        </w:tc>
      </w:tr>
      <w:tr>
        <w:tc>
          <w:tcPr>
            <w:tcW w:type="dxa" w:w="1984"/>
            <w:shd w:val="clear" w:color="auto" w:fill="FFFFFF"/>
          </w:tcPr>
          <w:p>
            <w:pPr>
              <w:jc w:val="left"/>
            </w:pPr>
            <w:r/>
            <w:r>
              <w:rPr>
                <w:b w:val="0"/>
                <w:i w:val="0"/>
                <w:sz w:val="18"/>
              </w:rPr>
              <w:t>New build apartment</w:t>
            </w:r>
          </w:p>
        </w:tc>
        <w:tc>
          <w:tcPr>
            <w:tcW w:type="dxa" w:w="1984"/>
            <w:shd w:val="clear" w:color="auto" w:fill="FFFFFF"/>
          </w:tcPr>
          <w:p>
            <w:pPr>
              <w:jc w:val="left"/>
            </w:pPr>
            <w:r/>
            <w:r>
              <w:rPr>
                <w:b w:val="0"/>
                <w:i w:val="0"/>
                <w:sz w:val="18"/>
              </w:rPr>
              <w:t>Obra nueva / Piso de nueva construcción</w:t>
            </w:r>
          </w:p>
        </w:tc>
        <w:tc>
          <w:tcPr>
            <w:tcW w:type="dxa" w:w="1701"/>
            <w:shd w:val="clear" w:color="auto" w:fill="FFFFFF"/>
          </w:tcPr>
          <w:p>
            <w:pPr>
              <w:jc w:val="left"/>
            </w:pPr>
            <w:r/>
            <w:r>
              <w:rPr>
                <w:b w:val="0"/>
                <w:i w:val="0"/>
                <w:sz w:val="18"/>
              </w:rPr>
              <w:t>€3,500–4,500</w:t>
            </w:r>
          </w:p>
        </w:tc>
        <w:tc>
          <w:tcPr>
            <w:tcW w:type="dxa" w:w="1701"/>
            <w:shd w:val="clear" w:color="auto" w:fill="FFFFFF"/>
          </w:tcPr>
          <w:p>
            <w:pPr>
              <w:jc w:val="left"/>
            </w:pPr>
            <w:r/>
            <w:r>
              <w:rPr>
                <w:b w:val="0"/>
                <w:i w:val="0"/>
                <w:sz w:val="18"/>
              </w:rPr>
              <w:t>€2,800</w:t>
            </w:r>
          </w:p>
        </w:tc>
        <w:tc>
          <w:tcPr>
            <w:tcW w:type="dxa" w:w="1701"/>
            <w:shd w:val="clear" w:color="auto" w:fill="FFFFFF"/>
          </w:tcPr>
          <w:p>
            <w:pPr>
              <w:jc w:val="left"/>
            </w:pPr>
            <w:r/>
            <w:r>
              <w:rPr>
                <w:b w:val="0"/>
                <w:i w:val="0"/>
                <w:sz w:val="18"/>
              </w:rPr>
              <w:t>+25–60%</w:t>
            </w:r>
          </w:p>
        </w:tc>
        <w:tc>
          <w:tcPr>
            <w:tcW w:type="dxa" w:w="3118"/>
            <w:shd w:val="clear" w:color="auto" w:fill="FFFFFF"/>
          </w:tcPr>
          <w:p>
            <w:pPr>
              <w:jc w:val="left"/>
            </w:pPr>
            <w:r/>
            <w:r>
              <w:rPr>
                <w:b w:val="0"/>
                <w:i w:val="0"/>
                <w:sz w:val="18"/>
              </w:rPr>
              <w:t>Pays IVA 10% (not ITP 7%); higher quality; delivery risk</w:t>
            </w:r>
          </w:p>
        </w:tc>
      </w:tr>
      <w:tr>
        <w:tc>
          <w:tcPr>
            <w:tcW w:type="dxa" w:w="1984"/>
            <w:shd w:val="clear" w:color="auto" w:fill="F8FAFC"/>
          </w:tcPr>
          <w:p>
            <w:pPr>
              <w:jc w:val="left"/>
            </w:pPr>
            <w:r/>
            <w:r>
              <w:rPr>
                <w:b w:val="0"/>
                <w:i w:val="0"/>
                <w:sz w:val="18"/>
              </w:rPr>
              <w:t>Commercial premises</w:t>
            </w:r>
          </w:p>
        </w:tc>
        <w:tc>
          <w:tcPr>
            <w:tcW w:type="dxa" w:w="1984"/>
            <w:shd w:val="clear" w:color="auto" w:fill="F8FAFC"/>
          </w:tcPr>
          <w:p>
            <w:pPr>
              <w:jc w:val="left"/>
            </w:pPr>
            <w:r/>
            <w:r>
              <w:rPr>
                <w:b w:val="0"/>
                <w:i w:val="0"/>
                <w:sz w:val="18"/>
              </w:rPr>
              <w:t>Local comercial</w:t>
            </w:r>
          </w:p>
        </w:tc>
        <w:tc>
          <w:tcPr>
            <w:tcW w:type="dxa" w:w="1701"/>
            <w:shd w:val="clear" w:color="auto" w:fill="F8FAFC"/>
          </w:tcPr>
          <w:p>
            <w:pPr>
              <w:jc w:val="left"/>
            </w:pPr>
            <w:r/>
            <w:r>
              <w:rPr>
                <w:b w:val="0"/>
                <w:i w:val="0"/>
                <w:sz w:val="18"/>
              </w:rPr>
              <w:t>€1,800–3,500</w:t>
            </w:r>
          </w:p>
        </w:tc>
        <w:tc>
          <w:tcPr>
            <w:tcW w:type="dxa" w:w="1701"/>
            <w:shd w:val="clear" w:color="auto" w:fill="F8FAFC"/>
          </w:tcPr>
          <w:p>
            <w:pPr>
              <w:jc w:val="left"/>
            </w:pPr>
            <w:r/>
            <w:r>
              <w:rPr>
                <w:b w:val="0"/>
                <w:i w:val="0"/>
                <w:sz w:val="18"/>
              </w:rPr>
              <w:t>€1,600</w:t>
            </w:r>
          </w:p>
        </w:tc>
        <w:tc>
          <w:tcPr>
            <w:tcW w:type="dxa" w:w="1701"/>
            <w:shd w:val="clear" w:color="auto" w:fill="F8FAFC"/>
          </w:tcPr>
          <w:p>
            <w:pPr>
              <w:jc w:val="left"/>
            </w:pPr>
            <w:r/>
            <w:r>
              <w:rPr>
                <w:b w:val="0"/>
                <w:i w:val="0"/>
                <w:sz w:val="18"/>
              </w:rPr>
              <w:t>+12–120%</w:t>
            </w:r>
          </w:p>
        </w:tc>
        <w:tc>
          <w:tcPr>
            <w:tcW w:type="dxa" w:w="3118"/>
            <w:shd w:val="clear" w:color="auto" w:fill="F8FAFC"/>
          </w:tcPr>
          <w:p>
            <w:pPr>
              <w:jc w:val="left"/>
            </w:pPr>
            <w:r/>
            <w:r>
              <w:rPr>
                <w:b w:val="0"/>
                <w:i w:val="0"/>
                <w:sz w:val="18"/>
              </w:rPr>
              <w:t>High variance; location is everything; lower liquidity</w:t>
            </w:r>
          </w:p>
        </w:tc>
      </w:tr>
      <w:tr>
        <w:tc>
          <w:tcPr>
            <w:tcW w:type="dxa" w:w="1984"/>
            <w:shd w:val="clear" w:color="auto" w:fill="FFFFFF"/>
          </w:tcPr>
          <w:p>
            <w:pPr>
              <w:jc w:val="left"/>
            </w:pPr>
            <w:r/>
            <w:r>
              <w:rPr>
                <w:b w:val="0"/>
                <w:i w:val="0"/>
                <w:sz w:val="18"/>
              </w:rPr>
              <w:t>Garage space</w:t>
            </w:r>
          </w:p>
        </w:tc>
        <w:tc>
          <w:tcPr>
            <w:tcW w:type="dxa" w:w="1984"/>
            <w:shd w:val="clear" w:color="auto" w:fill="FFFFFF"/>
          </w:tcPr>
          <w:p>
            <w:pPr>
              <w:jc w:val="left"/>
            </w:pPr>
            <w:r/>
            <w:r>
              <w:rPr>
                <w:b w:val="0"/>
                <w:i w:val="0"/>
                <w:sz w:val="18"/>
              </w:rPr>
              <w:t>Plaza de garaje</w:t>
            </w:r>
          </w:p>
        </w:tc>
        <w:tc>
          <w:tcPr>
            <w:tcW w:type="dxa" w:w="1701"/>
            <w:shd w:val="clear" w:color="auto" w:fill="FFFFFF"/>
          </w:tcPr>
          <w:p>
            <w:pPr>
              <w:jc w:val="left"/>
            </w:pPr>
            <w:r/>
            <w:r>
              <w:rPr>
                <w:b w:val="0"/>
                <w:i w:val="0"/>
                <w:sz w:val="18"/>
              </w:rPr>
              <w:t>€15k–€35k (unit)</w:t>
            </w:r>
          </w:p>
        </w:tc>
        <w:tc>
          <w:tcPr>
            <w:tcW w:type="dxa" w:w="1701"/>
            <w:shd w:val="clear" w:color="auto" w:fill="FFFFFF"/>
          </w:tcPr>
          <w:p>
            <w:pPr>
              <w:jc w:val="left"/>
            </w:pPr>
            <w:r/>
            <w:r>
              <w:rPr>
                <w:b w:val="0"/>
                <w:i w:val="0"/>
                <w:sz w:val="18"/>
              </w:rPr>
              <w:t>€10k–€20k</w:t>
            </w:r>
          </w:p>
        </w:tc>
        <w:tc>
          <w:tcPr>
            <w:tcW w:type="dxa" w:w="1701"/>
            <w:shd w:val="clear" w:color="auto" w:fill="FFFFFF"/>
          </w:tcPr>
          <w:p>
            <w:pPr>
              <w:jc w:val="left"/>
            </w:pPr>
            <w:r/>
            <w:r>
              <w:rPr>
                <w:b w:val="0"/>
                <w:i w:val="0"/>
                <w:sz w:val="18"/>
              </w:rPr>
              <w:t>+50–75%</w:t>
            </w:r>
          </w:p>
        </w:tc>
        <w:tc>
          <w:tcPr>
            <w:tcW w:type="dxa" w:w="3118"/>
            <w:shd w:val="clear" w:color="auto" w:fill="FFFFFF"/>
          </w:tcPr>
          <w:p>
            <w:pPr>
              <w:jc w:val="left"/>
            </w:pPr>
            <w:r/>
            <w:r>
              <w:rPr>
                <w:b w:val="0"/>
                <w:i w:val="0"/>
                <w:sz w:val="18"/>
              </w:rPr>
              <w:t>Sold separately; high demand in Málaga city centre</w:t>
            </w:r>
          </w:p>
        </w:tc>
      </w:tr>
    </w:tbl>
    <w:p/>
    <w:p>
      <w:pPr>
        <w:spacing w:before="160" w:after="40"/>
      </w:pPr>
      <w:r>
        <w:rPr>
          <w:b/>
          <w:color w:val="0A1628"/>
          <w:sz w:val="22"/>
        </w:rPr>
        <w:t>Seasonal Dynamics: When to List, When to Buy</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417"/>
            <w:shd w:val="clear" w:color="auto" w:fill="0A1628"/>
          </w:tcPr>
          <w:p>
            <w:pPr>
              <w:jc w:val="left"/>
            </w:pPr>
            <w:r/>
            <w:r>
              <w:rPr>
                <w:b/>
                <w:i w:val="0"/>
                <w:color w:val="FFFFFF"/>
                <w:sz w:val="18"/>
              </w:rPr>
              <w:t>Quarter</w:t>
            </w:r>
          </w:p>
        </w:tc>
        <w:tc>
          <w:tcPr>
            <w:tcW w:type="dxa" w:w="1417"/>
            <w:shd w:val="clear" w:color="auto" w:fill="0A1628"/>
          </w:tcPr>
          <w:p>
            <w:pPr>
              <w:jc w:val="left"/>
            </w:pPr>
            <w:r/>
            <w:r>
              <w:rPr>
                <w:b/>
                <w:i w:val="0"/>
                <w:color w:val="FFFFFF"/>
                <w:sz w:val="18"/>
              </w:rPr>
              <w:t>Season</w:t>
            </w:r>
          </w:p>
        </w:tc>
        <w:tc>
          <w:tcPr>
            <w:tcW w:type="dxa" w:w="2268"/>
            <w:shd w:val="clear" w:color="auto" w:fill="0A1628"/>
          </w:tcPr>
          <w:p>
            <w:pPr>
              <w:jc w:val="left"/>
            </w:pPr>
            <w:r/>
            <w:r>
              <w:rPr>
                <w:b/>
                <w:i w:val="0"/>
                <w:color w:val="FFFFFF"/>
                <w:sz w:val="18"/>
              </w:rPr>
              <w:t>Market Activity</w:t>
            </w:r>
          </w:p>
        </w:tc>
        <w:tc>
          <w:tcPr>
            <w:tcW w:type="dxa" w:w="1984"/>
            <w:shd w:val="clear" w:color="auto" w:fill="0A1628"/>
          </w:tcPr>
          <w:p>
            <w:pPr>
              <w:jc w:val="left"/>
            </w:pPr>
            <w:r/>
            <w:r>
              <w:rPr>
                <w:b/>
                <w:i w:val="0"/>
                <w:color w:val="FFFFFF"/>
                <w:sz w:val="18"/>
              </w:rPr>
              <w:t>For Sellers</w:t>
            </w:r>
          </w:p>
        </w:tc>
        <w:tc>
          <w:tcPr>
            <w:tcW w:type="dxa" w:w="1984"/>
            <w:shd w:val="clear" w:color="auto" w:fill="0A1628"/>
          </w:tcPr>
          <w:p>
            <w:pPr>
              <w:jc w:val="left"/>
            </w:pPr>
            <w:r/>
            <w:r>
              <w:rPr>
                <w:b/>
                <w:i w:val="0"/>
                <w:color w:val="FFFFFF"/>
                <w:sz w:val="18"/>
              </w:rPr>
              <w:t>For Buyers</w:t>
            </w:r>
          </w:p>
        </w:tc>
        <w:tc>
          <w:tcPr>
            <w:tcW w:type="dxa" w:w="2835"/>
            <w:shd w:val="clear" w:color="auto" w:fill="0A1628"/>
          </w:tcPr>
          <w:p>
            <w:pPr>
              <w:jc w:val="left"/>
            </w:pPr>
            <w:r/>
            <w:r>
              <w:rPr>
                <w:b/>
                <w:i w:val="0"/>
                <w:color w:val="FFFFFF"/>
                <w:sz w:val="18"/>
              </w:rPr>
              <w:t>Costa del Sol Specifics</w:t>
            </w:r>
          </w:p>
        </w:tc>
      </w:tr>
      <w:tr>
        <w:tc>
          <w:tcPr>
            <w:tcW w:type="dxa" w:w="1417"/>
            <w:shd w:val="clear" w:color="auto" w:fill="F8FAFC"/>
          </w:tcPr>
          <w:p>
            <w:pPr>
              <w:jc w:val="left"/>
            </w:pPr>
            <w:r/>
            <w:r>
              <w:rPr>
                <w:b w:val="0"/>
                <w:i w:val="0"/>
                <w:sz w:val="18"/>
              </w:rPr>
              <w:t>Q1 (Jan–Mar)</w:t>
            </w:r>
          </w:p>
        </w:tc>
        <w:tc>
          <w:tcPr>
            <w:tcW w:type="dxa" w:w="1417"/>
            <w:shd w:val="clear" w:color="auto" w:fill="F8FAFC"/>
          </w:tcPr>
          <w:p>
            <w:pPr>
              <w:jc w:val="left"/>
            </w:pPr>
            <w:r/>
            <w:r>
              <w:rPr>
                <w:b w:val="0"/>
                <w:i w:val="0"/>
                <w:sz w:val="18"/>
              </w:rPr>
              <w:t>Winter warm-up</w:t>
            </w:r>
          </w:p>
        </w:tc>
        <w:tc>
          <w:tcPr>
            <w:tcW w:type="dxa" w:w="2268"/>
            <w:shd w:val="clear" w:color="auto" w:fill="F8FAFC"/>
          </w:tcPr>
          <w:p>
            <w:pPr>
              <w:jc w:val="left"/>
            </w:pPr>
            <w:r/>
            <w:r>
              <w:rPr>
                <w:b w:val="0"/>
                <w:i w:val="0"/>
                <w:sz w:val="18"/>
              </w:rPr>
              <w:t>Supply low, motivated buyers return after holidays</w:t>
            </w:r>
          </w:p>
        </w:tc>
        <w:tc>
          <w:tcPr>
            <w:tcW w:type="dxa" w:w="1984"/>
            <w:shd w:val="clear" w:color="auto" w:fill="F8FAFC"/>
          </w:tcPr>
          <w:p>
            <w:pPr>
              <w:jc w:val="left"/>
            </w:pPr>
            <w:r/>
            <w:r>
              <w:rPr>
                <w:b w:val="0"/>
                <w:i w:val="0"/>
                <w:sz w:val="18"/>
              </w:rPr>
              <w:t>Good time to list — less competition from other sellers</w:t>
            </w:r>
          </w:p>
        </w:tc>
        <w:tc>
          <w:tcPr>
            <w:tcW w:type="dxa" w:w="1984"/>
            <w:shd w:val="clear" w:color="auto" w:fill="F8FAFC"/>
          </w:tcPr>
          <w:p>
            <w:pPr>
              <w:jc w:val="left"/>
            </w:pPr>
            <w:r/>
            <w:r>
              <w:rPr>
                <w:b w:val="0"/>
                <w:i w:val="0"/>
                <w:sz w:val="18"/>
              </w:rPr>
              <w:t>Motivated buyers; less choice drives stronger offers</w:t>
            </w:r>
          </w:p>
        </w:tc>
        <w:tc>
          <w:tcPr>
            <w:tcW w:type="dxa" w:w="2835"/>
            <w:shd w:val="clear" w:color="auto" w:fill="F8FAFC"/>
          </w:tcPr>
          <w:p>
            <w:pPr>
              <w:jc w:val="left"/>
            </w:pPr>
            <w:r/>
            <w:r>
              <w:rPr>
                <w:b w:val="0"/>
                <w:i w:val="0"/>
                <w:sz w:val="18"/>
              </w:rPr>
              <w:t>Foreign buyers from UK/Germany research in Jan; view in Feb–Mar</w:t>
            </w:r>
          </w:p>
        </w:tc>
      </w:tr>
      <w:tr>
        <w:tc>
          <w:tcPr>
            <w:tcW w:type="dxa" w:w="1417"/>
            <w:shd w:val="clear" w:color="auto" w:fill="FFFFFF"/>
          </w:tcPr>
          <w:p>
            <w:pPr>
              <w:jc w:val="left"/>
            </w:pPr>
            <w:r/>
            <w:r>
              <w:rPr>
                <w:b w:val="0"/>
                <w:i w:val="0"/>
                <w:sz w:val="18"/>
              </w:rPr>
              <w:t>Q2 (Apr–Jun)</w:t>
            </w:r>
          </w:p>
        </w:tc>
        <w:tc>
          <w:tcPr>
            <w:tcW w:type="dxa" w:w="1417"/>
            <w:shd w:val="clear" w:color="auto" w:fill="FFFFFF"/>
          </w:tcPr>
          <w:p>
            <w:pPr>
              <w:jc w:val="left"/>
            </w:pPr>
            <w:r/>
            <w:r>
              <w:rPr>
                <w:b w:val="0"/>
                <w:i w:val="0"/>
                <w:sz w:val="18"/>
              </w:rPr>
              <w:t>Peak season</w:t>
            </w:r>
          </w:p>
        </w:tc>
        <w:tc>
          <w:tcPr>
            <w:tcW w:type="dxa" w:w="2268"/>
            <w:shd w:val="clear" w:color="auto" w:fill="FFFFFF"/>
          </w:tcPr>
          <w:p>
            <w:pPr>
              <w:jc w:val="left"/>
            </w:pPr>
            <w:r/>
            <w:r>
              <w:rPr>
                <w:b w:val="0"/>
                <w:i w:val="0"/>
                <w:sz w:val="18"/>
              </w:rPr>
              <w:t>Highest viewings, most new listings, competitive offers</w:t>
            </w:r>
          </w:p>
        </w:tc>
        <w:tc>
          <w:tcPr>
            <w:tcW w:type="dxa" w:w="1984"/>
            <w:shd w:val="clear" w:color="auto" w:fill="FFFFFF"/>
          </w:tcPr>
          <w:p>
            <w:pPr>
              <w:jc w:val="left"/>
            </w:pPr>
            <w:r/>
            <w:r>
              <w:rPr>
                <w:b w:val="0"/>
                <w:i w:val="0"/>
                <w:sz w:val="18"/>
              </w:rPr>
              <w:t>Best time to list — maximum buyer pool</w:t>
            </w:r>
          </w:p>
        </w:tc>
        <w:tc>
          <w:tcPr>
            <w:tcW w:type="dxa" w:w="1984"/>
            <w:shd w:val="clear" w:color="auto" w:fill="FFFFFF"/>
          </w:tcPr>
          <w:p>
            <w:pPr>
              <w:jc w:val="left"/>
            </w:pPr>
            <w:r/>
            <w:r>
              <w:rPr>
                <w:b w:val="0"/>
                <w:i w:val="0"/>
                <w:sz w:val="18"/>
              </w:rPr>
              <w:t>Most choice but most competition from other buyers</w:t>
            </w:r>
          </w:p>
        </w:tc>
        <w:tc>
          <w:tcPr>
            <w:tcW w:type="dxa" w:w="2835"/>
            <w:shd w:val="clear" w:color="auto" w:fill="FFFFFF"/>
          </w:tcPr>
          <w:p>
            <w:pPr>
              <w:jc w:val="left"/>
            </w:pPr>
            <w:r/>
            <w:r>
              <w:rPr>
                <w:b w:val="0"/>
                <w:i w:val="0"/>
                <w:sz w:val="18"/>
              </w:rPr>
              <w:t>Easter triggers viewing surge; foreign buyers plan summer purchase</w:t>
            </w:r>
          </w:p>
        </w:tc>
      </w:tr>
      <w:tr>
        <w:tc>
          <w:tcPr>
            <w:tcW w:type="dxa" w:w="1417"/>
            <w:shd w:val="clear" w:color="auto" w:fill="F8FAFC"/>
          </w:tcPr>
          <w:p>
            <w:pPr>
              <w:jc w:val="left"/>
            </w:pPr>
            <w:r/>
            <w:r>
              <w:rPr>
                <w:b w:val="0"/>
                <w:i w:val="0"/>
                <w:sz w:val="18"/>
              </w:rPr>
              <w:t>Q3 (Jul–Aug)</w:t>
            </w:r>
          </w:p>
        </w:tc>
        <w:tc>
          <w:tcPr>
            <w:tcW w:type="dxa" w:w="1417"/>
            <w:shd w:val="clear" w:color="auto" w:fill="F8FAFC"/>
          </w:tcPr>
          <w:p>
            <w:pPr>
              <w:jc w:val="left"/>
            </w:pPr>
            <w:r/>
            <w:r>
              <w:rPr>
                <w:b w:val="0"/>
                <w:i w:val="0"/>
                <w:sz w:val="18"/>
              </w:rPr>
              <w:t>Summer divergence</w:t>
            </w:r>
          </w:p>
        </w:tc>
        <w:tc>
          <w:tcPr>
            <w:tcW w:type="dxa" w:w="2268"/>
            <w:shd w:val="clear" w:color="auto" w:fill="F8FAFC"/>
          </w:tcPr>
          <w:p>
            <w:pPr>
              <w:jc w:val="left"/>
            </w:pPr>
            <w:r/>
            <w:r>
              <w:rPr>
                <w:b w:val="0"/>
                <w:i w:val="0"/>
                <w:sz w:val="18"/>
              </w:rPr>
              <w:t>Domestic market slows; Costa del Sol accelerates</w:t>
            </w:r>
          </w:p>
        </w:tc>
        <w:tc>
          <w:tcPr>
            <w:tcW w:type="dxa" w:w="1984"/>
            <w:shd w:val="clear" w:color="auto" w:fill="F8FAFC"/>
          </w:tcPr>
          <w:p>
            <w:pPr>
              <w:jc w:val="left"/>
            </w:pPr>
            <w:r/>
            <w:r>
              <w:rPr>
                <w:b w:val="0"/>
                <w:i w:val="0"/>
                <w:sz w:val="18"/>
              </w:rPr>
              <w:t>Risky in cities — locals on holiday; less viewings</w:t>
            </w:r>
          </w:p>
        </w:tc>
        <w:tc>
          <w:tcPr>
            <w:tcW w:type="dxa" w:w="1984"/>
            <w:shd w:val="clear" w:color="auto" w:fill="F8FAFC"/>
          </w:tcPr>
          <w:p>
            <w:pPr>
              <w:jc w:val="left"/>
            </w:pPr>
            <w:r/>
            <w:r>
              <w:rPr>
                <w:b w:val="0"/>
                <w:i w:val="0"/>
                <w:sz w:val="18"/>
              </w:rPr>
              <w:t>Good for buyers in cities (less competition); difficult on coast</w:t>
            </w:r>
          </w:p>
        </w:tc>
        <w:tc>
          <w:tcPr>
            <w:tcW w:type="dxa" w:w="2835"/>
            <w:shd w:val="clear" w:color="auto" w:fill="F8FAFC"/>
          </w:tcPr>
          <w:p>
            <w:pPr>
              <w:jc w:val="left"/>
            </w:pPr>
            <w:r/>
            <w:r>
              <w:rPr>
                <w:b w:val="0"/>
                <w:i w:val="0"/>
                <w:sz w:val="18"/>
              </w:rPr>
              <w:t>INVERSE on Costa: foreign holiday buyers = peak demand Jul–Aug</w:t>
            </w:r>
          </w:p>
        </w:tc>
      </w:tr>
      <w:tr>
        <w:tc>
          <w:tcPr>
            <w:tcW w:type="dxa" w:w="1417"/>
            <w:shd w:val="clear" w:color="auto" w:fill="FFFFFF"/>
          </w:tcPr>
          <w:p>
            <w:pPr>
              <w:jc w:val="left"/>
            </w:pPr>
            <w:r/>
            <w:r>
              <w:rPr>
                <w:b w:val="0"/>
                <w:i w:val="0"/>
                <w:sz w:val="18"/>
              </w:rPr>
              <w:t>Q4 (Oct–Dec)</w:t>
            </w:r>
          </w:p>
        </w:tc>
        <w:tc>
          <w:tcPr>
            <w:tcW w:type="dxa" w:w="1417"/>
            <w:shd w:val="clear" w:color="auto" w:fill="FFFFFF"/>
          </w:tcPr>
          <w:p>
            <w:pPr>
              <w:jc w:val="left"/>
            </w:pPr>
            <w:r/>
            <w:r>
              <w:rPr>
                <w:b w:val="0"/>
                <w:i w:val="0"/>
                <w:sz w:val="18"/>
              </w:rPr>
              <w:t>Year-end push</w:t>
            </w:r>
          </w:p>
        </w:tc>
        <w:tc>
          <w:tcPr>
            <w:tcW w:type="dxa" w:w="2268"/>
            <w:shd w:val="clear" w:color="auto" w:fill="FFFFFF"/>
          </w:tcPr>
          <w:p>
            <w:pPr>
              <w:jc w:val="left"/>
            </w:pPr>
            <w:r/>
            <w:r>
              <w:rPr>
                <w:b w:val="0"/>
                <w:i w:val="0"/>
                <w:sz w:val="18"/>
              </w:rPr>
              <w:t>Motivated sellers accept lower prices to close before year-end</w:t>
            </w:r>
          </w:p>
        </w:tc>
        <w:tc>
          <w:tcPr>
            <w:tcW w:type="dxa" w:w="1984"/>
            <w:shd w:val="clear" w:color="auto" w:fill="FFFFFF"/>
          </w:tcPr>
          <w:p>
            <w:pPr>
              <w:jc w:val="left"/>
            </w:pPr>
            <w:r/>
            <w:r>
              <w:rPr>
                <w:b w:val="0"/>
                <w:i w:val="0"/>
                <w:sz w:val="18"/>
              </w:rPr>
              <w:t>Price pressure — motivated sellers compete</w:t>
            </w:r>
          </w:p>
        </w:tc>
        <w:tc>
          <w:tcPr>
            <w:tcW w:type="dxa" w:w="1984"/>
            <w:shd w:val="clear" w:color="auto" w:fill="FFFFFF"/>
          </w:tcPr>
          <w:p>
            <w:pPr>
              <w:jc w:val="left"/>
            </w:pPr>
            <w:r/>
            <w:r>
              <w:rPr>
                <w:b w:val="0"/>
                <w:i w:val="0"/>
                <w:sz w:val="18"/>
              </w:rPr>
              <w:t>Best negotiating leverage of the year</w:t>
            </w:r>
          </w:p>
        </w:tc>
        <w:tc>
          <w:tcPr>
            <w:tcW w:type="dxa" w:w="2835"/>
            <w:shd w:val="clear" w:color="auto" w:fill="FFFFFF"/>
          </w:tcPr>
          <w:p>
            <w:pPr>
              <w:jc w:val="left"/>
            </w:pPr>
            <w:r/>
            <w:r>
              <w:rPr>
                <w:b w:val="0"/>
                <w:i w:val="0"/>
                <w:sz w:val="18"/>
              </w:rPr>
              <w:t>Foreign buyers return post-summer; Oct–Nov strong for international</w:t>
            </w:r>
          </w:p>
        </w:tc>
      </w:tr>
    </w:tbl>
    <w:p/>
    <w:p>
      <w:pPr>
        <w:spacing w:after="80"/>
      </w:pPr>
      <w:r>
        <w:rPr>
          <w:b w:val="0"/>
          <w:i/>
          <w:color w:val="1E40AF"/>
          <w:sz w:val="20"/>
        </w:rPr>
        <w:t>Málaga exceptionalism: The Costa del Sol runs almost inverse to the national seasonal pattern. July–August is peak for foreign buyers (holiday viewings), whereas Madrid and Barcelona nearly shut down. This is why Málaga agents must be active in August when mainland agencies take vacaciones.</w:t>
      </w:r>
    </w:p>
    <w:p>
      <w:pPr>
        <w:spacing w:before="160" w:after="40"/>
      </w:pPr>
      <w:r>
        <w:rPr>
          <w:b/>
          <w:color w:val="0A1628"/>
          <w:sz w:val="22"/>
        </w:rPr>
        <w:t>Off-Plan &amp; New Build: Different Rules, Different Dynamics</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0A1628"/>
          </w:tcPr>
          <w:p>
            <w:pPr>
              <w:jc w:val="left"/>
            </w:pPr>
            <w:r/>
            <w:r>
              <w:rPr>
                <w:b/>
                <w:i w:val="0"/>
                <w:color w:val="FFFFFF"/>
                <w:sz w:val="18"/>
              </w:rPr>
              <w:t>Feature</w:t>
            </w:r>
          </w:p>
        </w:tc>
        <w:tc>
          <w:tcPr>
            <w:tcW w:type="dxa" w:w="2835"/>
            <w:shd w:val="clear" w:color="auto" w:fill="0A1628"/>
          </w:tcPr>
          <w:p>
            <w:pPr>
              <w:jc w:val="left"/>
            </w:pPr>
            <w:r/>
            <w:r>
              <w:rPr>
                <w:b/>
                <w:i w:val="0"/>
                <w:color w:val="FFFFFF"/>
                <w:sz w:val="18"/>
              </w:rPr>
              <w:t>Off-Plan / New Build (Obra Nueva)</w:t>
            </w:r>
          </w:p>
        </w:tc>
        <w:tc>
          <w:tcPr>
            <w:tcW w:type="dxa" w:w="2551"/>
            <w:shd w:val="clear" w:color="auto" w:fill="0A1628"/>
          </w:tcPr>
          <w:p>
            <w:pPr>
              <w:jc w:val="left"/>
            </w:pPr>
            <w:r/>
            <w:r>
              <w:rPr>
                <w:b/>
                <w:i w:val="0"/>
                <w:color w:val="FFFFFF"/>
                <w:sz w:val="18"/>
              </w:rPr>
              <w:t>Resale (Segunda Mano)</w:t>
            </w:r>
          </w:p>
        </w:tc>
        <w:tc>
          <w:tcPr>
            <w:tcW w:type="dxa" w:w="2268"/>
            <w:shd w:val="clear" w:color="auto" w:fill="0A1628"/>
          </w:tcPr>
          <w:p>
            <w:pPr>
              <w:jc w:val="left"/>
            </w:pPr>
            <w:r/>
            <w:r>
              <w:rPr>
                <w:b/>
                <w:i w:val="0"/>
                <w:color w:val="FFFFFF"/>
                <w:sz w:val="18"/>
              </w:rPr>
              <w:t>Implication for Huspy</w:t>
            </w:r>
          </w:p>
        </w:tc>
      </w:tr>
      <w:tr>
        <w:tc>
          <w:tcPr>
            <w:tcW w:type="dxa" w:w="2268"/>
            <w:shd w:val="clear" w:color="auto" w:fill="F8FAFC"/>
          </w:tcPr>
          <w:p>
            <w:pPr>
              <w:jc w:val="left"/>
            </w:pPr>
            <w:r/>
            <w:r>
              <w:rPr>
                <w:b w:val="0"/>
                <w:i w:val="0"/>
                <w:sz w:val="18"/>
              </w:rPr>
              <w:t>Transaction tax</w:t>
            </w:r>
          </w:p>
        </w:tc>
        <w:tc>
          <w:tcPr>
            <w:tcW w:type="dxa" w:w="2835"/>
            <w:shd w:val="clear" w:color="auto" w:fill="F8FAFC"/>
          </w:tcPr>
          <w:p>
            <w:pPr>
              <w:jc w:val="left"/>
            </w:pPr>
            <w:r/>
            <w:r>
              <w:rPr>
                <w:b w:val="0"/>
                <w:i w:val="0"/>
                <w:sz w:val="18"/>
              </w:rPr>
              <w:t>IVA 10% + AJD 1.2% = 11.2% total</w:t>
            </w:r>
          </w:p>
        </w:tc>
        <w:tc>
          <w:tcPr>
            <w:tcW w:type="dxa" w:w="2551"/>
            <w:shd w:val="clear" w:color="auto" w:fill="F8FAFC"/>
          </w:tcPr>
          <w:p>
            <w:pPr>
              <w:jc w:val="left"/>
            </w:pPr>
            <w:r/>
            <w:r>
              <w:rPr>
                <w:b w:val="0"/>
                <w:i w:val="0"/>
                <w:sz w:val="18"/>
              </w:rPr>
              <w:t>ITP 7% (Andalusia)</w:t>
            </w:r>
          </w:p>
        </w:tc>
        <w:tc>
          <w:tcPr>
            <w:tcW w:type="dxa" w:w="2268"/>
            <w:shd w:val="clear" w:color="auto" w:fill="F8FAFC"/>
          </w:tcPr>
          <w:p>
            <w:pPr>
              <w:jc w:val="left"/>
            </w:pPr>
            <w:r/>
            <w:r>
              <w:rPr>
                <w:b w:val="0"/>
                <w:i w:val="0"/>
                <w:sz w:val="18"/>
              </w:rPr>
              <w:t>Buyer pays more tax on new build — must budget correctly</w:t>
            </w:r>
          </w:p>
        </w:tc>
      </w:tr>
      <w:tr>
        <w:tc>
          <w:tcPr>
            <w:tcW w:type="dxa" w:w="2268"/>
            <w:shd w:val="clear" w:color="auto" w:fill="FFFFFF"/>
          </w:tcPr>
          <w:p>
            <w:pPr>
              <w:jc w:val="left"/>
            </w:pPr>
            <w:r/>
            <w:r>
              <w:rPr>
                <w:b w:val="0"/>
                <w:i w:val="0"/>
                <w:sz w:val="18"/>
              </w:rPr>
              <w:t>Typical price premium</w:t>
            </w:r>
          </w:p>
        </w:tc>
        <w:tc>
          <w:tcPr>
            <w:tcW w:type="dxa" w:w="2835"/>
            <w:shd w:val="clear" w:color="auto" w:fill="FFFFFF"/>
          </w:tcPr>
          <w:p>
            <w:pPr>
              <w:jc w:val="left"/>
            </w:pPr>
            <w:r/>
            <w:r>
              <w:rPr>
                <w:b w:val="0"/>
                <w:i w:val="0"/>
                <w:sz w:val="18"/>
              </w:rPr>
              <w:t>+10–20% above equivalent resale at launch</w:t>
            </w:r>
          </w:p>
        </w:tc>
        <w:tc>
          <w:tcPr>
            <w:tcW w:type="dxa" w:w="2551"/>
            <w:shd w:val="clear" w:color="auto" w:fill="FFFFFF"/>
          </w:tcPr>
          <w:p>
            <w:pPr>
              <w:jc w:val="left"/>
            </w:pPr>
            <w:r/>
            <w:r>
              <w:rPr>
                <w:b w:val="0"/>
                <w:i w:val="0"/>
                <w:sz w:val="18"/>
              </w:rPr>
              <w:t>Market price at time of sale</w:t>
            </w:r>
          </w:p>
        </w:tc>
        <w:tc>
          <w:tcPr>
            <w:tcW w:type="dxa" w:w="2268"/>
            <w:shd w:val="clear" w:color="auto" w:fill="FFFFFF"/>
          </w:tcPr>
          <w:p>
            <w:pPr>
              <w:jc w:val="left"/>
            </w:pPr>
            <w:r/>
            <w:r>
              <w:rPr>
                <w:b w:val="0"/>
                <w:i w:val="0"/>
                <w:sz w:val="18"/>
              </w:rPr>
              <w:t>Premium justified by quality, guarantee, no reform needed</w:t>
            </w:r>
          </w:p>
        </w:tc>
      </w:tr>
      <w:tr>
        <w:tc>
          <w:tcPr>
            <w:tcW w:type="dxa" w:w="2268"/>
            <w:shd w:val="clear" w:color="auto" w:fill="F8FAFC"/>
          </w:tcPr>
          <w:p>
            <w:pPr>
              <w:jc w:val="left"/>
            </w:pPr>
            <w:r/>
            <w:r>
              <w:rPr>
                <w:b w:val="0"/>
                <w:i w:val="0"/>
                <w:sz w:val="18"/>
              </w:rPr>
              <w:t>Payment structure</w:t>
            </w:r>
          </w:p>
        </w:tc>
        <w:tc>
          <w:tcPr>
            <w:tcW w:type="dxa" w:w="2835"/>
            <w:shd w:val="clear" w:color="auto" w:fill="F8FAFC"/>
          </w:tcPr>
          <w:p>
            <w:pPr>
              <w:jc w:val="left"/>
            </w:pPr>
            <w:r/>
            <w:r>
              <w:rPr>
                <w:b w:val="0"/>
                <w:i w:val="0"/>
                <w:sz w:val="18"/>
              </w:rPr>
              <w:t>20–30% deposit off-plan; rest at Escritura (delivery)</w:t>
            </w:r>
          </w:p>
        </w:tc>
        <w:tc>
          <w:tcPr>
            <w:tcW w:type="dxa" w:w="2551"/>
            <w:shd w:val="clear" w:color="auto" w:fill="F8FAFC"/>
          </w:tcPr>
          <w:p>
            <w:pPr>
              <w:jc w:val="left"/>
            </w:pPr>
            <w:r/>
            <w:r>
              <w:rPr>
                <w:b w:val="0"/>
                <w:i w:val="0"/>
                <w:sz w:val="18"/>
              </w:rPr>
              <w:t>10% Arras; 90% at Escritura</w:t>
            </w:r>
          </w:p>
        </w:tc>
        <w:tc>
          <w:tcPr>
            <w:tcW w:type="dxa" w:w="2268"/>
            <w:shd w:val="clear" w:color="auto" w:fill="F8FAFC"/>
          </w:tcPr>
          <w:p>
            <w:pPr>
              <w:jc w:val="left"/>
            </w:pPr>
            <w:r/>
            <w:r>
              <w:rPr>
                <w:b w:val="0"/>
                <w:i w:val="0"/>
                <w:sz w:val="18"/>
              </w:rPr>
              <w:t>Buyer needs cash tied up for 18–36 months during construction</w:t>
            </w:r>
          </w:p>
        </w:tc>
      </w:tr>
      <w:tr>
        <w:tc>
          <w:tcPr>
            <w:tcW w:type="dxa" w:w="2268"/>
            <w:shd w:val="clear" w:color="auto" w:fill="FFFFFF"/>
          </w:tcPr>
          <w:p>
            <w:pPr>
              <w:jc w:val="left"/>
            </w:pPr>
            <w:r/>
            <w:r>
              <w:rPr>
                <w:b w:val="0"/>
                <w:i w:val="0"/>
                <w:sz w:val="18"/>
              </w:rPr>
              <w:t>Legal guarantee</w:t>
            </w:r>
          </w:p>
        </w:tc>
        <w:tc>
          <w:tcPr>
            <w:tcW w:type="dxa" w:w="2835"/>
            <w:shd w:val="clear" w:color="auto" w:fill="FFFFFF"/>
          </w:tcPr>
          <w:p>
            <w:pPr>
              <w:jc w:val="left"/>
            </w:pPr>
            <w:r/>
            <w:r>
              <w:rPr>
                <w:b w:val="0"/>
                <w:i w:val="0"/>
                <w:sz w:val="18"/>
              </w:rPr>
              <w:t>Developer guarantee: 1yr finishing, 3yr habitability, 10yr structure</w:t>
            </w:r>
          </w:p>
        </w:tc>
        <w:tc>
          <w:tcPr>
            <w:tcW w:type="dxa" w:w="2551"/>
            <w:shd w:val="clear" w:color="auto" w:fill="FFFFFF"/>
          </w:tcPr>
          <w:p>
            <w:pPr>
              <w:jc w:val="left"/>
            </w:pPr>
            <w:r/>
            <w:r>
              <w:rPr>
                <w:b w:val="0"/>
                <w:i w:val="0"/>
                <w:sz w:val="18"/>
              </w:rPr>
              <w:t>Sold as seen (caveat emptor)</w:t>
            </w:r>
          </w:p>
        </w:tc>
        <w:tc>
          <w:tcPr>
            <w:tcW w:type="dxa" w:w="2268"/>
            <w:shd w:val="clear" w:color="auto" w:fill="FFFFFF"/>
          </w:tcPr>
          <w:p>
            <w:pPr>
              <w:jc w:val="left"/>
            </w:pPr>
            <w:r/>
            <w:r>
              <w:rPr>
                <w:b w:val="0"/>
                <w:i w:val="0"/>
                <w:sz w:val="18"/>
              </w:rPr>
              <w:t>New build has stronger consumer protections</w:t>
            </w:r>
          </w:p>
        </w:tc>
      </w:tr>
      <w:tr>
        <w:tc>
          <w:tcPr>
            <w:tcW w:type="dxa" w:w="2268"/>
            <w:shd w:val="clear" w:color="auto" w:fill="F8FAFC"/>
          </w:tcPr>
          <w:p>
            <w:pPr>
              <w:jc w:val="left"/>
            </w:pPr>
            <w:r/>
            <w:r>
              <w:rPr>
                <w:b w:val="0"/>
                <w:i w:val="0"/>
                <w:sz w:val="18"/>
              </w:rPr>
              <w:t>Commission rate (for agent)</w:t>
            </w:r>
          </w:p>
        </w:tc>
        <w:tc>
          <w:tcPr>
            <w:tcW w:type="dxa" w:w="2835"/>
            <w:shd w:val="clear" w:color="auto" w:fill="F8FAFC"/>
          </w:tcPr>
          <w:p>
            <w:pPr>
              <w:jc w:val="left"/>
            </w:pPr>
            <w:r/>
            <w:r>
              <w:rPr>
                <w:b w:val="0"/>
                <w:i w:val="0"/>
                <w:sz w:val="18"/>
              </w:rPr>
              <w:t>4–8% — developer pays; no negotiation with owner</w:t>
            </w:r>
          </w:p>
        </w:tc>
        <w:tc>
          <w:tcPr>
            <w:tcW w:type="dxa" w:w="2551"/>
            <w:shd w:val="clear" w:color="auto" w:fill="F8FAFC"/>
          </w:tcPr>
          <w:p>
            <w:pPr>
              <w:jc w:val="left"/>
            </w:pPr>
            <w:r/>
            <w:r>
              <w:rPr>
                <w:b w:val="0"/>
                <w:i w:val="0"/>
                <w:sz w:val="18"/>
              </w:rPr>
              <w:t>3–6% — negotiated with seller</w:t>
            </w:r>
          </w:p>
        </w:tc>
        <w:tc>
          <w:tcPr>
            <w:tcW w:type="dxa" w:w="2268"/>
            <w:shd w:val="clear" w:color="auto" w:fill="F8FAFC"/>
          </w:tcPr>
          <w:p>
            <w:pPr>
              <w:jc w:val="left"/>
            </w:pPr>
            <w:r/>
            <w:r>
              <w:rPr>
                <w:b w:val="0"/>
                <w:i w:val="0"/>
                <w:sz w:val="18"/>
              </w:rPr>
              <w:t>Higher commission but developer relationship is key gate</w:t>
            </w:r>
          </w:p>
        </w:tc>
      </w:tr>
      <w:tr>
        <w:tc>
          <w:tcPr>
            <w:tcW w:type="dxa" w:w="2268"/>
            <w:shd w:val="clear" w:color="auto" w:fill="FFFFFF"/>
          </w:tcPr>
          <w:p>
            <w:pPr>
              <w:jc w:val="left"/>
            </w:pPr>
            <w:r/>
            <w:r>
              <w:rPr>
                <w:b w:val="0"/>
                <w:i w:val="0"/>
                <w:sz w:val="18"/>
              </w:rPr>
              <w:t>Key risk</w:t>
            </w:r>
          </w:p>
        </w:tc>
        <w:tc>
          <w:tcPr>
            <w:tcW w:type="dxa" w:w="2835"/>
            <w:shd w:val="clear" w:color="auto" w:fill="FFFFFF"/>
          </w:tcPr>
          <w:p>
            <w:pPr>
              <w:jc w:val="left"/>
            </w:pPr>
            <w:r/>
            <w:r>
              <w:rPr>
                <w:b w:val="0"/>
                <w:i w:val="0"/>
                <w:sz w:val="18"/>
              </w:rPr>
              <w:t>Delivery delays, developer insolvency, quality shortfall</w:t>
            </w:r>
          </w:p>
        </w:tc>
        <w:tc>
          <w:tcPr>
            <w:tcW w:type="dxa" w:w="2551"/>
            <w:shd w:val="clear" w:color="auto" w:fill="FFFFFF"/>
          </w:tcPr>
          <w:p>
            <w:pPr>
              <w:jc w:val="left"/>
            </w:pPr>
            <w:r/>
            <w:r>
              <w:rPr>
                <w:b w:val="0"/>
                <w:i w:val="0"/>
                <w:sz w:val="18"/>
              </w:rPr>
              <w:t>Legal issues (debts, liens, illegal additions)</w:t>
            </w:r>
          </w:p>
        </w:tc>
        <w:tc>
          <w:tcPr>
            <w:tcW w:type="dxa" w:w="2268"/>
            <w:shd w:val="clear" w:color="auto" w:fill="FFFFFF"/>
          </w:tcPr>
          <w:p>
            <w:pPr>
              <w:jc w:val="left"/>
            </w:pPr>
            <w:r/>
            <w:r>
              <w:rPr>
                <w:b w:val="0"/>
                <w:i w:val="0"/>
                <w:sz w:val="18"/>
              </w:rPr>
              <w:t>Off-plan bank deposits must be legally protected (Law 20/2015)</w:t>
            </w:r>
          </w:p>
        </w:tc>
      </w:tr>
      <w:tr>
        <w:tc>
          <w:tcPr>
            <w:tcW w:type="dxa" w:w="2268"/>
            <w:shd w:val="clear" w:color="auto" w:fill="F8FAFC"/>
          </w:tcPr>
          <w:p>
            <w:pPr>
              <w:jc w:val="left"/>
            </w:pPr>
            <w:r/>
            <w:r>
              <w:rPr>
                <w:b w:val="0"/>
                <w:i w:val="0"/>
                <w:sz w:val="18"/>
              </w:rPr>
              <w:t>Mortgage timing</w:t>
            </w:r>
          </w:p>
        </w:tc>
        <w:tc>
          <w:tcPr>
            <w:tcW w:type="dxa" w:w="2835"/>
            <w:shd w:val="clear" w:color="auto" w:fill="F8FAFC"/>
          </w:tcPr>
          <w:p>
            <w:pPr>
              <w:jc w:val="left"/>
            </w:pPr>
            <w:r/>
            <w:r>
              <w:rPr>
                <w:b w:val="0"/>
                <w:i w:val="0"/>
                <w:sz w:val="18"/>
              </w:rPr>
              <w:t>Bridge mortgage during construction then full mortgage at delivery</w:t>
            </w:r>
          </w:p>
        </w:tc>
        <w:tc>
          <w:tcPr>
            <w:tcW w:type="dxa" w:w="2551"/>
            <w:shd w:val="clear" w:color="auto" w:fill="F8FAFC"/>
          </w:tcPr>
          <w:p>
            <w:pPr>
              <w:jc w:val="left"/>
            </w:pPr>
            <w:r/>
            <w:r>
              <w:rPr>
                <w:b w:val="0"/>
                <w:i w:val="0"/>
                <w:sz w:val="18"/>
              </w:rPr>
              <w:t>Standard mortgage applied at Arras stage</w:t>
            </w:r>
          </w:p>
        </w:tc>
        <w:tc>
          <w:tcPr>
            <w:tcW w:type="dxa" w:w="2268"/>
            <w:shd w:val="clear" w:color="auto" w:fill="F8FAFC"/>
          </w:tcPr>
          <w:p>
            <w:pPr>
              <w:jc w:val="left"/>
            </w:pPr>
            <w:r/>
            <w:r>
              <w:rPr>
                <w:b w:val="0"/>
                <w:i w:val="0"/>
                <w:sz w:val="18"/>
              </w:rPr>
              <w:t>More complex mortgage structuring — Huspy advisory value</w:t>
            </w:r>
          </w:p>
        </w:tc>
      </w:tr>
      <w:tr>
        <w:tc>
          <w:tcPr>
            <w:tcW w:type="dxa" w:w="2268"/>
            <w:shd w:val="clear" w:color="auto" w:fill="FFFFFF"/>
          </w:tcPr>
          <w:p>
            <w:pPr>
              <w:jc w:val="left"/>
            </w:pPr>
            <w:r/>
            <w:r>
              <w:rPr>
                <w:b w:val="0"/>
                <w:i w:val="0"/>
                <w:sz w:val="18"/>
              </w:rPr>
              <w:t>Huspy opportunity</w:t>
            </w:r>
          </w:p>
        </w:tc>
        <w:tc>
          <w:tcPr>
            <w:tcW w:type="dxa" w:w="2835"/>
            <w:shd w:val="clear" w:color="auto" w:fill="FFFFFF"/>
          </w:tcPr>
          <w:p>
            <w:pPr>
              <w:jc w:val="left"/>
            </w:pPr>
            <w:r/>
            <w:r>
              <w:rPr>
                <w:b w:val="0"/>
                <w:i w:val="0"/>
                <w:sz w:val="18"/>
              </w:rPr>
              <w:t>Developer partnership = pipeline of future mortgage clients pre-loaded</w:t>
            </w:r>
          </w:p>
        </w:tc>
        <w:tc>
          <w:tcPr>
            <w:tcW w:type="dxa" w:w="2551"/>
            <w:shd w:val="clear" w:color="auto" w:fill="FFFFFF"/>
          </w:tcPr>
          <w:p>
            <w:pPr>
              <w:jc w:val="left"/>
            </w:pPr>
            <w:r/>
            <w:r>
              <w:rPr>
                <w:b w:val="0"/>
                <w:i w:val="0"/>
                <w:sz w:val="18"/>
              </w:rPr>
              <w:t>Standard transaction pipeline</w:t>
            </w:r>
          </w:p>
        </w:tc>
        <w:tc>
          <w:tcPr>
            <w:tcW w:type="dxa" w:w="2268"/>
            <w:shd w:val="clear" w:color="auto" w:fill="FFFFFF"/>
          </w:tcPr>
          <w:p>
            <w:pPr>
              <w:jc w:val="left"/>
            </w:pPr>
            <w:r/>
            <w:r>
              <w:rPr>
                <w:b w:val="0"/>
                <w:i w:val="0"/>
                <w:sz w:val="18"/>
              </w:rPr>
              <w:t>8,000 new build units expected Málaga 2025 = major pipeline opportunity</w:t>
            </w:r>
          </w:p>
        </w:tc>
      </w:tr>
    </w:tbl>
    <w:p/>
    <w:p>
      <w:pPr>
        <w:spacing w:before="240" w:after="80"/>
      </w:pPr>
      <w:r>
        <w:rPr>
          <w:b/>
          <w:color w:val="0A1628"/>
          <w:sz w:val="28"/>
        </w:rPr>
        <w:t>E4. Real Estate Office Organisation: Roles, Structure &amp; Compensation</w:t>
      </w:r>
    </w:p>
    <w:p>
      <w:pPr>
        <w:spacing w:after="80"/>
      </w:pPr>
      <w:r>
        <w:rPr>
          <w:b w:val="0"/>
          <w:i w:val="0"/>
          <w:sz w:val="20"/>
        </w:rPr>
        <w:t>Understanding who needs to be inside a real estate office — and how they are compensated — is critical for building a high-performance team and avoiding the legal mistakes that have cost competitors (E&amp;V: €22M fine) significant money.</w:t>
      </w:r>
    </w:p>
    <w:p>
      <w:pPr>
        <w:spacing w:before="160" w:after="40"/>
      </w:pPr>
      <w:r>
        <w:rPr>
          <w:b/>
          <w:color w:val="0A1628"/>
          <w:sz w:val="22"/>
        </w:rPr>
        <w:t>Office Org Chart: Every Role Explained</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984"/>
            <w:shd w:val="clear" w:color="auto" w:fill="0A1628"/>
          </w:tcPr>
          <w:p>
            <w:pPr>
              <w:jc w:val="left"/>
            </w:pPr>
            <w:r/>
            <w:r>
              <w:rPr>
                <w:b/>
                <w:i w:val="0"/>
                <w:color w:val="FFFFFF"/>
                <w:sz w:val="18"/>
              </w:rPr>
              <w:t>Role / Title</w:t>
            </w:r>
          </w:p>
        </w:tc>
        <w:tc>
          <w:tcPr>
            <w:tcW w:type="dxa" w:w="1984"/>
            <w:shd w:val="clear" w:color="auto" w:fill="0A1628"/>
          </w:tcPr>
          <w:p>
            <w:pPr>
              <w:jc w:val="left"/>
            </w:pPr>
            <w:r/>
            <w:r>
              <w:rPr>
                <w:b/>
                <w:i w:val="0"/>
                <w:color w:val="FFFFFF"/>
                <w:sz w:val="18"/>
              </w:rPr>
              <w:t>Spanish Title</w:t>
            </w:r>
          </w:p>
        </w:tc>
        <w:tc>
          <w:tcPr>
            <w:tcW w:type="dxa" w:w="1701"/>
            <w:shd w:val="clear" w:color="auto" w:fill="0A1628"/>
          </w:tcPr>
          <w:p>
            <w:pPr>
              <w:jc w:val="left"/>
            </w:pPr>
            <w:r/>
            <w:r>
              <w:rPr>
                <w:b/>
                <w:i w:val="0"/>
                <w:color w:val="FFFFFF"/>
                <w:sz w:val="18"/>
              </w:rPr>
              <w:t>Reports To</w:t>
            </w:r>
          </w:p>
        </w:tc>
        <w:tc>
          <w:tcPr>
            <w:tcW w:type="dxa" w:w="2268"/>
            <w:shd w:val="clear" w:color="auto" w:fill="0A1628"/>
          </w:tcPr>
          <w:p>
            <w:pPr>
              <w:jc w:val="left"/>
            </w:pPr>
            <w:r/>
            <w:r>
              <w:rPr>
                <w:b/>
                <w:i w:val="0"/>
                <w:color w:val="FFFFFF"/>
                <w:sz w:val="18"/>
              </w:rPr>
              <w:t>Core Responsibility</w:t>
            </w:r>
          </w:p>
        </w:tc>
        <w:tc>
          <w:tcPr>
            <w:tcW w:type="dxa" w:w="2268"/>
            <w:shd w:val="clear" w:color="auto" w:fill="0A1628"/>
          </w:tcPr>
          <w:p>
            <w:pPr>
              <w:jc w:val="left"/>
            </w:pPr>
            <w:r/>
            <w:r>
              <w:rPr>
                <w:b/>
                <w:i w:val="0"/>
                <w:color w:val="FFFFFF"/>
                <w:sz w:val="18"/>
              </w:rPr>
              <w:t>Comp Model</w:t>
            </w:r>
          </w:p>
        </w:tc>
        <w:tc>
          <w:tcPr>
            <w:tcW w:type="dxa" w:w="1417"/>
            <w:shd w:val="clear" w:color="auto" w:fill="0A1628"/>
          </w:tcPr>
          <w:p>
            <w:pPr>
              <w:jc w:val="left"/>
            </w:pPr>
            <w:r/>
            <w:r>
              <w:rPr>
                <w:b/>
                <w:i w:val="0"/>
                <w:color w:val="FFFFFF"/>
                <w:sz w:val="18"/>
              </w:rPr>
              <w:t>Typical Headcount</w:t>
            </w:r>
          </w:p>
        </w:tc>
      </w:tr>
      <w:tr>
        <w:tc>
          <w:tcPr>
            <w:tcW w:type="dxa" w:w="1984"/>
            <w:shd w:val="clear" w:color="auto" w:fill="F8FAFC"/>
          </w:tcPr>
          <w:p>
            <w:pPr>
              <w:jc w:val="left"/>
            </w:pPr>
            <w:r/>
            <w:r>
              <w:rPr>
                <w:b w:val="0"/>
                <w:i w:val="0"/>
                <w:sz w:val="18"/>
              </w:rPr>
              <w:t>Branch Director</w:t>
            </w:r>
          </w:p>
        </w:tc>
        <w:tc>
          <w:tcPr>
            <w:tcW w:type="dxa" w:w="1984"/>
            <w:shd w:val="clear" w:color="auto" w:fill="F8FAFC"/>
          </w:tcPr>
          <w:p>
            <w:pPr>
              <w:jc w:val="left"/>
            </w:pPr>
            <w:r/>
            <w:r>
              <w:rPr>
                <w:b w:val="0"/>
                <w:i w:val="0"/>
                <w:sz w:val="18"/>
              </w:rPr>
              <w:t>Director / Gerente de Oficina</w:t>
            </w:r>
          </w:p>
        </w:tc>
        <w:tc>
          <w:tcPr>
            <w:tcW w:type="dxa" w:w="1701"/>
            <w:shd w:val="clear" w:color="auto" w:fill="F8FAFC"/>
          </w:tcPr>
          <w:p>
            <w:pPr>
              <w:jc w:val="left"/>
            </w:pPr>
            <w:r/>
            <w:r>
              <w:rPr>
                <w:b w:val="0"/>
                <w:i w:val="0"/>
                <w:sz w:val="18"/>
              </w:rPr>
              <w:t>Regional Director</w:t>
            </w:r>
          </w:p>
        </w:tc>
        <w:tc>
          <w:tcPr>
            <w:tcW w:type="dxa" w:w="2268"/>
            <w:shd w:val="clear" w:color="auto" w:fill="F8FAFC"/>
          </w:tcPr>
          <w:p>
            <w:pPr>
              <w:jc w:val="left"/>
            </w:pPr>
            <w:r/>
            <w:r>
              <w:rPr>
                <w:b w:val="0"/>
                <w:i w:val="0"/>
                <w:sz w:val="18"/>
              </w:rPr>
              <w:t>P&amp;L ownership; team hiring &amp; coaching; senior deal support; KPI accountability</w:t>
            </w:r>
          </w:p>
        </w:tc>
        <w:tc>
          <w:tcPr>
            <w:tcW w:type="dxa" w:w="2268"/>
            <w:shd w:val="clear" w:color="auto" w:fill="F8FAFC"/>
          </w:tcPr>
          <w:p>
            <w:pPr>
              <w:jc w:val="left"/>
            </w:pPr>
            <w:r/>
            <w:r>
              <w:rPr>
                <w:b w:val="0"/>
                <w:i w:val="0"/>
                <w:sz w:val="18"/>
              </w:rPr>
              <w:t>Base €2,500–3,500/month + override on team performance (1–2% of team GMV)</w:t>
            </w:r>
          </w:p>
        </w:tc>
        <w:tc>
          <w:tcPr>
            <w:tcW w:type="dxa" w:w="1417"/>
            <w:shd w:val="clear" w:color="auto" w:fill="F8FAFC"/>
          </w:tcPr>
          <w:p>
            <w:pPr>
              <w:jc w:val="left"/>
            </w:pPr>
            <w:r/>
            <w:r>
              <w:rPr>
                <w:b w:val="0"/>
                <w:i w:val="0"/>
                <w:sz w:val="18"/>
              </w:rPr>
              <w:t>1 per office</w:t>
            </w:r>
          </w:p>
        </w:tc>
      </w:tr>
      <w:tr>
        <w:tc>
          <w:tcPr>
            <w:tcW w:type="dxa" w:w="1984"/>
            <w:shd w:val="clear" w:color="auto" w:fill="FFFFFF"/>
          </w:tcPr>
          <w:p>
            <w:pPr>
              <w:jc w:val="left"/>
            </w:pPr>
            <w:r/>
            <w:r>
              <w:rPr>
                <w:b w:val="0"/>
                <w:i w:val="0"/>
                <w:sz w:val="18"/>
              </w:rPr>
              <w:t>Senior Agent</w:t>
            </w:r>
          </w:p>
        </w:tc>
        <w:tc>
          <w:tcPr>
            <w:tcW w:type="dxa" w:w="1984"/>
            <w:shd w:val="clear" w:color="auto" w:fill="FFFFFF"/>
          </w:tcPr>
          <w:p>
            <w:pPr>
              <w:jc w:val="left"/>
            </w:pPr>
            <w:r/>
            <w:r>
              <w:rPr>
                <w:b w:val="0"/>
                <w:i w:val="0"/>
                <w:sz w:val="18"/>
              </w:rPr>
              <w:t>Agente Senior / Consultor Senior</w:t>
            </w:r>
          </w:p>
        </w:tc>
        <w:tc>
          <w:tcPr>
            <w:tcW w:type="dxa" w:w="1701"/>
            <w:shd w:val="clear" w:color="auto" w:fill="FFFFFF"/>
          </w:tcPr>
          <w:p>
            <w:pPr>
              <w:jc w:val="left"/>
            </w:pPr>
            <w:r/>
            <w:r>
              <w:rPr>
                <w:b w:val="0"/>
                <w:i w:val="0"/>
                <w:sz w:val="18"/>
              </w:rPr>
              <w:t>Branch Director</w:t>
            </w:r>
          </w:p>
        </w:tc>
        <w:tc>
          <w:tcPr>
            <w:tcW w:type="dxa" w:w="2268"/>
            <w:shd w:val="clear" w:color="auto" w:fill="FFFFFF"/>
          </w:tcPr>
          <w:p>
            <w:pPr>
              <w:jc w:val="left"/>
            </w:pPr>
            <w:r/>
            <w:r>
              <w:rPr>
                <w:b w:val="0"/>
                <w:i w:val="0"/>
                <w:sz w:val="18"/>
              </w:rPr>
              <w:t>Full-cycle independent deals (valuation → Escritura); mentors juniors; handles luxury segment</w:t>
            </w:r>
          </w:p>
        </w:tc>
        <w:tc>
          <w:tcPr>
            <w:tcW w:type="dxa" w:w="2268"/>
            <w:shd w:val="clear" w:color="auto" w:fill="FFFFFF"/>
          </w:tcPr>
          <w:p>
            <w:pPr>
              <w:jc w:val="left"/>
            </w:pPr>
            <w:r/>
            <w:r>
              <w:rPr>
                <w:b w:val="0"/>
                <w:i w:val="0"/>
                <w:sz w:val="18"/>
              </w:rPr>
              <w:t>Commission only: 65–75% split; OTE €60k–€120k/year</w:t>
            </w:r>
          </w:p>
        </w:tc>
        <w:tc>
          <w:tcPr>
            <w:tcW w:type="dxa" w:w="1417"/>
            <w:shd w:val="clear" w:color="auto" w:fill="FFFFFF"/>
          </w:tcPr>
          <w:p>
            <w:pPr>
              <w:jc w:val="left"/>
            </w:pPr>
            <w:r/>
            <w:r>
              <w:rPr>
                <w:b w:val="0"/>
                <w:i w:val="0"/>
                <w:sz w:val="18"/>
              </w:rPr>
              <w:t>2–4 per office</w:t>
            </w:r>
          </w:p>
        </w:tc>
      </w:tr>
      <w:tr>
        <w:tc>
          <w:tcPr>
            <w:tcW w:type="dxa" w:w="1984"/>
            <w:shd w:val="clear" w:color="auto" w:fill="F8FAFC"/>
          </w:tcPr>
          <w:p>
            <w:pPr>
              <w:jc w:val="left"/>
            </w:pPr>
            <w:r/>
            <w:r>
              <w:rPr>
                <w:b w:val="0"/>
                <w:i w:val="0"/>
                <w:sz w:val="18"/>
              </w:rPr>
              <w:t>Junior Agent</w:t>
            </w:r>
          </w:p>
        </w:tc>
        <w:tc>
          <w:tcPr>
            <w:tcW w:type="dxa" w:w="1984"/>
            <w:shd w:val="clear" w:color="auto" w:fill="F8FAFC"/>
          </w:tcPr>
          <w:p>
            <w:pPr>
              <w:jc w:val="left"/>
            </w:pPr>
            <w:r/>
            <w:r>
              <w:rPr>
                <w:b w:val="0"/>
                <w:i w:val="0"/>
                <w:sz w:val="18"/>
              </w:rPr>
              <w:t>Agente Junior / Consultor</w:t>
            </w:r>
          </w:p>
        </w:tc>
        <w:tc>
          <w:tcPr>
            <w:tcW w:type="dxa" w:w="1701"/>
            <w:shd w:val="clear" w:color="auto" w:fill="F8FAFC"/>
          </w:tcPr>
          <w:p>
            <w:pPr>
              <w:jc w:val="left"/>
            </w:pPr>
            <w:r/>
            <w:r>
              <w:rPr>
                <w:b w:val="0"/>
                <w:i w:val="0"/>
                <w:sz w:val="18"/>
              </w:rPr>
              <w:t>Senior Agent or Director</w:t>
            </w:r>
          </w:p>
        </w:tc>
        <w:tc>
          <w:tcPr>
            <w:tcW w:type="dxa" w:w="2268"/>
            <w:shd w:val="clear" w:color="auto" w:fill="F8FAFC"/>
          </w:tcPr>
          <w:p>
            <w:pPr>
              <w:jc w:val="left"/>
            </w:pPr>
            <w:r/>
            <w:r>
              <w:rPr>
                <w:b w:val="0"/>
                <w:i w:val="0"/>
                <w:sz w:val="18"/>
              </w:rPr>
              <w:t>Lead follow-up, viewings, buyer qualification; works with mentor for first 6 months</w:t>
            </w:r>
          </w:p>
        </w:tc>
        <w:tc>
          <w:tcPr>
            <w:tcW w:type="dxa" w:w="2268"/>
            <w:shd w:val="clear" w:color="auto" w:fill="F8FAFC"/>
          </w:tcPr>
          <w:p>
            <w:pPr>
              <w:jc w:val="left"/>
            </w:pPr>
            <w:r/>
            <w:r>
              <w:rPr>
                <w:b w:val="0"/>
                <w:i w:val="0"/>
                <w:sz w:val="18"/>
              </w:rPr>
              <w:t>Commission only: 50–60% split; OTE €25k–€50k first year; ramp 3–6 months</w:t>
            </w:r>
          </w:p>
        </w:tc>
        <w:tc>
          <w:tcPr>
            <w:tcW w:type="dxa" w:w="1417"/>
            <w:shd w:val="clear" w:color="auto" w:fill="F8FAFC"/>
          </w:tcPr>
          <w:p>
            <w:pPr>
              <w:jc w:val="left"/>
            </w:pPr>
            <w:r/>
            <w:r>
              <w:rPr>
                <w:b w:val="0"/>
                <w:i w:val="0"/>
                <w:sz w:val="18"/>
              </w:rPr>
              <w:t>3–6 per office</w:t>
            </w:r>
          </w:p>
        </w:tc>
      </w:tr>
      <w:tr>
        <w:tc>
          <w:tcPr>
            <w:tcW w:type="dxa" w:w="1984"/>
            <w:shd w:val="clear" w:color="auto" w:fill="FFFFFF"/>
          </w:tcPr>
          <w:p>
            <w:pPr>
              <w:jc w:val="left"/>
            </w:pPr>
            <w:r/>
            <w:r>
              <w:rPr>
                <w:b w:val="0"/>
                <w:i w:val="0"/>
                <w:sz w:val="18"/>
              </w:rPr>
              <w:t>Mortgage Advisor</w:t>
            </w:r>
          </w:p>
        </w:tc>
        <w:tc>
          <w:tcPr>
            <w:tcW w:type="dxa" w:w="1984"/>
            <w:shd w:val="clear" w:color="auto" w:fill="FFFFFF"/>
          </w:tcPr>
          <w:p>
            <w:pPr>
              <w:jc w:val="left"/>
            </w:pPr>
            <w:r/>
            <w:r>
              <w:rPr>
                <w:b w:val="0"/>
                <w:i w:val="0"/>
                <w:sz w:val="18"/>
              </w:rPr>
              <w:t>Asesor Hipotecario</w:t>
            </w:r>
          </w:p>
        </w:tc>
        <w:tc>
          <w:tcPr>
            <w:tcW w:type="dxa" w:w="1701"/>
            <w:shd w:val="clear" w:color="auto" w:fill="FFFFFF"/>
          </w:tcPr>
          <w:p>
            <w:pPr>
              <w:jc w:val="left"/>
            </w:pPr>
            <w:r/>
            <w:r>
              <w:rPr>
                <w:b w:val="0"/>
                <w:i w:val="0"/>
                <w:sz w:val="18"/>
              </w:rPr>
              <w:t>Regional Mortgage Lead</w:t>
            </w:r>
          </w:p>
        </w:tc>
        <w:tc>
          <w:tcPr>
            <w:tcW w:type="dxa" w:w="2268"/>
            <w:shd w:val="clear" w:color="auto" w:fill="FFFFFF"/>
          </w:tcPr>
          <w:p>
            <w:pPr>
              <w:jc w:val="left"/>
            </w:pPr>
            <w:r/>
            <w:r>
              <w:rPr>
                <w:b w:val="0"/>
                <w:i w:val="0"/>
                <w:sz w:val="18"/>
              </w:rPr>
              <w:t>Mortgage intake at offer stage; bank liaison; pre-approvals; FEIN processing</w:t>
            </w:r>
          </w:p>
        </w:tc>
        <w:tc>
          <w:tcPr>
            <w:tcW w:type="dxa" w:w="2268"/>
            <w:shd w:val="clear" w:color="auto" w:fill="FFFFFF"/>
          </w:tcPr>
          <w:p>
            <w:pPr>
              <w:jc w:val="left"/>
            </w:pPr>
            <w:r/>
            <w:r>
              <w:rPr>
                <w:b w:val="0"/>
                <w:i w:val="0"/>
                <w:sz w:val="18"/>
              </w:rPr>
              <w:t>Base €1,800–2,500/month + €200–400 per mortgage closed</w:t>
            </w:r>
          </w:p>
        </w:tc>
        <w:tc>
          <w:tcPr>
            <w:tcW w:type="dxa" w:w="1417"/>
            <w:shd w:val="clear" w:color="auto" w:fill="FFFFFF"/>
          </w:tcPr>
          <w:p>
            <w:pPr>
              <w:jc w:val="left"/>
            </w:pPr>
            <w:r/>
            <w:r>
              <w:rPr>
                <w:b w:val="0"/>
                <w:i w:val="0"/>
                <w:sz w:val="18"/>
              </w:rPr>
              <w:t>1 per 2 offices (shared)</w:t>
            </w:r>
          </w:p>
        </w:tc>
      </w:tr>
      <w:tr>
        <w:tc>
          <w:tcPr>
            <w:tcW w:type="dxa" w:w="1984"/>
            <w:shd w:val="clear" w:color="auto" w:fill="F8FAFC"/>
          </w:tcPr>
          <w:p>
            <w:pPr>
              <w:jc w:val="left"/>
            </w:pPr>
            <w:r/>
            <w:r>
              <w:rPr>
                <w:b w:val="0"/>
                <w:i w:val="0"/>
                <w:sz w:val="18"/>
              </w:rPr>
              <w:t>Transaction Coordinator</w:t>
            </w:r>
          </w:p>
        </w:tc>
        <w:tc>
          <w:tcPr>
            <w:tcW w:type="dxa" w:w="1984"/>
            <w:shd w:val="clear" w:color="auto" w:fill="F8FAFC"/>
          </w:tcPr>
          <w:p>
            <w:pPr>
              <w:jc w:val="left"/>
            </w:pPr>
            <w:r/>
            <w:r>
              <w:rPr>
                <w:b w:val="0"/>
                <w:i w:val="0"/>
                <w:sz w:val="18"/>
              </w:rPr>
              <w:t>Coordinadora de Operaciones</w:t>
            </w:r>
          </w:p>
        </w:tc>
        <w:tc>
          <w:tcPr>
            <w:tcW w:type="dxa" w:w="1701"/>
            <w:shd w:val="clear" w:color="auto" w:fill="F8FAFC"/>
          </w:tcPr>
          <w:p>
            <w:pPr>
              <w:jc w:val="left"/>
            </w:pPr>
            <w:r/>
            <w:r>
              <w:rPr>
                <w:b w:val="0"/>
                <w:i w:val="0"/>
                <w:sz w:val="18"/>
              </w:rPr>
              <w:t>Branch Director</w:t>
            </w:r>
          </w:p>
        </w:tc>
        <w:tc>
          <w:tcPr>
            <w:tcW w:type="dxa" w:w="2268"/>
            <w:shd w:val="clear" w:color="auto" w:fill="F8FAFC"/>
          </w:tcPr>
          <w:p>
            <w:pPr>
              <w:jc w:val="left"/>
            </w:pPr>
            <w:r/>
            <w:r>
              <w:rPr>
                <w:b w:val="0"/>
                <w:i w:val="0"/>
                <w:sz w:val="18"/>
              </w:rPr>
              <w:t>Arras to Escritura paperwork; deadline tracking; notary booking; post-sale admin chase</w:t>
            </w:r>
          </w:p>
        </w:tc>
        <w:tc>
          <w:tcPr>
            <w:tcW w:type="dxa" w:w="2268"/>
            <w:shd w:val="clear" w:color="auto" w:fill="F8FAFC"/>
          </w:tcPr>
          <w:p>
            <w:pPr>
              <w:jc w:val="left"/>
            </w:pPr>
            <w:r/>
            <w:r>
              <w:rPr>
                <w:b w:val="0"/>
                <w:i w:val="0"/>
                <w:sz w:val="18"/>
              </w:rPr>
              <w:t>Fixed salary €1,600–2,200/month; no commission</w:t>
            </w:r>
          </w:p>
        </w:tc>
        <w:tc>
          <w:tcPr>
            <w:tcW w:type="dxa" w:w="1417"/>
            <w:shd w:val="clear" w:color="auto" w:fill="F8FAFC"/>
          </w:tcPr>
          <w:p>
            <w:pPr>
              <w:jc w:val="left"/>
            </w:pPr>
            <w:r/>
            <w:r>
              <w:rPr>
                <w:b w:val="0"/>
                <w:i w:val="0"/>
                <w:sz w:val="18"/>
              </w:rPr>
              <w:t>1 per office</w:t>
            </w:r>
          </w:p>
        </w:tc>
      </w:tr>
      <w:tr>
        <w:tc>
          <w:tcPr>
            <w:tcW w:type="dxa" w:w="1984"/>
            <w:shd w:val="clear" w:color="auto" w:fill="FFFFFF"/>
          </w:tcPr>
          <w:p>
            <w:pPr>
              <w:jc w:val="left"/>
            </w:pPr>
            <w:r/>
            <w:r>
              <w:rPr>
                <w:b w:val="0"/>
                <w:i w:val="0"/>
                <w:sz w:val="18"/>
              </w:rPr>
              <w:t>Marketing Coordinator</w:t>
            </w:r>
          </w:p>
        </w:tc>
        <w:tc>
          <w:tcPr>
            <w:tcW w:type="dxa" w:w="1984"/>
            <w:shd w:val="clear" w:color="auto" w:fill="FFFFFF"/>
          </w:tcPr>
          <w:p>
            <w:pPr>
              <w:jc w:val="left"/>
            </w:pPr>
            <w:r/>
            <w:r>
              <w:rPr>
                <w:b w:val="0"/>
                <w:i w:val="0"/>
                <w:sz w:val="18"/>
              </w:rPr>
              <w:t>Coordinadora de Marketing</w:t>
            </w:r>
          </w:p>
        </w:tc>
        <w:tc>
          <w:tcPr>
            <w:tcW w:type="dxa" w:w="1701"/>
            <w:shd w:val="clear" w:color="auto" w:fill="FFFFFF"/>
          </w:tcPr>
          <w:p>
            <w:pPr>
              <w:jc w:val="left"/>
            </w:pPr>
            <w:r/>
            <w:r>
              <w:rPr>
                <w:b w:val="0"/>
                <w:i w:val="0"/>
                <w:sz w:val="18"/>
              </w:rPr>
              <w:t>Regional Marketing or Director</w:t>
            </w:r>
          </w:p>
        </w:tc>
        <w:tc>
          <w:tcPr>
            <w:tcW w:type="dxa" w:w="2268"/>
            <w:shd w:val="clear" w:color="auto" w:fill="FFFFFF"/>
          </w:tcPr>
          <w:p>
            <w:pPr>
              <w:jc w:val="left"/>
            </w:pPr>
            <w:r/>
            <w:r>
              <w:rPr>
                <w:b w:val="0"/>
                <w:i w:val="0"/>
                <w:sz w:val="18"/>
              </w:rPr>
              <w:t>Idealista/Fotocasa portal listings; photography coordination; social media; CRM updates</w:t>
            </w:r>
          </w:p>
        </w:tc>
        <w:tc>
          <w:tcPr>
            <w:tcW w:type="dxa" w:w="2268"/>
            <w:shd w:val="clear" w:color="auto" w:fill="FFFFFF"/>
          </w:tcPr>
          <w:p>
            <w:pPr>
              <w:jc w:val="left"/>
            </w:pPr>
            <w:r/>
            <w:r>
              <w:rPr>
                <w:b w:val="0"/>
                <w:i w:val="0"/>
                <w:sz w:val="18"/>
              </w:rPr>
              <w:t>Fixed salary €1,500–2,000/month</w:t>
            </w:r>
          </w:p>
        </w:tc>
        <w:tc>
          <w:tcPr>
            <w:tcW w:type="dxa" w:w="1417"/>
            <w:shd w:val="clear" w:color="auto" w:fill="FFFFFF"/>
          </w:tcPr>
          <w:p>
            <w:pPr>
              <w:jc w:val="left"/>
            </w:pPr>
            <w:r/>
            <w:r>
              <w:rPr>
                <w:b w:val="0"/>
                <w:i w:val="0"/>
                <w:sz w:val="18"/>
              </w:rPr>
              <w:t>1 per 2–3 offices (shared)</w:t>
            </w:r>
          </w:p>
        </w:tc>
      </w:tr>
      <w:tr>
        <w:tc>
          <w:tcPr>
            <w:tcW w:type="dxa" w:w="1984"/>
            <w:shd w:val="clear" w:color="auto" w:fill="F8FAFC"/>
          </w:tcPr>
          <w:p>
            <w:pPr>
              <w:jc w:val="left"/>
            </w:pPr>
            <w:r/>
            <w:r>
              <w:rPr>
                <w:b w:val="0"/>
                <w:i w:val="0"/>
                <w:sz w:val="18"/>
              </w:rPr>
              <w:t>Administrative / Reception</w:t>
            </w:r>
          </w:p>
        </w:tc>
        <w:tc>
          <w:tcPr>
            <w:tcW w:type="dxa" w:w="1984"/>
            <w:shd w:val="clear" w:color="auto" w:fill="F8FAFC"/>
          </w:tcPr>
          <w:p>
            <w:pPr>
              <w:jc w:val="left"/>
            </w:pPr>
            <w:r/>
            <w:r>
              <w:rPr>
                <w:b w:val="0"/>
                <w:i w:val="0"/>
                <w:sz w:val="18"/>
              </w:rPr>
              <w:t>Administrativo/a / Recepción</w:t>
            </w:r>
          </w:p>
        </w:tc>
        <w:tc>
          <w:tcPr>
            <w:tcW w:type="dxa" w:w="1701"/>
            <w:shd w:val="clear" w:color="auto" w:fill="F8FAFC"/>
          </w:tcPr>
          <w:p>
            <w:pPr>
              <w:jc w:val="left"/>
            </w:pPr>
            <w:r/>
            <w:r>
              <w:rPr>
                <w:b w:val="0"/>
                <w:i w:val="0"/>
                <w:sz w:val="18"/>
              </w:rPr>
              <w:t>Branch Director</w:t>
            </w:r>
          </w:p>
        </w:tc>
        <w:tc>
          <w:tcPr>
            <w:tcW w:type="dxa" w:w="2268"/>
            <w:shd w:val="clear" w:color="auto" w:fill="F8FAFC"/>
          </w:tcPr>
          <w:p>
            <w:pPr>
              <w:jc w:val="left"/>
            </w:pPr>
            <w:r/>
            <w:r>
              <w:rPr>
                <w:b w:val="0"/>
                <w:i w:val="0"/>
                <w:sz w:val="18"/>
              </w:rPr>
              <w:t>Inbound call handling; viewing scheduling; document filing; client welcome</w:t>
            </w:r>
          </w:p>
        </w:tc>
        <w:tc>
          <w:tcPr>
            <w:tcW w:type="dxa" w:w="2268"/>
            <w:shd w:val="clear" w:color="auto" w:fill="F8FAFC"/>
          </w:tcPr>
          <w:p>
            <w:pPr>
              <w:jc w:val="left"/>
            </w:pPr>
            <w:r/>
            <w:r>
              <w:rPr>
                <w:b w:val="0"/>
                <w:i w:val="0"/>
                <w:sz w:val="18"/>
              </w:rPr>
              <w:t>Fixed salary €1,400–1,800/month</w:t>
            </w:r>
          </w:p>
        </w:tc>
        <w:tc>
          <w:tcPr>
            <w:tcW w:type="dxa" w:w="1417"/>
            <w:shd w:val="clear" w:color="auto" w:fill="F8FAFC"/>
          </w:tcPr>
          <w:p>
            <w:pPr>
              <w:jc w:val="left"/>
            </w:pPr>
            <w:r/>
            <w:r>
              <w:rPr>
                <w:b w:val="0"/>
                <w:i w:val="0"/>
                <w:sz w:val="18"/>
              </w:rPr>
              <w:t>1 per office</w:t>
            </w:r>
          </w:p>
        </w:tc>
      </w:tr>
      <w:tr>
        <w:tc>
          <w:tcPr>
            <w:tcW w:type="dxa" w:w="1984"/>
            <w:shd w:val="clear" w:color="auto" w:fill="FFFFFF"/>
          </w:tcPr>
          <w:p>
            <w:pPr>
              <w:jc w:val="left"/>
            </w:pPr>
            <w:r/>
            <w:r>
              <w:rPr>
                <w:b w:val="0"/>
                <w:i w:val="0"/>
                <w:sz w:val="18"/>
              </w:rPr>
              <w:t>Compliance / Legal Officer</w:t>
            </w:r>
          </w:p>
        </w:tc>
        <w:tc>
          <w:tcPr>
            <w:tcW w:type="dxa" w:w="1984"/>
            <w:shd w:val="clear" w:color="auto" w:fill="FFFFFF"/>
          </w:tcPr>
          <w:p>
            <w:pPr>
              <w:jc w:val="left"/>
            </w:pPr>
            <w:r/>
            <w:r>
              <w:rPr>
                <w:b w:val="0"/>
                <w:i w:val="0"/>
                <w:sz w:val="18"/>
              </w:rPr>
              <w:t>Responsable de Cumplimiento</w:t>
            </w:r>
          </w:p>
        </w:tc>
        <w:tc>
          <w:tcPr>
            <w:tcW w:type="dxa" w:w="1701"/>
            <w:shd w:val="clear" w:color="auto" w:fill="FFFFFF"/>
          </w:tcPr>
          <w:p>
            <w:pPr>
              <w:jc w:val="left"/>
            </w:pPr>
            <w:r/>
            <w:r>
              <w:rPr>
                <w:b w:val="0"/>
                <w:i w:val="0"/>
                <w:sz w:val="18"/>
              </w:rPr>
              <w:t>Operations Director</w:t>
            </w:r>
          </w:p>
        </w:tc>
        <w:tc>
          <w:tcPr>
            <w:tcW w:type="dxa" w:w="2268"/>
            <w:shd w:val="clear" w:color="auto" w:fill="FFFFFF"/>
          </w:tcPr>
          <w:p>
            <w:pPr>
              <w:jc w:val="left"/>
            </w:pPr>
            <w:r/>
            <w:r>
              <w:rPr>
                <w:b w:val="0"/>
                <w:i w:val="0"/>
                <w:sz w:val="18"/>
              </w:rPr>
              <w:t>KYC/AML documentation; contract review; GDPR compliance; agent contract management</w:t>
            </w:r>
          </w:p>
        </w:tc>
        <w:tc>
          <w:tcPr>
            <w:tcW w:type="dxa" w:w="2268"/>
            <w:shd w:val="clear" w:color="auto" w:fill="FFFFFF"/>
          </w:tcPr>
          <w:p>
            <w:pPr>
              <w:jc w:val="left"/>
            </w:pPr>
            <w:r/>
            <w:r>
              <w:rPr>
                <w:b w:val="0"/>
                <w:i w:val="0"/>
                <w:sz w:val="18"/>
              </w:rPr>
              <w:t>Fixed salary €2,500–3,500/month (often shared across region)</w:t>
            </w:r>
          </w:p>
        </w:tc>
        <w:tc>
          <w:tcPr>
            <w:tcW w:type="dxa" w:w="1417"/>
            <w:shd w:val="clear" w:color="auto" w:fill="FFFFFF"/>
          </w:tcPr>
          <w:p>
            <w:pPr>
              <w:jc w:val="left"/>
            </w:pPr>
            <w:r/>
            <w:r>
              <w:rPr>
                <w:b w:val="0"/>
                <w:i w:val="0"/>
                <w:sz w:val="18"/>
              </w:rPr>
              <w:t>1 per region</w:t>
            </w:r>
          </w:p>
        </w:tc>
      </w:tr>
    </w:tbl>
    <w:p/>
    <w:p>
      <w:pPr>
        <w:spacing w:before="160" w:after="40"/>
      </w:pPr>
      <w:r>
        <w:rPr>
          <w:b/>
          <w:color w:val="0A1628"/>
          <w:sz w:val="22"/>
        </w:rPr>
        <w:t>Compensation Models: The Freelance vs. Employee Decision</w:t>
      </w:r>
    </w:p>
    <w:p>
      <w:pPr>
        <w:spacing w:after="80"/>
      </w:pPr>
      <w:r>
        <w:rPr>
          <w:b w:val="0"/>
          <w:i w:val="0"/>
          <w:sz w:val="20"/>
        </w:rPr>
        <w:t>This is the single most legally sensitive decision in building a real estate team in Spain. Engel &amp; Völkers were fined €22M (TEAC 2023) for misclassifying employees as freelance agents. The distinction has major financial and operational consequences.</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0A1628"/>
          </w:tcPr>
          <w:p>
            <w:pPr>
              <w:jc w:val="left"/>
            </w:pPr>
            <w:r/>
            <w:r>
              <w:rPr>
                <w:b/>
                <w:i w:val="0"/>
                <w:color w:val="FFFFFF"/>
                <w:sz w:val="18"/>
              </w:rPr>
              <w:t>Feature</w:t>
            </w:r>
          </w:p>
        </w:tc>
        <w:tc>
          <w:tcPr>
            <w:tcW w:type="dxa" w:w="2835"/>
            <w:shd w:val="clear" w:color="auto" w:fill="0A1628"/>
          </w:tcPr>
          <w:p>
            <w:pPr>
              <w:jc w:val="left"/>
            </w:pPr>
            <w:r/>
            <w:r>
              <w:rPr>
                <w:b/>
                <w:i w:val="0"/>
                <w:color w:val="FFFFFF"/>
                <w:sz w:val="18"/>
              </w:rPr>
              <w:t>Autónomo (Freelance)</w:t>
            </w:r>
          </w:p>
        </w:tc>
        <w:tc>
          <w:tcPr>
            <w:tcW w:type="dxa" w:w="2835"/>
            <w:shd w:val="clear" w:color="auto" w:fill="0A1628"/>
          </w:tcPr>
          <w:p>
            <w:pPr>
              <w:jc w:val="left"/>
            </w:pPr>
            <w:r/>
            <w:r>
              <w:rPr>
                <w:b/>
                <w:i w:val="0"/>
                <w:color w:val="FFFFFF"/>
                <w:sz w:val="18"/>
              </w:rPr>
              <w:t>Contrato Laboral (Employee)</w:t>
            </w:r>
          </w:p>
        </w:tc>
        <w:tc>
          <w:tcPr>
            <w:tcW w:type="dxa" w:w="2835"/>
            <w:shd w:val="clear" w:color="auto" w:fill="0A1628"/>
          </w:tcPr>
          <w:p>
            <w:pPr>
              <w:jc w:val="left"/>
            </w:pPr>
            <w:r/>
            <w:r>
              <w:rPr>
                <w:b/>
                <w:i w:val="0"/>
                <w:color w:val="FFFFFF"/>
                <w:sz w:val="18"/>
              </w:rPr>
              <w:t>Hybrid Model</w:t>
            </w:r>
          </w:p>
        </w:tc>
      </w:tr>
      <w:tr>
        <w:tc>
          <w:tcPr>
            <w:tcW w:type="dxa" w:w="2268"/>
            <w:shd w:val="clear" w:color="auto" w:fill="F8FAFC"/>
          </w:tcPr>
          <w:p>
            <w:pPr>
              <w:jc w:val="left"/>
            </w:pPr>
            <w:r/>
            <w:r>
              <w:rPr>
                <w:b w:val="0"/>
                <w:i w:val="0"/>
                <w:sz w:val="18"/>
              </w:rPr>
              <w:t>Legal basis</w:t>
            </w:r>
          </w:p>
        </w:tc>
        <w:tc>
          <w:tcPr>
            <w:tcW w:type="dxa" w:w="2835"/>
            <w:shd w:val="clear" w:color="auto" w:fill="F8FAFC"/>
          </w:tcPr>
          <w:p>
            <w:pPr>
              <w:jc w:val="left"/>
            </w:pPr>
            <w:r/>
            <w:r>
              <w:rPr>
                <w:b w:val="0"/>
                <w:i w:val="0"/>
                <w:sz w:val="18"/>
              </w:rPr>
              <w:t>Self-employed; issues invoices to agency</w:t>
            </w:r>
          </w:p>
        </w:tc>
        <w:tc>
          <w:tcPr>
            <w:tcW w:type="dxa" w:w="2835"/>
            <w:shd w:val="clear" w:color="auto" w:fill="F8FAFC"/>
          </w:tcPr>
          <w:p>
            <w:pPr>
              <w:jc w:val="left"/>
            </w:pPr>
            <w:r/>
            <w:r>
              <w:rPr>
                <w:b w:val="0"/>
                <w:i w:val="0"/>
                <w:sz w:val="18"/>
              </w:rPr>
              <w:t>Full employment contract; agency is employer</w:t>
            </w:r>
          </w:p>
        </w:tc>
        <w:tc>
          <w:tcPr>
            <w:tcW w:type="dxa" w:w="2835"/>
            <w:shd w:val="clear" w:color="auto" w:fill="F8FAFC"/>
          </w:tcPr>
          <w:p>
            <w:pPr>
              <w:jc w:val="left"/>
            </w:pPr>
            <w:r/>
            <w:r>
              <w:rPr>
                <w:b w:val="0"/>
                <w:i w:val="0"/>
                <w:sz w:val="18"/>
              </w:rPr>
              <w:t>Employee with variable commission component</w:t>
            </w:r>
          </w:p>
        </w:tc>
      </w:tr>
      <w:tr>
        <w:tc>
          <w:tcPr>
            <w:tcW w:type="dxa" w:w="2268"/>
            <w:shd w:val="clear" w:color="auto" w:fill="FFFFFF"/>
          </w:tcPr>
          <w:p>
            <w:pPr>
              <w:jc w:val="left"/>
            </w:pPr>
            <w:r/>
            <w:r>
              <w:rPr>
                <w:b w:val="0"/>
                <w:i w:val="0"/>
                <w:sz w:val="18"/>
              </w:rPr>
              <w:t>Social security</w:t>
            </w:r>
          </w:p>
        </w:tc>
        <w:tc>
          <w:tcPr>
            <w:tcW w:type="dxa" w:w="2835"/>
            <w:shd w:val="clear" w:color="auto" w:fill="FFFFFF"/>
          </w:tcPr>
          <w:p>
            <w:pPr>
              <w:jc w:val="left"/>
            </w:pPr>
            <w:r/>
            <w:r>
              <w:rPr>
                <w:b w:val="0"/>
                <w:i w:val="0"/>
                <w:sz w:val="18"/>
              </w:rPr>
              <w:t>Agent pays own cuota autónomos (€294–€530/month)</w:t>
            </w:r>
          </w:p>
        </w:tc>
        <w:tc>
          <w:tcPr>
            <w:tcW w:type="dxa" w:w="2835"/>
            <w:shd w:val="clear" w:color="auto" w:fill="FFFFFF"/>
          </w:tcPr>
          <w:p>
            <w:pPr>
              <w:jc w:val="left"/>
            </w:pPr>
            <w:r/>
            <w:r>
              <w:rPr>
                <w:b w:val="0"/>
                <w:i w:val="0"/>
                <w:sz w:val="18"/>
              </w:rPr>
              <w:t>Agency pays 23.6% SS + agent pays 6.4%</w:t>
            </w:r>
          </w:p>
        </w:tc>
        <w:tc>
          <w:tcPr>
            <w:tcW w:type="dxa" w:w="2835"/>
            <w:shd w:val="clear" w:color="auto" w:fill="FFFFFF"/>
          </w:tcPr>
          <w:p>
            <w:pPr>
              <w:jc w:val="left"/>
            </w:pPr>
            <w:r/>
            <w:r>
              <w:rPr>
                <w:b w:val="0"/>
                <w:i w:val="0"/>
                <w:sz w:val="18"/>
              </w:rPr>
              <w:t>Agency pays SS; agent receives base + commission</w:t>
            </w:r>
          </w:p>
        </w:tc>
      </w:tr>
      <w:tr>
        <w:tc>
          <w:tcPr>
            <w:tcW w:type="dxa" w:w="2268"/>
            <w:shd w:val="clear" w:color="auto" w:fill="F8FAFC"/>
          </w:tcPr>
          <w:p>
            <w:pPr>
              <w:jc w:val="left"/>
            </w:pPr>
            <w:r/>
            <w:r>
              <w:rPr>
                <w:b w:val="0"/>
                <w:i w:val="0"/>
                <w:sz w:val="18"/>
              </w:rPr>
              <w:t>Agency cost (per agent)</w:t>
            </w:r>
          </w:p>
        </w:tc>
        <w:tc>
          <w:tcPr>
            <w:tcW w:type="dxa" w:w="2835"/>
            <w:shd w:val="clear" w:color="auto" w:fill="F8FAFC"/>
          </w:tcPr>
          <w:p>
            <w:pPr>
              <w:jc w:val="left"/>
            </w:pPr>
            <w:r/>
            <w:r>
              <w:rPr>
                <w:b w:val="0"/>
                <w:i w:val="0"/>
                <w:sz w:val="18"/>
              </w:rPr>
              <w:t>Commission split only; no SS, no severance</w:t>
            </w:r>
          </w:p>
        </w:tc>
        <w:tc>
          <w:tcPr>
            <w:tcW w:type="dxa" w:w="2835"/>
            <w:shd w:val="clear" w:color="auto" w:fill="F8FAFC"/>
          </w:tcPr>
          <w:p>
            <w:pPr>
              <w:jc w:val="left"/>
            </w:pPr>
            <w:r/>
            <w:r>
              <w:rPr>
                <w:b w:val="0"/>
                <w:i w:val="0"/>
                <w:sz w:val="18"/>
              </w:rPr>
              <w:t>SS contribution + holiday pay + severance risk</w:t>
            </w:r>
          </w:p>
        </w:tc>
        <w:tc>
          <w:tcPr>
            <w:tcW w:type="dxa" w:w="2835"/>
            <w:shd w:val="clear" w:color="auto" w:fill="F8FAFC"/>
          </w:tcPr>
          <w:p>
            <w:pPr>
              <w:jc w:val="left"/>
            </w:pPr>
            <w:r/>
            <w:r>
              <w:rPr>
                <w:b w:val="0"/>
                <w:i w:val="0"/>
                <w:sz w:val="18"/>
              </w:rPr>
              <w:t>Higher fixed cost but legally safe</w:t>
            </w:r>
          </w:p>
        </w:tc>
      </w:tr>
      <w:tr>
        <w:tc>
          <w:tcPr>
            <w:tcW w:type="dxa" w:w="2268"/>
            <w:shd w:val="clear" w:color="auto" w:fill="FFFFFF"/>
          </w:tcPr>
          <w:p>
            <w:pPr>
              <w:jc w:val="left"/>
            </w:pPr>
            <w:r/>
            <w:r>
              <w:rPr>
                <w:b w:val="0"/>
                <w:i w:val="0"/>
                <w:sz w:val="18"/>
              </w:rPr>
              <w:t>Agent earnings</w:t>
            </w:r>
          </w:p>
        </w:tc>
        <w:tc>
          <w:tcPr>
            <w:tcW w:type="dxa" w:w="2835"/>
            <w:shd w:val="clear" w:color="auto" w:fill="FFFFFF"/>
          </w:tcPr>
          <w:p>
            <w:pPr>
              <w:jc w:val="left"/>
            </w:pPr>
            <w:r/>
            <w:r>
              <w:rPr>
                <w:b w:val="0"/>
                <w:i w:val="0"/>
                <w:sz w:val="18"/>
              </w:rPr>
              <w:t>50–80% commission split; no guarantees</w:t>
            </w:r>
          </w:p>
        </w:tc>
        <w:tc>
          <w:tcPr>
            <w:tcW w:type="dxa" w:w="2835"/>
            <w:shd w:val="clear" w:color="auto" w:fill="FFFFFF"/>
          </w:tcPr>
          <w:p>
            <w:pPr>
              <w:jc w:val="left"/>
            </w:pPr>
            <w:r/>
            <w:r>
              <w:rPr>
                <w:b w:val="0"/>
                <w:i w:val="0"/>
                <w:sz w:val="18"/>
              </w:rPr>
              <w:t>Base salary €1,200–1,800 + 30–50% commission split</w:t>
            </w:r>
          </w:p>
        </w:tc>
        <w:tc>
          <w:tcPr>
            <w:tcW w:type="dxa" w:w="2835"/>
            <w:shd w:val="clear" w:color="auto" w:fill="FFFFFF"/>
          </w:tcPr>
          <w:p>
            <w:pPr>
              <w:jc w:val="left"/>
            </w:pPr>
            <w:r/>
            <w:r>
              <w:rPr>
                <w:b w:val="0"/>
                <w:i w:val="0"/>
                <w:sz w:val="18"/>
              </w:rPr>
              <w:t>Base €1,000–1,500 + 40–60% commission split</w:t>
            </w:r>
          </w:p>
        </w:tc>
      </w:tr>
      <w:tr>
        <w:tc>
          <w:tcPr>
            <w:tcW w:type="dxa" w:w="2268"/>
            <w:shd w:val="clear" w:color="auto" w:fill="F8FAFC"/>
          </w:tcPr>
          <w:p>
            <w:pPr>
              <w:jc w:val="left"/>
            </w:pPr>
            <w:r/>
            <w:r>
              <w:rPr>
                <w:b w:val="0"/>
                <w:i w:val="0"/>
                <w:sz w:val="18"/>
              </w:rPr>
              <w:t>Control over agent</w:t>
            </w:r>
          </w:p>
        </w:tc>
        <w:tc>
          <w:tcPr>
            <w:tcW w:type="dxa" w:w="2835"/>
            <w:shd w:val="clear" w:color="auto" w:fill="F8FAFC"/>
          </w:tcPr>
          <w:p>
            <w:pPr>
              <w:jc w:val="left"/>
            </w:pPr>
            <w:r/>
            <w:r>
              <w:rPr>
                <w:b w:val="0"/>
                <w:i w:val="0"/>
                <w:sz w:val="18"/>
              </w:rPr>
              <w:t>LOW — cannot mandate hours, scripts, exclusivity</w:t>
            </w:r>
          </w:p>
        </w:tc>
        <w:tc>
          <w:tcPr>
            <w:tcW w:type="dxa" w:w="2835"/>
            <w:shd w:val="clear" w:color="auto" w:fill="F8FAFC"/>
          </w:tcPr>
          <w:p>
            <w:pPr>
              <w:jc w:val="left"/>
            </w:pPr>
            <w:r/>
            <w:r>
              <w:rPr>
                <w:b w:val="0"/>
                <w:i w:val="0"/>
                <w:sz w:val="18"/>
              </w:rPr>
              <w:t>HIGH — can mandate hours, training, exclusivity</w:t>
            </w:r>
          </w:p>
        </w:tc>
        <w:tc>
          <w:tcPr>
            <w:tcW w:type="dxa" w:w="2835"/>
            <w:shd w:val="clear" w:color="auto" w:fill="F8FAFC"/>
          </w:tcPr>
          <w:p>
            <w:pPr>
              <w:jc w:val="left"/>
            </w:pPr>
            <w:r/>
            <w:r>
              <w:rPr>
                <w:b w:val="0"/>
                <w:i w:val="0"/>
                <w:sz w:val="18"/>
              </w:rPr>
              <w:t>MEDIUM — must be genuine contract not fake freelance</w:t>
            </w:r>
          </w:p>
        </w:tc>
      </w:tr>
      <w:tr>
        <w:tc>
          <w:tcPr>
            <w:tcW w:type="dxa" w:w="2268"/>
            <w:shd w:val="clear" w:color="auto" w:fill="FFFFFF"/>
          </w:tcPr>
          <w:p>
            <w:pPr>
              <w:jc w:val="left"/>
            </w:pPr>
            <w:r/>
            <w:r>
              <w:rPr>
                <w:b w:val="0"/>
                <w:i w:val="0"/>
                <w:sz w:val="18"/>
              </w:rPr>
              <w:t>Risk of misclassification</w:t>
            </w:r>
          </w:p>
        </w:tc>
        <w:tc>
          <w:tcPr>
            <w:tcW w:type="dxa" w:w="2835"/>
            <w:shd w:val="clear" w:color="auto" w:fill="FFFFFF"/>
          </w:tcPr>
          <w:p>
            <w:pPr>
              <w:jc w:val="left"/>
            </w:pPr>
            <w:r/>
            <w:r>
              <w:rPr>
                <w:b w:val="0"/>
                <w:i w:val="0"/>
                <w:sz w:val="18"/>
              </w:rPr>
              <w:t>HIGH if agency controls work like an employee</w:t>
            </w:r>
          </w:p>
        </w:tc>
        <w:tc>
          <w:tcPr>
            <w:tcW w:type="dxa" w:w="2835"/>
            <w:shd w:val="clear" w:color="auto" w:fill="FFFFFF"/>
          </w:tcPr>
          <w:p>
            <w:pPr>
              <w:jc w:val="left"/>
            </w:pPr>
            <w:r/>
            <w:r>
              <w:rPr>
                <w:b w:val="0"/>
                <w:i w:val="0"/>
                <w:sz w:val="18"/>
              </w:rPr>
              <w:t>ZERO if properly contracted</w:t>
            </w:r>
          </w:p>
        </w:tc>
        <w:tc>
          <w:tcPr>
            <w:tcW w:type="dxa" w:w="2835"/>
            <w:shd w:val="clear" w:color="auto" w:fill="FFFFFF"/>
          </w:tcPr>
          <w:p>
            <w:pPr>
              <w:jc w:val="left"/>
            </w:pPr>
            <w:r/>
            <w:r>
              <w:rPr>
                <w:b w:val="0"/>
                <w:i w:val="0"/>
                <w:sz w:val="18"/>
              </w:rPr>
              <w:t>LOW if structured correctly</w:t>
            </w:r>
          </w:p>
        </w:tc>
      </w:tr>
      <w:tr>
        <w:tc>
          <w:tcPr>
            <w:tcW w:type="dxa" w:w="2268"/>
            <w:shd w:val="clear" w:color="auto" w:fill="F8FAFC"/>
          </w:tcPr>
          <w:p>
            <w:pPr>
              <w:jc w:val="left"/>
            </w:pPr>
            <w:r/>
            <w:r>
              <w:rPr>
                <w:b w:val="0"/>
                <w:i w:val="0"/>
                <w:sz w:val="18"/>
              </w:rPr>
              <w:t>Used by</w:t>
            </w:r>
          </w:p>
        </w:tc>
        <w:tc>
          <w:tcPr>
            <w:tcW w:type="dxa" w:w="2835"/>
            <w:shd w:val="clear" w:color="auto" w:fill="F8FAFC"/>
          </w:tcPr>
          <w:p>
            <w:pPr>
              <w:jc w:val="left"/>
            </w:pPr>
            <w:r/>
            <w:r>
              <w:rPr>
                <w:b w:val="0"/>
                <w:i w:val="0"/>
                <w:sz w:val="18"/>
              </w:rPr>
              <w:t>RE/MAX, Tecnocasa, many independents</w:t>
            </w:r>
          </w:p>
        </w:tc>
        <w:tc>
          <w:tcPr>
            <w:tcW w:type="dxa" w:w="2835"/>
            <w:shd w:val="clear" w:color="auto" w:fill="F8FAFC"/>
          </w:tcPr>
          <w:p>
            <w:pPr>
              <w:jc w:val="left"/>
            </w:pPr>
            <w:r/>
            <w:r>
              <w:rPr>
                <w:b w:val="0"/>
                <w:i w:val="0"/>
                <w:sz w:val="18"/>
              </w:rPr>
              <w:t>Growing adoption post E&amp;V fine; Huspy policy</w:t>
            </w:r>
          </w:p>
        </w:tc>
        <w:tc>
          <w:tcPr>
            <w:tcW w:type="dxa" w:w="2835"/>
            <w:shd w:val="clear" w:color="auto" w:fill="F8FAFC"/>
          </w:tcPr>
          <w:p>
            <w:pPr>
              <w:jc w:val="left"/>
            </w:pPr>
            <w:r/>
            <w:r>
              <w:rPr>
                <w:b w:val="0"/>
                <w:i w:val="0"/>
                <w:sz w:val="18"/>
              </w:rPr>
              <w:t>Emerging best practice in Spain</w:t>
            </w:r>
          </w:p>
        </w:tc>
      </w:tr>
      <w:tr>
        <w:tc>
          <w:tcPr>
            <w:tcW w:type="dxa" w:w="2268"/>
            <w:shd w:val="clear" w:color="auto" w:fill="FFFFFF"/>
          </w:tcPr>
          <w:p>
            <w:pPr>
              <w:jc w:val="left"/>
            </w:pPr>
            <w:r/>
            <w:r>
              <w:rPr>
                <w:b w:val="0"/>
                <w:i w:val="0"/>
                <w:sz w:val="18"/>
              </w:rPr>
              <w:t>Huspy position</w:t>
            </w:r>
          </w:p>
        </w:tc>
        <w:tc>
          <w:tcPr>
            <w:tcW w:type="dxa" w:w="2835"/>
            <w:shd w:val="clear" w:color="auto" w:fill="FFFFFF"/>
          </w:tcPr>
          <w:p>
            <w:pPr>
              <w:jc w:val="left"/>
            </w:pPr>
            <w:r/>
            <w:r>
              <w:rPr>
                <w:b w:val="0"/>
                <w:i w:val="0"/>
                <w:sz w:val="18"/>
              </w:rPr>
              <w:t>Avoid — legal and cultural risk</w:t>
            </w:r>
          </w:p>
        </w:tc>
        <w:tc>
          <w:tcPr>
            <w:tcW w:type="dxa" w:w="2835"/>
            <w:shd w:val="clear" w:color="auto" w:fill="FFFFFF"/>
          </w:tcPr>
          <w:p>
            <w:pPr>
              <w:jc w:val="left"/>
            </w:pPr>
            <w:r/>
            <w:r>
              <w:rPr>
                <w:b w:val="0"/>
                <w:i w:val="0"/>
                <w:sz w:val="18"/>
              </w:rPr>
              <w:t>Preferred model for compliance</w:t>
            </w:r>
          </w:p>
        </w:tc>
        <w:tc>
          <w:tcPr>
            <w:tcW w:type="dxa" w:w="2835"/>
            <w:shd w:val="clear" w:color="auto" w:fill="FFFFFF"/>
          </w:tcPr>
          <w:p>
            <w:pPr>
              <w:jc w:val="left"/>
            </w:pPr>
            <w:r/>
            <w:r>
              <w:rPr>
                <w:b w:val="0"/>
                <w:i w:val="0"/>
                <w:sz w:val="18"/>
              </w:rPr>
              <w:t>Acceptable for senior agents with genuine autonomy</w:t>
            </w:r>
          </w:p>
        </w:tc>
      </w:tr>
    </w:tbl>
    <w:p/>
    <w:p>
      <w:pPr>
        <w:spacing w:after="80"/>
      </w:pPr>
      <w:r>
        <w:rPr>
          <w:b/>
          <w:i w:val="0"/>
          <w:color w:val="C0392B"/>
          <w:sz w:val="20"/>
        </w:rPr>
        <w:t>The E&amp;V case (TEAC resolution 2023): Inspectors found agents were working fixed hours in E&amp;V offices, using E&amp;V systems, wearing E&amp;V uniforms — yet classified as autónomos. The court ruled this was an employment relationship. Fine: €22M back SS contributions + penalties. Any agency replicating this model faces the same exposure.</w:t>
      </w:r>
    </w:p>
    <w:p>
      <w:pPr>
        <w:spacing w:before="160" w:after="40"/>
      </w:pPr>
      <w:r>
        <w:rPr>
          <w:b/>
          <w:color w:val="0A1628"/>
          <w:sz w:val="22"/>
        </w:rPr>
        <w:t>Agent Economics: What Does a Huspy Agent Actually Earn?</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2268"/>
            <w:shd w:val="clear" w:color="auto" w:fill="0A1628"/>
          </w:tcPr>
          <w:p>
            <w:pPr>
              <w:jc w:val="left"/>
            </w:pPr>
            <w:r/>
            <w:r>
              <w:rPr>
                <w:b/>
                <w:i w:val="0"/>
                <w:color w:val="FFFFFF"/>
                <w:sz w:val="18"/>
              </w:rPr>
              <w:t>Scenario</w:t>
            </w:r>
          </w:p>
        </w:tc>
        <w:tc>
          <w:tcPr>
            <w:tcW w:type="dxa" w:w="1417"/>
            <w:shd w:val="clear" w:color="auto" w:fill="0A1628"/>
          </w:tcPr>
          <w:p>
            <w:pPr>
              <w:jc w:val="left"/>
            </w:pPr>
            <w:r/>
            <w:r>
              <w:rPr>
                <w:b/>
                <w:i w:val="0"/>
                <w:color w:val="FFFFFF"/>
                <w:sz w:val="18"/>
              </w:rPr>
              <w:t>Txns/Month</w:t>
            </w:r>
          </w:p>
        </w:tc>
        <w:tc>
          <w:tcPr>
            <w:tcW w:type="dxa" w:w="1417"/>
            <w:shd w:val="clear" w:color="auto" w:fill="0A1628"/>
          </w:tcPr>
          <w:p>
            <w:pPr>
              <w:jc w:val="left"/>
            </w:pPr>
            <w:r/>
            <w:r>
              <w:rPr>
                <w:b/>
                <w:i w:val="0"/>
                <w:color w:val="FFFFFF"/>
                <w:sz w:val="18"/>
              </w:rPr>
              <w:t>Avg Ticket</w:t>
            </w:r>
          </w:p>
        </w:tc>
        <w:tc>
          <w:tcPr>
            <w:tcW w:type="dxa" w:w="1701"/>
            <w:shd w:val="clear" w:color="auto" w:fill="0A1628"/>
          </w:tcPr>
          <w:p>
            <w:pPr>
              <w:jc w:val="left"/>
            </w:pPr>
            <w:r/>
            <w:r>
              <w:rPr>
                <w:b/>
                <w:i w:val="0"/>
                <w:color w:val="FFFFFF"/>
                <w:sz w:val="18"/>
              </w:rPr>
              <w:t>Commission (4%)</w:t>
            </w:r>
          </w:p>
        </w:tc>
        <w:tc>
          <w:tcPr>
            <w:tcW w:type="dxa" w:w="1701"/>
            <w:shd w:val="clear" w:color="auto" w:fill="0A1628"/>
          </w:tcPr>
          <w:p>
            <w:pPr>
              <w:jc w:val="left"/>
            </w:pPr>
            <w:r/>
            <w:r>
              <w:rPr>
                <w:b/>
                <w:i w:val="0"/>
                <w:color w:val="FFFFFF"/>
                <w:sz w:val="18"/>
              </w:rPr>
              <w:t>Agent Split (70%)</w:t>
            </w:r>
          </w:p>
        </w:tc>
        <w:tc>
          <w:tcPr>
            <w:tcW w:type="dxa" w:w="1701"/>
            <w:shd w:val="clear" w:color="auto" w:fill="0A1628"/>
          </w:tcPr>
          <w:p>
            <w:pPr>
              <w:jc w:val="left"/>
            </w:pPr>
            <w:r/>
            <w:r>
              <w:rPr>
                <w:b/>
                <w:i w:val="0"/>
                <w:color w:val="FFFFFF"/>
                <w:sz w:val="18"/>
              </w:rPr>
              <w:t>Mortgage Attach (40%)</w:t>
            </w:r>
          </w:p>
        </w:tc>
        <w:tc>
          <w:tcPr>
            <w:tcW w:type="dxa" w:w="1701"/>
            <w:shd w:val="clear" w:color="auto" w:fill="0A1628"/>
          </w:tcPr>
          <w:p>
            <w:pPr>
              <w:jc w:val="left"/>
            </w:pPr>
            <w:r/>
            <w:r>
              <w:rPr>
                <w:b/>
                <w:i w:val="0"/>
                <w:color w:val="FFFFFF"/>
                <w:sz w:val="18"/>
              </w:rPr>
              <w:t>Agent Monthly OTE</w:t>
            </w:r>
          </w:p>
        </w:tc>
        <w:tc>
          <w:tcPr>
            <w:tcW w:type="dxa" w:w="1417"/>
            <w:shd w:val="clear" w:color="auto" w:fill="0A1628"/>
          </w:tcPr>
          <w:p>
            <w:pPr>
              <w:jc w:val="left"/>
            </w:pPr>
            <w:r/>
            <w:r>
              <w:rPr>
                <w:b/>
                <w:i w:val="0"/>
                <w:color w:val="FFFFFF"/>
                <w:sz w:val="18"/>
              </w:rPr>
              <w:t>Annual OTE</w:t>
            </w:r>
          </w:p>
        </w:tc>
      </w:tr>
      <w:tr>
        <w:tc>
          <w:tcPr>
            <w:tcW w:type="dxa" w:w="2268"/>
            <w:shd w:val="clear" w:color="auto" w:fill="F8FAFC"/>
          </w:tcPr>
          <w:p>
            <w:pPr>
              <w:jc w:val="left"/>
            </w:pPr>
            <w:r/>
            <w:r>
              <w:rPr>
                <w:b w:val="0"/>
                <w:i w:val="0"/>
                <w:sz w:val="18"/>
              </w:rPr>
              <w:t>Starting agent (ramp)</w:t>
            </w:r>
          </w:p>
        </w:tc>
        <w:tc>
          <w:tcPr>
            <w:tcW w:type="dxa" w:w="1417"/>
            <w:shd w:val="clear" w:color="auto" w:fill="F8FAFC"/>
          </w:tcPr>
          <w:p>
            <w:pPr>
              <w:jc w:val="left"/>
            </w:pPr>
            <w:r/>
            <w:r>
              <w:rPr>
                <w:b w:val="0"/>
                <w:i w:val="0"/>
                <w:sz w:val="18"/>
              </w:rPr>
              <w:t>0.5</w:t>
            </w:r>
          </w:p>
        </w:tc>
        <w:tc>
          <w:tcPr>
            <w:tcW w:type="dxa" w:w="1417"/>
            <w:shd w:val="clear" w:color="auto" w:fill="F8FAFC"/>
          </w:tcPr>
          <w:p>
            <w:pPr>
              <w:jc w:val="left"/>
            </w:pPr>
            <w:r/>
            <w:r>
              <w:rPr>
                <w:b w:val="0"/>
                <w:i w:val="0"/>
                <w:sz w:val="18"/>
              </w:rPr>
              <w:t>€240,000</w:t>
            </w:r>
          </w:p>
        </w:tc>
        <w:tc>
          <w:tcPr>
            <w:tcW w:type="dxa" w:w="1701"/>
            <w:shd w:val="clear" w:color="auto" w:fill="F8FAFC"/>
          </w:tcPr>
          <w:p>
            <w:pPr>
              <w:jc w:val="left"/>
            </w:pPr>
            <w:r/>
            <w:r>
              <w:rPr>
                <w:b w:val="0"/>
                <w:i w:val="0"/>
                <w:sz w:val="18"/>
              </w:rPr>
              <w:t>€9,600 gross</w:t>
            </w:r>
          </w:p>
        </w:tc>
        <w:tc>
          <w:tcPr>
            <w:tcW w:type="dxa" w:w="1701"/>
            <w:shd w:val="clear" w:color="auto" w:fill="F8FAFC"/>
          </w:tcPr>
          <w:p>
            <w:pPr>
              <w:jc w:val="left"/>
            </w:pPr>
            <w:r/>
            <w:r>
              <w:rPr>
                <w:b w:val="0"/>
                <w:i w:val="0"/>
                <w:sz w:val="18"/>
              </w:rPr>
              <w:t>€6,720 net</w:t>
            </w:r>
          </w:p>
        </w:tc>
        <w:tc>
          <w:tcPr>
            <w:tcW w:type="dxa" w:w="1701"/>
            <w:shd w:val="clear" w:color="auto" w:fill="F8FAFC"/>
          </w:tcPr>
          <w:p>
            <w:pPr>
              <w:jc w:val="left"/>
            </w:pPr>
            <w:r/>
            <w:r>
              <w:rPr>
                <w:b w:val="0"/>
                <w:i w:val="0"/>
                <w:sz w:val="18"/>
              </w:rPr>
              <w:t>+€200 avg</w:t>
            </w:r>
          </w:p>
        </w:tc>
        <w:tc>
          <w:tcPr>
            <w:tcW w:type="dxa" w:w="1701"/>
            <w:shd w:val="clear" w:color="auto" w:fill="F8FAFC"/>
          </w:tcPr>
          <w:p>
            <w:pPr>
              <w:jc w:val="left"/>
            </w:pPr>
            <w:r/>
            <w:r>
              <w:rPr>
                <w:b w:val="0"/>
                <w:i w:val="0"/>
                <w:sz w:val="18"/>
              </w:rPr>
              <w:t>~€6,920</w:t>
            </w:r>
          </w:p>
        </w:tc>
        <w:tc>
          <w:tcPr>
            <w:tcW w:type="dxa" w:w="1417"/>
            <w:shd w:val="clear" w:color="auto" w:fill="F8FAFC"/>
          </w:tcPr>
          <w:p>
            <w:pPr>
              <w:jc w:val="left"/>
            </w:pPr>
            <w:r/>
            <w:r>
              <w:rPr>
                <w:b w:val="0"/>
                <w:i w:val="0"/>
                <w:sz w:val="18"/>
              </w:rPr>
              <w:t>~€83k</w:t>
            </w:r>
          </w:p>
        </w:tc>
      </w:tr>
      <w:tr>
        <w:tc>
          <w:tcPr>
            <w:tcW w:type="dxa" w:w="2268"/>
            <w:shd w:val="clear" w:color="auto" w:fill="FFFFFF"/>
          </w:tcPr>
          <w:p>
            <w:pPr>
              <w:jc w:val="left"/>
            </w:pPr>
            <w:r/>
            <w:r>
              <w:rPr>
                <w:b w:val="0"/>
                <w:i w:val="0"/>
                <w:sz w:val="18"/>
              </w:rPr>
              <w:t>Productive agent</w:t>
            </w:r>
          </w:p>
        </w:tc>
        <w:tc>
          <w:tcPr>
            <w:tcW w:type="dxa" w:w="1417"/>
            <w:shd w:val="clear" w:color="auto" w:fill="FFFFFF"/>
          </w:tcPr>
          <w:p>
            <w:pPr>
              <w:jc w:val="left"/>
            </w:pPr>
            <w:r/>
            <w:r>
              <w:rPr>
                <w:b w:val="0"/>
                <w:i w:val="0"/>
                <w:sz w:val="18"/>
              </w:rPr>
              <w:t>1.0</w:t>
            </w:r>
          </w:p>
        </w:tc>
        <w:tc>
          <w:tcPr>
            <w:tcW w:type="dxa" w:w="1417"/>
            <w:shd w:val="clear" w:color="auto" w:fill="FFFFFF"/>
          </w:tcPr>
          <w:p>
            <w:pPr>
              <w:jc w:val="left"/>
            </w:pPr>
            <w:r/>
            <w:r>
              <w:rPr>
                <w:b w:val="0"/>
                <w:i w:val="0"/>
                <w:sz w:val="18"/>
              </w:rPr>
              <w:t>€265,000</w:t>
            </w:r>
          </w:p>
        </w:tc>
        <w:tc>
          <w:tcPr>
            <w:tcW w:type="dxa" w:w="1701"/>
            <w:shd w:val="clear" w:color="auto" w:fill="FFFFFF"/>
          </w:tcPr>
          <w:p>
            <w:pPr>
              <w:jc w:val="left"/>
            </w:pPr>
            <w:r/>
            <w:r>
              <w:rPr>
                <w:b w:val="0"/>
                <w:i w:val="0"/>
                <w:sz w:val="18"/>
              </w:rPr>
              <w:t>€10,600 gross</w:t>
            </w:r>
          </w:p>
        </w:tc>
        <w:tc>
          <w:tcPr>
            <w:tcW w:type="dxa" w:w="1701"/>
            <w:shd w:val="clear" w:color="auto" w:fill="FFFFFF"/>
          </w:tcPr>
          <w:p>
            <w:pPr>
              <w:jc w:val="left"/>
            </w:pPr>
            <w:r/>
            <w:r>
              <w:rPr>
                <w:b w:val="0"/>
                <w:i w:val="0"/>
                <w:sz w:val="18"/>
              </w:rPr>
              <w:t>€7,420 net</w:t>
            </w:r>
          </w:p>
        </w:tc>
        <w:tc>
          <w:tcPr>
            <w:tcW w:type="dxa" w:w="1701"/>
            <w:shd w:val="clear" w:color="auto" w:fill="FFFFFF"/>
          </w:tcPr>
          <w:p>
            <w:pPr>
              <w:jc w:val="left"/>
            </w:pPr>
            <w:r/>
            <w:r>
              <w:rPr>
                <w:b w:val="0"/>
                <w:i w:val="0"/>
                <w:sz w:val="18"/>
              </w:rPr>
              <w:t>+€400 avg</w:t>
            </w:r>
          </w:p>
        </w:tc>
        <w:tc>
          <w:tcPr>
            <w:tcW w:type="dxa" w:w="1701"/>
            <w:shd w:val="clear" w:color="auto" w:fill="FFFFFF"/>
          </w:tcPr>
          <w:p>
            <w:pPr>
              <w:jc w:val="left"/>
            </w:pPr>
            <w:r/>
            <w:r>
              <w:rPr>
                <w:b w:val="0"/>
                <w:i w:val="0"/>
                <w:sz w:val="18"/>
              </w:rPr>
              <w:t>~€7,820</w:t>
            </w:r>
          </w:p>
        </w:tc>
        <w:tc>
          <w:tcPr>
            <w:tcW w:type="dxa" w:w="1417"/>
            <w:shd w:val="clear" w:color="auto" w:fill="FFFFFF"/>
          </w:tcPr>
          <w:p>
            <w:pPr>
              <w:jc w:val="left"/>
            </w:pPr>
            <w:r/>
            <w:r>
              <w:rPr>
                <w:b w:val="0"/>
                <w:i w:val="0"/>
                <w:sz w:val="18"/>
              </w:rPr>
              <w:t>~€94k</w:t>
            </w:r>
          </w:p>
        </w:tc>
      </w:tr>
      <w:tr>
        <w:tc>
          <w:tcPr>
            <w:tcW w:type="dxa" w:w="2268"/>
            <w:shd w:val="clear" w:color="auto" w:fill="F8FAFC"/>
          </w:tcPr>
          <w:p>
            <w:pPr>
              <w:jc w:val="left"/>
            </w:pPr>
            <w:r/>
            <w:r>
              <w:rPr>
                <w:b w:val="0"/>
                <w:i w:val="0"/>
                <w:sz w:val="18"/>
              </w:rPr>
              <w:t>Strong performer</w:t>
            </w:r>
          </w:p>
        </w:tc>
        <w:tc>
          <w:tcPr>
            <w:tcW w:type="dxa" w:w="1417"/>
            <w:shd w:val="clear" w:color="auto" w:fill="F8FAFC"/>
          </w:tcPr>
          <w:p>
            <w:pPr>
              <w:jc w:val="left"/>
            </w:pPr>
            <w:r/>
            <w:r>
              <w:rPr>
                <w:b w:val="0"/>
                <w:i w:val="0"/>
                <w:sz w:val="18"/>
              </w:rPr>
              <w:t>1.5</w:t>
            </w:r>
          </w:p>
        </w:tc>
        <w:tc>
          <w:tcPr>
            <w:tcW w:type="dxa" w:w="1417"/>
            <w:shd w:val="clear" w:color="auto" w:fill="F8FAFC"/>
          </w:tcPr>
          <w:p>
            <w:pPr>
              <w:jc w:val="left"/>
            </w:pPr>
            <w:r/>
            <w:r>
              <w:rPr>
                <w:b w:val="0"/>
                <w:i w:val="0"/>
                <w:sz w:val="18"/>
              </w:rPr>
              <w:t>€280,000</w:t>
            </w:r>
          </w:p>
        </w:tc>
        <w:tc>
          <w:tcPr>
            <w:tcW w:type="dxa" w:w="1701"/>
            <w:shd w:val="clear" w:color="auto" w:fill="F8FAFC"/>
          </w:tcPr>
          <w:p>
            <w:pPr>
              <w:jc w:val="left"/>
            </w:pPr>
            <w:r/>
            <w:r>
              <w:rPr>
                <w:b w:val="0"/>
                <w:i w:val="0"/>
                <w:sz w:val="18"/>
              </w:rPr>
              <w:t>€11,200 gross</w:t>
            </w:r>
          </w:p>
        </w:tc>
        <w:tc>
          <w:tcPr>
            <w:tcW w:type="dxa" w:w="1701"/>
            <w:shd w:val="clear" w:color="auto" w:fill="F8FAFC"/>
          </w:tcPr>
          <w:p>
            <w:pPr>
              <w:jc w:val="left"/>
            </w:pPr>
            <w:r/>
            <w:r>
              <w:rPr>
                <w:b w:val="0"/>
                <w:i w:val="0"/>
                <w:sz w:val="18"/>
              </w:rPr>
              <w:t>€7,840 net</w:t>
            </w:r>
          </w:p>
        </w:tc>
        <w:tc>
          <w:tcPr>
            <w:tcW w:type="dxa" w:w="1701"/>
            <w:shd w:val="clear" w:color="auto" w:fill="F8FAFC"/>
          </w:tcPr>
          <w:p>
            <w:pPr>
              <w:jc w:val="left"/>
            </w:pPr>
            <w:r/>
            <w:r>
              <w:rPr>
                <w:b w:val="0"/>
                <w:i w:val="0"/>
                <w:sz w:val="18"/>
              </w:rPr>
              <w:t>+€600 avg</w:t>
            </w:r>
          </w:p>
        </w:tc>
        <w:tc>
          <w:tcPr>
            <w:tcW w:type="dxa" w:w="1701"/>
            <w:shd w:val="clear" w:color="auto" w:fill="F8FAFC"/>
          </w:tcPr>
          <w:p>
            <w:pPr>
              <w:jc w:val="left"/>
            </w:pPr>
            <w:r/>
            <w:r>
              <w:rPr>
                <w:b w:val="0"/>
                <w:i w:val="0"/>
                <w:sz w:val="18"/>
              </w:rPr>
              <w:t>~€8,440</w:t>
            </w:r>
          </w:p>
        </w:tc>
        <w:tc>
          <w:tcPr>
            <w:tcW w:type="dxa" w:w="1417"/>
            <w:shd w:val="clear" w:color="auto" w:fill="F8FAFC"/>
          </w:tcPr>
          <w:p>
            <w:pPr>
              <w:jc w:val="left"/>
            </w:pPr>
            <w:r/>
            <w:r>
              <w:rPr>
                <w:b w:val="0"/>
                <w:i w:val="0"/>
                <w:sz w:val="18"/>
              </w:rPr>
              <w:t>~€101k</w:t>
            </w:r>
          </w:p>
        </w:tc>
      </w:tr>
      <w:tr>
        <w:tc>
          <w:tcPr>
            <w:tcW w:type="dxa" w:w="2268"/>
            <w:shd w:val="clear" w:color="auto" w:fill="FFFFFF"/>
          </w:tcPr>
          <w:p>
            <w:pPr>
              <w:jc w:val="left"/>
            </w:pPr>
            <w:r/>
            <w:r>
              <w:rPr>
                <w:b w:val="0"/>
                <w:i w:val="0"/>
                <w:sz w:val="18"/>
              </w:rPr>
              <w:t>Top performer</w:t>
            </w:r>
          </w:p>
        </w:tc>
        <w:tc>
          <w:tcPr>
            <w:tcW w:type="dxa" w:w="1417"/>
            <w:shd w:val="clear" w:color="auto" w:fill="FFFFFF"/>
          </w:tcPr>
          <w:p>
            <w:pPr>
              <w:jc w:val="left"/>
            </w:pPr>
            <w:r/>
            <w:r>
              <w:rPr>
                <w:b w:val="0"/>
                <w:i w:val="0"/>
                <w:sz w:val="18"/>
              </w:rPr>
              <w:t>2.0</w:t>
            </w:r>
          </w:p>
        </w:tc>
        <w:tc>
          <w:tcPr>
            <w:tcW w:type="dxa" w:w="1417"/>
            <w:shd w:val="clear" w:color="auto" w:fill="FFFFFF"/>
          </w:tcPr>
          <w:p>
            <w:pPr>
              <w:jc w:val="left"/>
            </w:pPr>
            <w:r/>
            <w:r>
              <w:rPr>
                <w:b w:val="0"/>
                <w:i w:val="0"/>
                <w:sz w:val="18"/>
              </w:rPr>
              <w:t>€300,000</w:t>
            </w:r>
          </w:p>
        </w:tc>
        <w:tc>
          <w:tcPr>
            <w:tcW w:type="dxa" w:w="1701"/>
            <w:shd w:val="clear" w:color="auto" w:fill="FFFFFF"/>
          </w:tcPr>
          <w:p>
            <w:pPr>
              <w:jc w:val="left"/>
            </w:pPr>
            <w:r/>
            <w:r>
              <w:rPr>
                <w:b w:val="0"/>
                <w:i w:val="0"/>
                <w:sz w:val="18"/>
              </w:rPr>
              <w:t>€12,000 gross</w:t>
            </w:r>
          </w:p>
        </w:tc>
        <w:tc>
          <w:tcPr>
            <w:tcW w:type="dxa" w:w="1701"/>
            <w:shd w:val="clear" w:color="auto" w:fill="FFFFFF"/>
          </w:tcPr>
          <w:p>
            <w:pPr>
              <w:jc w:val="left"/>
            </w:pPr>
            <w:r/>
            <w:r>
              <w:rPr>
                <w:b w:val="0"/>
                <w:i w:val="0"/>
                <w:sz w:val="18"/>
              </w:rPr>
              <w:t>€8,400 net</w:t>
            </w:r>
          </w:p>
        </w:tc>
        <w:tc>
          <w:tcPr>
            <w:tcW w:type="dxa" w:w="1701"/>
            <w:shd w:val="clear" w:color="auto" w:fill="FFFFFF"/>
          </w:tcPr>
          <w:p>
            <w:pPr>
              <w:jc w:val="left"/>
            </w:pPr>
            <w:r/>
            <w:r>
              <w:rPr>
                <w:b w:val="0"/>
                <w:i w:val="0"/>
                <w:sz w:val="18"/>
              </w:rPr>
              <w:t>+€800 avg</w:t>
            </w:r>
          </w:p>
        </w:tc>
        <w:tc>
          <w:tcPr>
            <w:tcW w:type="dxa" w:w="1701"/>
            <w:shd w:val="clear" w:color="auto" w:fill="FFFFFF"/>
          </w:tcPr>
          <w:p>
            <w:pPr>
              <w:jc w:val="left"/>
            </w:pPr>
            <w:r/>
            <w:r>
              <w:rPr>
                <w:b w:val="0"/>
                <w:i w:val="0"/>
                <w:sz w:val="18"/>
              </w:rPr>
              <w:t>~€9,200</w:t>
            </w:r>
          </w:p>
        </w:tc>
        <w:tc>
          <w:tcPr>
            <w:tcW w:type="dxa" w:w="1417"/>
            <w:shd w:val="clear" w:color="auto" w:fill="FFFFFF"/>
          </w:tcPr>
          <w:p>
            <w:pPr>
              <w:jc w:val="left"/>
            </w:pPr>
            <w:r/>
            <w:r>
              <w:rPr>
                <w:b w:val="0"/>
                <w:i w:val="0"/>
                <w:sz w:val="18"/>
              </w:rPr>
              <w:t>~€110k</w:t>
            </w:r>
          </w:p>
        </w:tc>
      </w:tr>
      <w:tr>
        <w:tc>
          <w:tcPr>
            <w:tcW w:type="dxa" w:w="2268"/>
            <w:shd w:val="clear" w:color="auto" w:fill="F8FAFC"/>
          </w:tcPr>
          <w:p>
            <w:pPr>
              <w:jc w:val="left"/>
            </w:pPr>
            <w:r/>
            <w:r>
              <w:rPr>
                <w:b w:val="0"/>
                <w:i w:val="0"/>
                <w:sz w:val="18"/>
              </w:rPr>
              <w:t>Luxury specialist (Marbella)</w:t>
            </w:r>
          </w:p>
        </w:tc>
        <w:tc>
          <w:tcPr>
            <w:tcW w:type="dxa" w:w="1417"/>
            <w:shd w:val="clear" w:color="auto" w:fill="F8FAFC"/>
          </w:tcPr>
          <w:p>
            <w:pPr>
              <w:jc w:val="left"/>
            </w:pPr>
            <w:r/>
            <w:r>
              <w:rPr>
                <w:b w:val="0"/>
                <w:i w:val="0"/>
                <w:sz w:val="18"/>
              </w:rPr>
              <w:t>1.0</w:t>
            </w:r>
          </w:p>
        </w:tc>
        <w:tc>
          <w:tcPr>
            <w:tcW w:type="dxa" w:w="1417"/>
            <w:shd w:val="clear" w:color="auto" w:fill="F8FAFC"/>
          </w:tcPr>
          <w:p>
            <w:pPr>
              <w:jc w:val="left"/>
            </w:pPr>
            <w:r/>
            <w:r>
              <w:rPr>
                <w:b w:val="0"/>
                <w:i w:val="0"/>
                <w:sz w:val="18"/>
              </w:rPr>
              <w:t>€600,000</w:t>
            </w:r>
          </w:p>
        </w:tc>
        <w:tc>
          <w:tcPr>
            <w:tcW w:type="dxa" w:w="1701"/>
            <w:shd w:val="clear" w:color="auto" w:fill="F8FAFC"/>
          </w:tcPr>
          <w:p>
            <w:pPr>
              <w:jc w:val="left"/>
            </w:pPr>
            <w:r/>
            <w:r>
              <w:rPr>
                <w:b w:val="0"/>
                <w:i w:val="0"/>
                <w:sz w:val="18"/>
              </w:rPr>
              <w:t>€24,000 gross</w:t>
            </w:r>
          </w:p>
        </w:tc>
        <w:tc>
          <w:tcPr>
            <w:tcW w:type="dxa" w:w="1701"/>
            <w:shd w:val="clear" w:color="auto" w:fill="F8FAFC"/>
          </w:tcPr>
          <w:p>
            <w:pPr>
              <w:jc w:val="left"/>
            </w:pPr>
            <w:r/>
            <w:r>
              <w:rPr>
                <w:b w:val="0"/>
                <w:i w:val="0"/>
                <w:sz w:val="18"/>
              </w:rPr>
              <w:t>€16,800 net</w:t>
            </w:r>
          </w:p>
        </w:tc>
        <w:tc>
          <w:tcPr>
            <w:tcW w:type="dxa" w:w="1701"/>
            <w:shd w:val="clear" w:color="auto" w:fill="F8FAFC"/>
          </w:tcPr>
          <w:p>
            <w:pPr>
              <w:jc w:val="left"/>
            </w:pPr>
            <w:r/>
            <w:r>
              <w:rPr>
                <w:b w:val="0"/>
                <w:i w:val="0"/>
                <w:sz w:val="18"/>
              </w:rPr>
              <w:t>+€600 avg</w:t>
            </w:r>
          </w:p>
        </w:tc>
        <w:tc>
          <w:tcPr>
            <w:tcW w:type="dxa" w:w="1701"/>
            <w:shd w:val="clear" w:color="auto" w:fill="F8FAFC"/>
          </w:tcPr>
          <w:p>
            <w:pPr>
              <w:jc w:val="left"/>
            </w:pPr>
            <w:r/>
            <w:r>
              <w:rPr>
                <w:b w:val="0"/>
                <w:i w:val="0"/>
                <w:sz w:val="18"/>
              </w:rPr>
              <w:t>~€17,400</w:t>
            </w:r>
          </w:p>
        </w:tc>
        <w:tc>
          <w:tcPr>
            <w:tcW w:type="dxa" w:w="1417"/>
            <w:shd w:val="clear" w:color="auto" w:fill="F8FAFC"/>
          </w:tcPr>
          <w:p>
            <w:pPr>
              <w:jc w:val="left"/>
            </w:pPr>
            <w:r/>
            <w:r>
              <w:rPr>
                <w:b w:val="0"/>
                <w:i w:val="0"/>
                <w:sz w:val="18"/>
              </w:rPr>
              <w:t>~€209k</w:t>
            </w:r>
          </w:p>
        </w:tc>
      </w:tr>
    </w:tbl>
    <w:p/>
    <w:p>
      <w:pPr>
        <w:spacing w:after="80"/>
      </w:pPr>
      <w:r>
        <w:rPr>
          <w:b/>
          <w:i w:val="0"/>
          <w:color w:val="27AE60"/>
          <w:sz w:val="20"/>
        </w:rPr>
        <w:t>Mortgage attach is the multiplier. Every deal where the buyer uses a Huspy mortgage adds €400–800 to the agent's income at zero extra work. Training every agent to position the Huspy mortgage pre-approval at the first buyer meeting is the highest-ROI activity in the entire operation.</w:t>
      </w:r>
    </w:p>
    <w:p>
      <w:pPr>
        <w:spacing w:before="160" w:after="40"/>
      </w:pPr>
      <w:r>
        <w:rPr>
          <w:b/>
          <w:color w:val="0A1628"/>
          <w:sz w:val="22"/>
        </w:rPr>
        <w:t>Recruiting &amp; Onboarding: What Makes a High-Performing Agent</w:t>
      </w:r>
    </w:p>
    <w:tbl>
      <w:tblPr>
        <w:tblStyle w:val="TableGrid"/>
        <w:tblW w:type="auto" w:w="0"/>
        <w:tblLook w:firstColumn="1" w:firstRow="1" w:lastColumn="0" w:lastRow="0" w:noHBand="0" w:noVBand="1" w:val="04A0"/>
      </w:tblPr>
      <w:tblGrid>
        <w:gridCol w:w="2351"/>
        <w:gridCol w:w="2351"/>
        <w:gridCol w:w="2351"/>
        <w:gridCol w:w="2351"/>
      </w:tblGrid>
      <w:tr>
        <w:tc>
          <w:tcPr>
            <w:tcW w:type="dxa" w:w="1984"/>
            <w:shd w:val="clear" w:color="auto" w:fill="0A1628"/>
          </w:tcPr>
          <w:p>
            <w:pPr>
              <w:jc w:val="left"/>
            </w:pPr>
            <w:r/>
            <w:r>
              <w:rPr>
                <w:b/>
                <w:i w:val="0"/>
                <w:color w:val="FFFFFF"/>
                <w:sz w:val="18"/>
              </w:rPr>
              <w:t>Profile Factor</w:t>
            </w:r>
          </w:p>
        </w:tc>
        <w:tc>
          <w:tcPr>
            <w:tcW w:type="dxa" w:w="2835"/>
            <w:shd w:val="clear" w:color="auto" w:fill="0A1628"/>
          </w:tcPr>
          <w:p>
            <w:pPr>
              <w:jc w:val="left"/>
            </w:pPr>
            <w:r/>
            <w:r>
              <w:rPr>
                <w:b/>
                <w:i w:val="0"/>
                <w:color w:val="FFFFFF"/>
                <w:sz w:val="18"/>
              </w:rPr>
              <w:t>Green Flag</w:t>
            </w:r>
          </w:p>
        </w:tc>
        <w:tc>
          <w:tcPr>
            <w:tcW w:type="dxa" w:w="2551"/>
            <w:shd w:val="clear" w:color="auto" w:fill="0A1628"/>
          </w:tcPr>
          <w:p>
            <w:pPr>
              <w:jc w:val="left"/>
            </w:pPr>
            <w:r/>
            <w:r>
              <w:rPr>
                <w:b/>
                <w:i w:val="0"/>
                <w:color w:val="FFFFFF"/>
                <w:sz w:val="18"/>
              </w:rPr>
              <w:t>Red Flag</w:t>
            </w:r>
          </w:p>
        </w:tc>
        <w:tc>
          <w:tcPr>
            <w:tcW w:type="dxa" w:w="3118"/>
            <w:shd w:val="clear" w:color="auto" w:fill="0A1628"/>
          </w:tcPr>
          <w:p>
            <w:pPr>
              <w:jc w:val="left"/>
            </w:pPr>
            <w:r/>
            <w:r>
              <w:rPr>
                <w:b/>
                <w:i w:val="0"/>
                <w:color w:val="FFFFFF"/>
                <w:sz w:val="18"/>
              </w:rPr>
              <w:t>Huspy Priority Weight</w:t>
            </w:r>
          </w:p>
        </w:tc>
      </w:tr>
      <w:tr>
        <w:tc>
          <w:tcPr>
            <w:tcW w:type="dxa" w:w="1984"/>
            <w:shd w:val="clear" w:color="auto" w:fill="F8FAFC"/>
          </w:tcPr>
          <w:p>
            <w:pPr>
              <w:jc w:val="left"/>
            </w:pPr>
            <w:r/>
            <w:r>
              <w:rPr>
                <w:b w:val="0"/>
                <w:i w:val="0"/>
                <w:sz w:val="18"/>
              </w:rPr>
              <w:t>Language skills</w:t>
            </w:r>
          </w:p>
        </w:tc>
        <w:tc>
          <w:tcPr>
            <w:tcW w:type="dxa" w:w="2835"/>
            <w:shd w:val="clear" w:color="auto" w:fill="F8FAFC"/>
          </w:tcPr>
          <w:p>
            <w:pPr>
              <w:jc w:val="left"/>
            </w:pPr>
            <w:r/>
            <w:r>
              <w:rPr>
                <w:b w:val="0"/>
                <w:i w:val="0"/>
                <w:sz w:val="18"/>
              </w:rPr>
              <w:t>English + Spanish fluent; German/French a bonus</w:t>
            </w:r>
          </w:p>
        </w:tc>
        <w:tc>
          <w:tcPr>
            <w:tcW w:type="dxa" w:w="2551"/>
            <w:shd w:val="clear" w:color="auto" w:fill="F8FAFC"/>
          </w:tcPr>
          <w:p>
            <w:pPr>
              <w:jc w:val="left"/>
            </w:pPr>
            <w:r/>
            <w:r>
              <w:rPr>
                <w:b w:val="0"/>
                <w:i w:val="0"/>
                <w:sz w:val="18"/>
              </w:rPr>
              <w:t>Spanish only in a 40% foreign-buyer market</w:t>
            </w:r>
          </w:p>
        </w:tc>
        <w:tc>
          <w:tcPr>
            <w:tcW w:type="dxa" w:w="3118"/>
            <w:shd w:val="clear" w:color="auto" w:fill="F8FAFC"/>
          </w:tcPr>
          <w:p>
            <w:pPr>
              <w:jc w:val="left"/>
            </w:pPr>
            <w:r/>
            <w:r>
              <w:rPr>
                <w:b w:val="0"/>
                <w:i w:val="0"/>
                <w:sz w:val="18"/>
              </w:rPr>
              <w:t>HIGH — Málaga foreign buyer segment requires it</w:t>
            </w:r>
          </w:p>
        </w:tc>
      </w:tr>
      <w:tr>
        <w:tc>
          <w:tcPr>
            <w:tcW w:type="dxa" w:w="1984"/>
            <w:shd w:val="clear" w:color="auto" w:fill="FFFFFF"/>
          </w:tcPr>
          <w:p>
            <w:pPr>
              <w:jc w:val="left"/>
            </w:pPr>
            <w:r/>
            <w:r>
              <w:rPr>
                <w:b w:val="0"/>
                <w:i w:val="0"/>
                <w:sz w:val="18"/>
              </w:rPr>
              <w:t>Track record</w:t>
            </w:r>
          </w:p>
        </w:tc>
        <w:tc>
          <w:tcPr>
            <w:tcW w:type="dxa" w:w="2835"/>
            <w:shd w:val="clear" w:color="auto" w:fill="FFFFFF"/>
          </w:tcPr>
          <w:p>
            <w:pPr>
              <w:jc w:val="left"/>
            </w:pPr>
            <w:r/>
            <w:r>
              <w:rPr>
                <w:b w:val="0"/>
                <w:i w:val="0"/>
                <w:sz w:val="18"/>
              </w:rPr>
              <w:t>6+ closed deals in last 12 months at prior agency</w:t>
            </w:r>
          </w:p>
        </w:tc>
        <w:tc>
          <w:tcPr>
            <w:tcW w:type="dxa" w:w="2551"/>
            <w:shd w:val="clear" w:color="auto" w:fill="FFFFFF"/>
          </w:tcPr>
          <w:p>
            <w:pPr>
              <w:jc w:val="left"/>
            </w:pPr>
            <w:r/>
            <w:r>
              <w:rPr>
                <w:b w:val="0"/>
                <w:i w:val="0"/>
                <w:sz w:val="18"/>
              </w:rPr>
              <w:t>No verifiable closed transactions</w:t>
            </w:r>
          </w:p>
        </w:tc>
        <w:tc>
          <w:tcPr>
            <w:tcW w:type="dxa" w:w="3118"/>
            <w:shd w:val="clear" w:color="auto" w:fill="FFFFFF"/>
          </w:tcPr>
          <w:p>
            <w:pPr>
              <w:jc w:val="left"/>
            </w:pPr>
            <w:r/>
            <w:r>
              <w:rPr>
                <w:b w:val="0"/>
                <w:i w:val="0"/>
                <w:sz w:val="18"/>
              </w:rPr>
              <w:t>HIGH — commission-only roles need prior proof</w:t>
            </w:r>
          </w:p>
        </w:tc>
      </w:tr>
      <w:tr>
        <w:tc>
          <w:tcPr>
            <w:tcW w:type="dxa" w:w="1984"/>
            <w:shd w:val="clear" w:color="auto" w:fill="F8FAFC"/>
          </w:tcPr>
          <w:p>
            <w:pPr>
              <w:jc w:val="left"/>
            </w:pPr>
            <w:r/>
            <w:r>
              <w:rPr>
                <w:b w:val="0"/>
                <w:i w:val="0"/>
                <w:sz w:val="18"/>
              </w:rPr>
              <w:t>Network / book of business</w:t>
            </w:r>
          </w:p>
        </w:tc>
        <w:tc>
          <w:tcPr>
            <w:tcW w:type="dxa" w:w="2835"/>
            <w:shd w:val="clear" w:color="auto" w:fill="F8FAFC"/>
          </w:tcPr>
          <w:p>
            <w:pPr>
              <w:jc w:val="left"/>
            </w:pPr>
            <w:r/>
            <w:r>
              <w:rPr>
                <w:b w:val="0"/>
                <w:i w:val="0"/>
                <w:sz w:val="18"/>
              </w:rPr>
              <w:t>Existing seller contacts; lawyer/investor network</w:t>
            </w:r>
          </w:p>
        </w:tc>
        <w:tc>
          <w:tcPr>
            <w:tcW w:type="dxa" w:w="2551"/>
            <w:shd w:val="clear" w:color="auto" w:fill="F8FAFC"/>
          </w:tcPr>
          <w:p>
            <w:pPr>
              <w:jc w:val="left"/>
            </w:pPr>
            <w:r/>
            <w:r>
              <w:rPr>
                <w:b w:val="0"/>
                <w:i w:val="0"/>
                <w:sz w:val="18"/>
              </w:rPr>
              <w:t>Starting from zero with no warm contacts</w:t>
            </w:r>
          </w:p>
        </w:tc>
        <w:tc>
          <w:tcPr>
            <w:tcW w:type="dxa" w:w="3118"/>
            <w:shd w:val="clear" w:color="auto" w:fill="F8FAFC"/>
          </w:tcPr>
          <w:p>
            <w:pPr>
              <w:jc w:val="left"/>
            </w:pPr>
            <w:r/>
            <w:r>
              <w:rPr>
                <w:b w:val="0"/>
                <w:i w:val="0"/>
                <w:sz w:val="18"/>
              </w:rPr>
              <w:t>MEDIUM — network accelerates first 90 days</w:t>
            </w:r>
          </w:p>
        </w:tc>
      </w:tr>
      <w:tr>
        <w:tc>
          <w:tcPr>
            <w:tcW w:type="dxa" w:w="1984"/>
            <w:shd w:val="clear" w:color="auto" w:fill="FFFFFF"/>
          </w:tcPr>
          <w:p>
            <w:pPr>
              <w:jc w:val="left"/>
            </w:pPr>
            <w:r/>
            <w:r>
              <w:rPr>
                <w:b w:val="0"/>
                <w:i w:val="0"/>
                <w:sz w:val="18"/>
              </w:rPr>
              <w:t>Tech adoption</w:t>
            </w:r>
          </w:p>
        </w:tc>
        <w:tc>
          <w:tcPr>
            <w:tcW w:type="dxa" w:w="2835"/>
            <w:shd w:val="clear" w:color="auto" w:fill="FFFFFF"/>
          </w:tcPr>
          <w:p>
            <w:pPr>
              <w:jc w:val="left"/>
            </w:pPr>
            <w:r/>
            <w:r>
              <w:rPr>
                <w:b w:val="0"/>
                <w:i w:val="0"/>
                <w:sz w:val="18"/>
              </w:rPr>
              <w:t>Uses CRM proactively; comfortable with digital tools</w:t>
            </w:r>
          </w:p>
        </w:tc>
        <w:tc>
          <w:tcPr>
            <w:tcW w:type="dxa" w:w="2551"/>
            <w:shd w:val="clear" w:color="auto" w:fill="FFFFFF"/>
          </w:tcPr>
          <w:p>
            <w:pPr>
              <w:jc w:val="left"/>
            </w:pPr>
            <w:r/>
            <w:r>
              <w:rPr>
                <w:b w:val="0"/>
                <w:i w:val="0"/>
                <w:sz w:val="18"/>
              </w:rPr>
              <w:t>Resists CRM; relies only on phone and WhatsApp</w:t>
            </w:r>
          </w:p>
        </w:tc>
        <w:tc>
          <w:tcPr>
            <w:tcW w:type="dxa" w:w="3118"/>
            <w:shd w:val="clear" w:color="auto" w:fill="FFFFFF"/>
          </w:tcPr>
          <w:p>
            <w:pPr>
              <w:jc w:val="left"/>
            </w:pPr>
            <w:r/>
            <w:r>
              <w:rPr>
                <w:b w:val="0"/>
                <w:i w:val="0"/>
                <w:sz w:val="18"/>
              </w:rPr>
              <w:t>HIGH — Huspy platform adoption is non-negotiable</w:t>
            </w:r>
          </w:p>
        </w:tc>
      </w:tr>
      <w:tr>
        <w:tc>
          <w:tcPr>
            <w:tcW w:type="dxa" w:w="1984"/>
            <w:shd w:val="clear" w:color="auto" w:fill="F8FAFC"/>
          </w:tcPr>
          <w:p>
            <w:pPr>
              <w:jc w:val="left"/>
            </w:pPr>
            <w:r/>
            <w:r>
              <w:rPr>
                <w:b w:val="0"/>
                <w:i w:val="0"/>
                <w:sz w:val="18"/>
              </w:rPr>
              <w:t>Mortgage literacy</w:t>
            </w:r>
          </w:p>
        </w:tc>
        <w:tc>
          <w:tcPr>
            <w:tcW w:type="dxa" w:w="2835"/>
            <w:shd w:val="clear" w:color="auto" w:fill="F8FAFC"/>
          </w:tcPr>
          <w:p>
            <w:pPr>
              <w:jc w:val="left"/>
            </w:pPr>
            <w:r/>
            <w:r>
              <w:rPr>
                <w:b w:val="0"/>
                <w:i w:val="0"/>
                <w:sz w:val="18"/>
              </w:rPr>
              <w:t>Can explain FEIN, Euribor, LTV to a client</w:t>
            </w:r>
          </w:p>
        </w:tc>
        <w:tc>
          <w:tcPr>
            <w:tcW w:type="dxa" w:w="2551"/>
            <w:shd w:val="clear" w:color="auto" w:fill="F8FAFC"/>
          </w:tcPr>
          <w:p>
            <w:pPr>
              <w:jc w:val="left"/>
            </w:pPr>
            <w:r/>
            <w:r>
              <w:rPr>
                <w:b w:val="0"/>
                <w:i w:val="0"/>
                <w:sz w:val="18"/>
              </w:rPr>
              <w:t>Cannot explain the difference between fixed and variable rate</w:t>
            </w:r>
          </w:p>
        </w:tc>
        <w:tc>
          <w:tcPr>
            <w:tcW w:type="dxa" w:w="3118"/>
            <w:shd w:val="clear" w:color="auto" w:fill="F8FAFC"/>
          </w:tcPr>
          <w:p>
            <w:pPr>
              <w:jc w:val="left"/>
            </w:pPr>
            <w:r/>
            <w:r>
              <w:rPr>
                <w:b w:val="0"/>
                <w:i w:val="0"/>
                <w:sz w:val="18"/>
              </w:rPr>
              <w:t>HIGH — mortgage attach depends on agent credibility</w:t>
            </w:r>
          </w:p>
        </w:tc>
      </w:tr>
      <w:tr>
        <w:tc>
          <w:tcPr>
            <w:tcW w:type="dxa" w:w="1984"/>
            <w:shd w:val="clear" w:color="auto" w:fill="FFFFFF"/>
          </w:tcPr>
          <w:p>
            <w:pPr>
              <w:jc w:val="left"/>
            </w:pPr>
            <w:r/>
            <w:r>
              <w:rPr>
                <w:b w:val="0"/>
                <w:i w:val="0"/>
                <w:sz w:val="18"/>
              </w:rPr>
              <w:t>Motivation fit</w:t>
            </w:r>
          </w:p>
        </w:tc>
        <w:tc>
          <w:tcPr>
            <w:tcW w:type="dxa" w:w="2835"/>
            <w:shd w:val="clear" w:color="auto" w:fill="FFFFFF"/>
          </w:tcPr>
          <w:p>
            <w:pPr>
              <w:jc w:val="left"/>
            </w:pPr>
            <w:r/>
            <w:r>
              <w:rPr>
                <w:b w:val="0"/>
                <w:i w:val="0"/>
                <w:sz w:val="18"/>
              </w:rPr>
              <w:t>Intrinsically motivated; entrepreneur mindset</w:t>
            </w:r>
          </w:p>
        </w:tc>
        <w:tc>
          <w:tcPr>
            <w:tcW w:type="dxa" w:w="2551"/>
            <w:shd w:val="clear" w:color="auto" w:fill="FFFFFF"/>
          </w:tcPr>
          <w:p>
            <w:pPr>
              <w:jc w:val="left"/>
            </w:pPr>
            <w:r/>
            <w:r>
              <w:rPr>
                <w:b w:val="0"/>
                <w:i w:val="0"/>
                <w:sz w:val="18"/>
              </w:rPr>
              <w:t>Expects a salary with no performance accountability</w:t>
            </w:r>
          </w:p>
        </w:tc>
        <w:tc>
          <w:tcPr>
            <w:tcW w:type="dxa" w:w="3118"/>
            <w:shd w:val="clear" w:color="auto" w:fill="FFFFFF"/>
          </w:tcPr>
          <w:p>
            <w:pPr>
              <w:jc w:val="left"/>
            </w:pPr>
            <w:r/>
            <w:r>
              <w:rPr>
                <w:b w:val="0"/>
                <w:i w:val="0"/>
                <w:sz w:val="18"/>
              </w:rPr>
              <w:t>HIGH — commission model requires self-driven profile</w:t>
            </w:r>
          </w:p>
        </w:tc>
      </w:tr>
      <w:tr>
        <w:tc>
          <w:tcPr>
            <w:tcW w:type="dxa" w:w="1984"/>
            <w:shd w:val="clear" w:color="auto" w:fill="F8FAFC"/>
          </w:tcPr>
          <w:p>
            <w:pPr>
              <w:jc w:val="left"/>
            </w:pPr>
            <w:r/>
            <w:r>
              <w:rPr>
                <w:b w:val="0"/>
                <w:i w:val="0"/>
                <w:sz w:val="18"/>
              </w:rPr>
              <w:t>Compliance awareness</w:t>
            </w:r>
          </w:p>
        </w:tc>
        <w:tc>
          <w:tcPr>
            <w:tcW w:type="dxa" w:w="2835"/>
            <w:shd w:val="clear" w:color="auto" w:fill="F8FAFC"/>
          </w:tcPr>
          <w:p>
            <w:pPr>
              <w:jc w:val="left"/>
            </w:pPr>
            <w:r/>
            <w:r>
              <w:rPr>
                <w:b w:val="0"/>
                <w:i w:val="0"/>
                <w:sz w:val="18"/>
              </w:rPr>
              <w:t>Understands AML obligations, GDPR, source of funds</w:t>
            </w:r>
          </w:p>
        </w:tc>
        <w:tc>
          <w:tcPr>
            <w:tcW w:type="dxa" w:w="2551"/>
            <w:shd w:val="clear" w:color="auto" w:fill="F8FAFC"/>
          </w:tcPr>
          <w:p>
            <w:pPr>
              <w:jc w:val="left"/>
            </w:pPr>
            <w:r/>
            <w:r>
              <w:rPr>
                <w:b w:val="0"/>
                <w:i w:val="0"/>
                <w:sz w:val="18"/>
              </w:rPr>
              <w:t>No awareness of KYC or money laundering red flags</w:t>
            </w:r>
          </w:p>
        </w:tc>
        <w:tc>
          <w:tcPr>
            <w:tcW w:type="dxa" w:w="3118"/>
            <w:shd w:val="clear" w:color="auto" w:fill="F8FAFC"/>
          </w:tcPr>
          <w:p>
            <w:pPr>
              <w:jc w:val="left"/>
            </w:pPr>
            <w:r/>
            <w:r>
              <w:rPr>
                <w:b w:val="0"/>
                <w:i w:val="0"/>
                <w:sz w:val="18"/>
              </w:rPr>
              <w:t>MEDIUM-HIGH — Huspy operates to bank compliance standards</w:t>
            </w:r>
          </w:p>
        </w:tc>
      </w:tr>
    </w:tbl>
    <w:p/>
    <w:p/>
    <w:p>
      <w:r>
        <w:br w:type="page"/>
      </w:r>
    </w:p>
    <w:p>
      <w:pPr>
        <w:spacing w:before="360" w:after="120"/>
      </w:pPr>
      <w:r>
        <w:rPr>
          <w:b/>
          <w:color w:val="0A1628"/>
          <w:sz w:val="36"/>
        </w:rPr>
        <w:t>APPENDIX — Essential Spanish Real Estate Terminology</w:t>
      </w:r>
    </w:p>
    <w:p>
      <w:pPr>
        <w:spacing w:after="80"/>
      </w:pPr>
      <w:r>
        <w:rPr>
          <w:b w:val="0"/>
          <w:i/>
          <w:color w:val="64748B"/>
          <w:sz w:val="20"/>
        </w:rPr>
        <w:t>Key terms every Huspy agent must know fluently — they appear at every stage of both the seller and buyer pipelines.</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A1628"/>
          </w:tcPr>
          <w:p>
            <w:pPr>
              <w:jc w:val="left"/>
            </w:pPr>
            <w:r/>
            <w:r>
              <w:rPr>
                <w:b/>
                <w:i w:val="0"/>
                <w:color w:val="FFFFFF"/>
                <w:sz w:val="18"/>
              </w:rPr>
              <w:t>Spanish Term</w:t>
            </w:r>
          </w:p>
        </w:tc>
        <w:tc>
          <w:tcPr>
            <w:tcW w:type="dxa" w:w="3135"/>
            <w:shd w:val="clear" w:color="auto" w:fill="0A1628"/>
          </w:tcPr>
          <w:p>
            <w:pPr>
              <w:jc w:val="left"/>
            </w:pPr>
            <w:r/>
            <w:r>
              <w:rPr>
                <w:b/>
                <w:i w:val="0"/>
                <w:color w:val="FFFFFF"/>
                <w:sz w:val="18"/>
              </w:rPr>
              <w:t>English</w:t>
            </w:r>
          </w:p>
        </w:tc>
        <w:tc>
          <w:tcPr>
            <w:tcW w:type="dxa" w:w="3135"/>
            <w:shd w:val="clear" w:color="auto" w:fill="0A1628"/>
          </w:tcPr>
          <w:p>
            <w:pPr>
              <w:jc w:val="left"/>
            </w:pPr>
            <w:r/>
            <w:r>
              <w:rPr>
                <w:b/>
                <w:i w:val="0"/>
                <w:color w:val="FFFFFF"/>
                <w:sz w:val="18"/>
              </w:rPr>
              <w:t>Definition</w:t>
            </w:r>
          </w:p>
        </w:tc>
      </w:tr>
    </w:tbl>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F0F4FF"/>
          </w:tcPr>
          <w:p>
            <w:pPr>
              <w:jc w:val="left"/>
            </w:pPr>
            <w:r/>
            <w:r>
              <w:rPr>
                <w:b/>
                <w:i w:val="0"/>
                <w:color w:val="0A1628"/>
                <w:sz w:val="18"/>
              </w:rPr>
              <w:t>Arras Penitenciales</w:t>
            </w:r>
          </w:p>
        </w:tc>
        <w:tc>
          <w:tcPr>
            <w:tcW w:type="dxa" w:w="2268"/>
            <w:shd w:val="clear" w:color="auto" w:fill="F0F4FF"/>
          </w:tcPr>
          <w:p>
            <w:pPr>
              <w:jc w:val="left"/>
            </w:pPr>
            <w:r/>
            <w:r>
              <w:rPr>
                <w:b w:val="0"/>
                <w:i/>
                <w:color w:val="64748B"/>
                <w:sz w:val="18"/>
              </w:rPr>
              <w:t>Binding deposit contract</w:t>
            </w:r>
          </w:p>
        </w:tc>
        <w:tc>
          <w:tcPr>
            <w:tcW w:type="dxa" w:w="4819"/>
            <w:shd w:val="clear" w:color="auto" w:fill="F0F4FF"/>
          </w:tcPr>
          <w:p>
            <w:pPr>
              <w:jc w:val="left"/>
            </w:pPr>
            <w:r/>
            <w:r>
              <w:rPr>
                <w:b w:val="0"/>
                <w:i w:val="0"/>
                <w:sz w:val="18"/>
              </w:rPr>
              <w:t>Standard 10% deposit pre-contract. Buyer loses deposit if they withdraw; seller pays double if they withdraw. Art. 1454 Civil Code.</w:t>
            </w:r>
          </w:p>
        </w:tc>
      </w:tr>
      <w:tr>
        <w:tc>
          <w:tcPr>
            <w:tcW w:type="dxa" w:w="2268"/>
            <w:shd w:val="clear" w:color="auto" w:fill="FFFFFF"/>
          </w:tcPr>
          <w:p>
            <w:pPr>
              <w:jc w:val="left"/>
            </w:pPr>
            <w:r/>
            <w:r>
              <w:rPr>
                <w:b/>
                <w:i w:val="0"/>
                <w:color w:val="0A1628"/>
                <w:sz w:val="18"/>
              </w:rPr>
              <w:t>Escritura de Compraventa</w:t>
            </w:r>
          </w:p>
        </w:tc>
        <w:tc>
          <w:tcPr>
            <w:tcW w:type="dxa" w:w="2268"/>
            <w:shd w:val="clear" w:color="auto" w:fill="FFFFFF"/>
          </w:tcPr>
          <w:p>
            <w:pPr>
              <w:jc w:val="left"/>
            </w:pPr>
            <w:r/>
            <w:r>
              <w:rPr>
                <w:b w:val="0"/>
                <w:i/>
                <w:color w:val="64748B"/>
                <w:sz w:val="18"/>
              </w:rPr>
              <w:t>Public deed of sale / Closing</w:t>
            </w:r>
          </w:p>
        </w:tc>
        <w:tc>
          <w:tcPr>
            <w:tcW w:type="dxa" w:w="4819"/>
            <w:shd w:val="clear" w:color="auto" w:fill="FFFFFF"/>
          </w:tcPr>
          <w:p>
            <w:pPr>
              <w:jc w:val="left"/>
            </w:pPr>
            <w:r/>
            <w:r>
              <w:rPr>
                <w:b w:val="0"/>
                <w:i w:val="0"/>
                <w:sz w:val="18"/>
              </w:rPr>
              <w:t>Notarised title deed signed at the notary office. Legal ownership transfers at the exact moment of signing.</w:t>
            </w:r>
          </w:p>
        </w:tc>
      </w:tr>
      <w:tr>
        <w:tc>
          <w:tcPr>
            <w:tcW w:type="dxa" w:w="2268"/>
            <w:shd w:val="clear" w:color="auto" w:fill="F0F4FF"/>
          </w:tcPr>
          <w:p>
            <w:pPr>
              <w:jc w:val="left"/>
            </w:pPr>
            <w:r/>
            <w:r>
              <w:rPr>
                <w:b/>
                <w:i w:val="0"/>
                <w:color w:val="0A1628"/>
                <w:sz w:val="18"/>
              </w:rPr>
              <w:t>Nota Simple</w:t>
            </w:r>
          </w:p>
        </w:tc>
        <w:tc>
          <w:tcPr>
            <w:tcW w:type="dxa" w:w="2268"/>
            <w:shd w:val="clear" w:color="auto" w:fill="F0F4FF"/>
          </w:tcPr>
          <w:p>
            <w:pPr>
              <w:jc w:val="left"/>
            </w:pPr>
            <w:r/>
            <w:r>
              <w:rPr>
                <w:b w:val="0"/>
                <w:i/>
                <w:color w:val="64748B"/>
                <w:sz w:val="18"/>
              </w:rPr>
              <w:t>Land Registry extract</w:t>
            </w:r>
          </w:p>
        </w:tc>
        <w:tc>
          <w:tcPr>
            <w:tcW w:type="dxa" w:w="4819"/>
            <w:shd w:val="clear" w:color="auto" w:fill="F0F4FF"/>
          </w:tcPr>
          <w:p>
            <w:pPr>
              <w:jc w:val="left"/>
            </w:pPr>
            <w:r/>
            <w:r>
              <w:rPr>
                <w:b w:val="0"/>
                <w:i w:val="0"/>
                <w:sz w:val="18"/>
              </w:rPr>
              <w:t>A €9 document from the Registro de la Propiedad showing current owner, mortgages, liens, and registered description. First thing any lawyer checks.</w:t>
            </w:r>
          </w:p>
        </w:tc>
      </w:tr>
      <w:tr>
        <w:tc>
          <w:tcPr>
            <w:tcW w:type="dxa" w:w="2268"/>
            <w:shd w:val="clear" w:color="auto" w:fill="FFFFFF"/>
          </w:tcPr>
          <w:p>
            <w:pPr>
              <w:jc w:val="left"/>
            </w:pPr>
            <w:r/>
            <w:r>
              <w:rPr>
                <w:b/>
                <w:i w:val="0"/>
                <w:color w:val="0A1628"/>
                <w:sz w:val="18"/>
              </w:rPr>
              <w:t>Tasación</w:t>
            </w:r>
          </w:p>
        </w:tc>
        <w:tc>
          <w:tcPr>
            <w:tcW w:type="dxa" w:w="2268"/>
            <w:shd w:val="clear" w:color="auto" w:fill="FFFFFF"/>
          </w:tcPr>
          <w:p>
            <w:pPr>
              <w:jc w:val="left"/>
            </w:pPr>
            <w:r/>
            <w:r>
              <w:rPr>
                <w:b w:val="0"/>
                <w:i/>
                <w:color w:val="64748B"/>
                <w:sz w:val="18"/>
              </w:rPr>
              <w:t>Official bank valuation</w:t>
            </w:r>
          </w:p>
        </w:tc>
        <w:tc>
          <w:tcPr>
            <w:tcW w:type="dxa" w:w="4819"/>
            <w:shd w:val="clear" w:color="auto" w:fill="FFFFFF"/>
          </w:tcPr>
          <w:p>
            <w:pPr>
              <w:jc w:val="left"/>
            </w:pPr>
            <w:r/>
            <w:r>
              <w:rPr>
                <w:b w:val="0"/>
                <w:i w:val="0"/>
                <w:sz w:val="18"/>
              </w:rPr>
              <w:t>Mandatory certified appraisal ordered by the bank (€300–€800). Sets maximum loan amount — if lower than purchase price, buyer must top up in cash.</w:t>
            </w:r>
          </w:p>
        </w:tc>
      </w:tr>
      <w:tr>
        <w:tc>
          <w:tcPr>
            <w:tcW w:type="dxa" w:w="2268"/>
            <w:shd w:val="clear" w:color="auto" w:fill="F0F4FF"/>
          </w:tcPr>
          <w:p>
            <w:pPr>
              <w:jc w:val="left"/>
            </w:pPr>
            <w:r/>
            <w:r>
              <w:rPr>
                <w:b/>
                <w:i w:val="0"/>
                <w:color w:val="0A1628"/>
                <w:sz w:val="18"/>
              </w:rPr>
              <w:t>Plusvalía Municipal</w:t>
            </w:r>
          </w:p>
        </w:tc>
        <w:tc>
          <w:tcPr>
            <w:tcW w:type="dxa" w:w="2268"/>
            <w:shd w:val="clear" w:color="auto" w:fill="F0F4FF"/>
          </w:tcPr>
          <w:p>
            <w:pPr>
              <w:jc w:val="left"/>
            </w:pPr>
            <w:r/>
            <w:r>
              <w:rPr>
                <w:b w:val="0"/>
                <w:i/>
                <w:color w:val="64748B"/>
                <w:sz w:val="18"/>
              </w:rPr>
              <w:t>Municipal capital gains tax (seller)</w:t>
            </w:r>
          </w:p>
        </w:tc>
        <w:tc>
          <w:tcPr>
            <w:tcW w:type="dxa" w:w="4819"/>
            <w:shd w:val="clear" w:color="auto" w:fill="F0F4FF"/>
          </w:tcPr>
          <w:p>
            <w:pPr>
              <w:jc w:val="left"/>
            </w:pPr>
            <w:r/>
            <w:r>
              <w:rPr>
                <w:b w:val="0"/>
                <w:i w:val="0"/>
                <w:sz w:val="18"/>
              </w:rPr>
              <w:t>Tax on the increase in cadastral land value since the last sale. Always paid by the seller — due within 30 days at local Ayuntamiento.</w:t>
            </w:r>
          </w:p>
        </w:tc>
      </w:tr>
      <w:tr>
        <w:tc>
          <w:tcPr>
            <w:tcW w:type="dxa" w:w="2268"/>
            <w:shd w:val="clear" w:color="auto" w:fill="FFFFFF"/>
          </w:tcPr>
          <w:p>
            <w:pPr>
              <w:jc w:val="left"/>
            </w:pPr>
            <w:r/>
            <w:r>
              <w:rPr>
                <w:b/>
                <w:i w:val="0"/>
                <w:color w:val="0A1628"/>
                <w:sz w:val="18"/>
              </w:rPr>
              <w:t>NIE</w:t>
            </w:r>
          </w:p>
        </w:tc>
        <w:tc>
          <w:tcPr>
            <w:tcW w:type="dxa" w:w="2268"/>
            <w:shd w:val="clear" w:color="auto" w:fill="FFFFFF"/>
          </w:tcPr>
          <w:p>
            <w:pPr>
              <w:jc w:val="left"/>
            </w:pPr>
            <w:r/>
            <w:r>
              <w:rPr>
                <w:b w:val="0"/>
                <w:i/>
                <w:color w:val="64748B"/>
                <w:sz w:val="18"/>
              </w:rPr>
              <w:t>Foreigner ID number</w:t>
            </w:r>
          </w:p>
        </w:tc>
        <w:tc>
          <w:tcPr>
            <w:tcW w:type="dxa" w:w="4819"/>
            <w:shd w:val="clear" w:color="auto" w:fill="FFFFFF"/>
          </w:tcPr>
          <w:p>
            <w:pPr>
              <w:jc w:val="left"/>
            </w:pPr>
            <w:r/>
            <w:r>
              <w:rPr>
                <w:b w:val="0"/>
                <w:i w:val="0"/>
                <w:sz w:val="18"/>
              </w:rPr>
              <w:t>Número de Identificación de Extranjero. Mandatory for all foreigners buying property, opening a bank account, or paying taxes in Spain. Takes 2–3 months to obtain.</w:t>
            </w:r>
          </w:p>
        </w:tc>
      </w:tr>
      <w:tr>
        <w:tc>
          <w:tcPr>
            <w:tcW w:type="dxa" w:w="2268"/>
            <w:shd w:val="clear" w:color="auto" w:fill="F0F4FF"/>
          </w:tcPr>
          <w:p>
            <w:pPr>
              <w:jc w:val="left"/>
            </w:pPr>
            <w:r/>
            <w:r>
              <w:rPr>
                <w:b/>
                <w:i w:val="0"/>
                <w:color w:val="0A1628"/>
                <w:sz w:val="18"/>
              </w:rPr>
              <w:t>FEIN</w:t>
            </w:r>
          </w:p>
        </w:tc>
        <w:tc>
          <w:tcPr>
            <w:tcW w:type="dxa" w:w="2268"/>
            <w:shd w:val="clear" w:color="auto" w:fill="F0F4FF"/>
          </w:tcPr>
          <w:p>
            <w:pPr>
              <w:jc w:val="left"/>
            </w:pPr>
            <w:r/>
            <w:r>
              <w:rPr>
                <w:b w:val="0"/>
                <w:i/>
                <w:color w:val="64748B"/>
                <w:sz w:val="18"/>
              </w:rPr>
              <w:t>European mortgage offer sheet</w:t>
            </w:r>
          </w:p>
        </w:tc>
        <w:tc>
          <w:tcPr>
            <w:tcW w:type="dxa" w:w="4819"/>
            <w:shd w:val="clear" w:color="auto" w:fill="F0F4FF"/>
          </w:tcPr>
          <w:p>
            <w:pPr>
              <w:jc w:val="left"/>
            </w:pPr>
            <w:r/>
            <w:r>
              <w:rPr>
                <w:b w:val="0"/>
                <w:i w:val="0"/>
                <w:sz w:val="18"/>
              </w:rPr>
              <w:t>Ficha Europea de Información Normalizada. Binding mortgage offer — must be provided at least 10 days before notary signing (2019 Mortgage Law).</w:t>
            </w:r>
          </w:p>
        </w:tc>
      </w:tr>
      <w:tr>
        <w:tc>
          <w:tcPr>
            <w:tcW w:type="dxa" w:w="2268"/>
            <w:shd w:val="clear" w:color="auto" w:fill="FFFFFF"/>
          </w:tcPr>
          <w:p>
            <w:pPr>
              <w:jc w:val="left"/>
            </w:pPr>
            <w:r/>
            <w:r>
              <w:rPr>
                <w:b/>
                <w:i w:val="0"/>
                <w:color w:val="0A1628"/>
                <w:sz w:val="18"/>
              </w:rPr>
              <w:t>ITP</w:t>
            </w:r>
          </w:p>
        </w:tc>
        <w:tc>
          <w:tcPr>
            <w:tcW w:type="dxa" w:w="2268"/>
            <w:shd w:val="clear" w:color="auto" w:fill="FFFFFF"/>
          </w:tcPr>
          <w:p>
            <w:pPr>
              <w:jc w:val="left"/>
            </w:pPr>
            <w:r/>
            <w:r>
              <w:rPr>
                <w:b w:val="0"/>
                <w:i/>
                <w:color w:val="64748B"/>
                <w:sz w:val="18"/>
              </w:rPr>
              <w:t>Property Transfer Tax (buyer)</w:t>
            </w:r>
          </w:p>
        </w:tc>
        <w:tc>
          <w:tcPr>
            <w:tcW w:type="dxa" w:w="4819"/>
            <w:shd w:val="clear" w:color="auto" w:fill="FFFFFF"/>
          </w:tcPr>
          <w:p>
            <w:pPr>
              <w:jc w:val="left"/>
            </w:pPr>
            <w:r/>
            <w:r>
              <w:rPr>
                <w:b w:val="0"/>
                <w:i w:val="0"/>
                <w:sz w:val="18"/>
              </w:rPr>
              <w:t>Impuesto de Transmisiones Patrimoniales. Paid by buyer on resale properties. 7% in Andalusia — one of Spain's lowest rates.</w:t>
            </w:r>
          </w:p>
        </w:tc>
      </w:tr>
      <w:tr>
        <w:tc>
          <w:tcPr>
            <w:tcW w:type="dxa" w:w="2268"/>
            <w:shd w:val="clear" w:color="auto" w:fill="F0F4FF"/>
          </w:tcPr>
          <w:p>
            <w:pPr>
              <w:jc w:val="left"/>
            </w:pPr>
            <w:r/>
            <w:r>
              <w:rPr>
                <w:b/>
                <w:i w:val="0"/>
                <w:color w:val="0A1628"/>
                <w:sz w:val="18"/>
              </w:rPr>
              <w:t>Mandato de Exclusividad</w:t>
            </w:r>
          </w:p>
        </w:tc>
        <w:tc>
          <w:tcPr>
            <w:tcW w:type="dxa" w:w="2268"/>
            <w:shd w:val="clear" w:color="auto" w:fill="F0F4FF"/>
          </w:tcPr>
          <w:p>
            <w:pPr>
              <w:jc w:val="left"/>
            </w:pPr>
            <w:r/>
            <w:r>
              <w:rPr>
                <w:b w:val="0"/>
                <w:i/>
                <w:color w:val="64748B"/>
                <w:sz w:val="18"/>
              </w:rPr>
              <w:t>Exclusive listing agreement</w:t>
            </w:r>
          </w:p>
        </w:tc>
        <w:tc>
          <w:tcPr>
            <w:tcW w:type="dxa" w:w="4819"/>
            <w:shd w:val="clear" w:color="auto" w:fill="F0F4FF"/>
          </w:tcPr>
          <w:p>
            <w:pPr>
              <w:jc w:val="left"/>
            </w:pPr>
            <w:r/>
            <w:r>
              <w:rPr>
                <w:b w:val="0"/>
                <w:i w:val="0"/>
                <w:sz w:val="18"/>
              </w:rPr>
              <w:t>Agreement granting one agency sole rights to sell the property. Delivers faster sales and better marketing vs. open mandates with multiple agencies.</w:t>
            </w:r>
          </w:p>
        </w:tc>
      </w:tr>
      <w:tr>
        <w:tc>
          <w:tcPr>
            <w:tcW w:type="dxa" w:w="2268"/>
            <w:shd w:val="clear" w:color="auto" w:fill="FFFFFF"/>
          </w:tcPr>
          <w:p>
            <w:pPr>
              <w:jc w:val="left"/>
            </w:pPr>
            <w:r/>
            <w:r>
              <w:rPr>
                <w:b/>
                <w:i w:val="0"/>
                <w:color w:val="0A1628"/>
                <w:sz w:val="18"/>
              </w:rPr>
              <w:t>Contrato de Reserva</w:t>
            </w:r>
          </w:p>
        </w:tc>
        <w:tc>
          <w:tcPr>
            <w:tcW w:type="dxa" w:w="2268"/>
            <w:shd w:val="clear" w:color="auto" w:fill="FFFFFF"/>
          </w:tcPr>
          <w:p>
            <w:pPr>
              <w:jc w:val="left"/>
            </w:pPr>
            <w:r/>
            <w:r>
              <w:rPr>
                <w:b w:val="0"/>
                <w:i/>
                <w:color w:val="64748B"/>
                <w:sz w:val="18"/>
              </w:rPr>
              <w:t>Reservation contract</w:t>
            </w:r>
          </w:p>
        </w:tc>
        <w:tc>
          <w:tcPr>
            <w:tcW w:type="dxa" w:w="4819"/>
            <w:shd w:val="clear" w:color="auto" w:fill="FFFFFF"/>
          </w:tcPr>
          <w:p>
            <w:pPr>
              <w:jc w:val="left"/>
            </w:pPr>
            <w:r/>
            <w:r>
              <w:rPr>
                <w:b w:val="0"/>
                <w:i w:val="0"/>
                <w:sz w:val="18"/>
              </w:rPr>
              <w:t>Initial soft reservation before Arras. Buyer pays €3,000–€10,000 to take property off market for 2–4 weeks. Refundable before Arras signed.</w:t>
            </w:r>
          </w:p>
        </w:tc>
      </w:tr>
      <w:tr>
        <w:tc>
          <w:tcPr>
            <w:tcW w:type="dxa" w:w="2268"/>
            <w:shd w:val="clear" w:color="auto" w:fill="F0F4FF"/>
          </w:tcPr>
          <w:p>
            <w:pPr>
              <w:jc w:val="left"/>
            </w:pPr>
            <w:r/>
            <w:r>
              <w:rPr>
                <w:b/>
                <w:i w:val="0"/>
                <w:color w:val="0A1628"/>
                <w:sz w:val="18"/>
              </w:rPr>
              <w:t>Catastro</w:t>
            </w:r>
          </w:p>
        </w:tc>
        <w:tc>
          <w:tcPr>
            <w:tcW w:type="dxa" w:w="2268"/>
            <w:shd w:val="clear" w:color="auto" w:fill="F0F4FF"/>
          </w:tcPr>
          <w:p>
            <w:pPr>
              <w:jc w:val="left"/>
            </w:pPr>
            <w:r/>
            <w:r>
              <w:rPr>
                <w:b w:val="0"/>
                <w:i/>
                <w:color w:val="64748B"/>
                <w:sz w:val="18"/>
              </w:rPr>
              <w:t>Cadastral registry</w:t>
            </w:r>
          </w:p>
        </w:tc>
        <w:tc>
          <w:tcPr>
            <w:tcW w:type="dxa" w:w="4819"/>
            <w:shd w:val="clear" w:color="auto" w:fill="F0F4FF"/>
          </w:tcPr>
          <w:p>
            <w:pPr>
              <w:jc w:val="left"/>
            </w:pPr>
            <w:r/>
            <w:r>
              <w:rPr>
                <w:b w:val="0"/>
                <w:i w:val="0"/>
                <w:sz w:val="18"/>
              </w:rPr>
              <w:t>Government property register showing physical characteristics, location, and fiscal value. Separate from Land Registry. Used for planning compliance checks.</w:t>
            </w:r>
          </w:p>
        </w:tc>
      </w:tr>
      <w:tr>
        <w:tc>
          <w:tcPr>
            <w:tcW w:type="dxa" w:w="2268"/>
            <w:shd w:val="clear" w:color="auto" w:fill="FFFFFF"/>
          </w:tcPr>
          <w:p>
            <w:pPr>
              <w:jc w:val="left"/>
            </w:pPr>
            <w:r/>
            <w:r>
              <w:rPr>
                <w:b/>
                <w:i w:val="0"/>
                <w:color w:val="0A1628"/>
                <w:sz w:val="18"/>
              </w:rPr>
              <w:t>Gestoría</w:t>
            </w:r>
          </w:p>
        </w:tc>
        <w:tc>
          <w:tcPr>
            <w:tcW w:type="dxa" w:w="2268"/>
            <w:shd w:val="clear" w:color="auto" w:fill="FFFFFF"/>
          </w:tcPr>
          <w:p>
            <w:pPr>
              <w:jc w:val="left"/>
            </w:pPr>
            <w:r/>
            <w:r>
              <w:rPr>
                <w:b w:val="0"/>
                <w:i/>
                <w:color w:val="64748B"/>
                <w:sz w:val="18"/>
              </w:rPr>
              <w:t>Administrative agency</w:t>
            </w:r>
          </w:p>
        </w:tc>
        <w:tc>
          <w:tcPr>
            <w:tcW w:type="dxa" w:w="4819"/>
            <w:shd w:val="clear" w:color="auto" w:fill="FFFFFF"/>
          </w:tcPr>
          <w:p>
            <w:pPr>
              <w:jc w:val="left"/>
            </w:pPr>
            <w:r/>
            <w:r>
              <w:rPr>
                <w:b w:val="0"/>
                <w:i w:val="0"/>
                <w:sz w:val="18"/>
              </w:rPr>
              <w:t>Professional administrator who handles tax filings, Land Registry registration, and utility transfers. Essential for post-completion admin.</w:t>
            </w:r>
          </w:p>
        </w:tc>
      </w:tr>
    </w:tbl>
    <w:p/>
    <w:p>
      <w:pPr>
        <w:spacing w:after="80"/>
      </w:pPr>
      <w:r>
        <w:rPr>
          <w:b w:val="0"/>
          <w:i/>
          <w:color w:val="64748B"/>
          <w:sz w:val="16"/>
        </w:rPr>
        <w:t>Sources: INE · Banco de España · Registradores de España · Tinsa · Idealista Research · CaixaBank Research · Spaincheck.com · Soleada · Terreta Spain · Casa Capitals · Lexidy · Strong Abogados</w:t>
      </w:r>
    </w:p>
    <w:p>
      <w:pPr>
        <w:spacing w:after="80"/>
      </w:pPr>
      <w:r>
        <w:rPr>
          <w:b w:val="0"/>
          <w:i/>
          <w:color w:val="64748B"/>
          <w:sz w:val="16"/>
        </w:rPr>
        <w:t>Data reflects best available information as of March 2026. This report is for internal strategic planning purposes.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