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10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Составление реестра рисков эксплуатации с мерами реагирования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10. Составление реестра рисков эксплуатации с мерами реагирования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04.02.04. Наблюдение за работающей системой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Фамилия_Группа_МДК0402_ЛР10.docx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Преобразовать факты об эксплуатации в структурированный реестр рисков, оценить вероятность и последствия по шкалам и составить реалистичный план реагирования в заданных ограничениях.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реестр R01–R08; оценки вероятности и последствий.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10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450"/>
        <w:gridCol w:w="1500"/>
        <w:gridCol w:w="1600"/>
        <w:gridCol w:w="1100"/>
        <w:gridCol w:w="1700"/>
        <w:gridCol w:w="1650"/>
      </w:tblGrid>
      <w:tr>
        <w:trPr>
          <w:cantSplit/>
          <w:tblHeader/>
        </w:trPr>
        <w:tc>
          <w:tcPr>
            <w:tcW w:w="1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Риск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Причина</w:t>
            </w:r>
          </w:p>
        </w:tc>
        <w:tc>
          <w:tcPr>
            <w:tcW w:w="16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Вероятность / влияние</w:t>
            </w:r>
          </w:p>
        </w:tc>
        <w:tc>
          <w:tcPr>
            <w:tcW w:w="1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Приоритет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Предотвращение</w:t>
            </w:r>
          </w:p>
        </w:tc>
        <w:tc>
          <w:tcPr>
            <w:tcW w:w="1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Реагирование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4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6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Распределите 10 условных единиц между мерами и выберите три первоочередных риска; обоснуйте, какой остаточный риск принимаете и почему. Зафиксируйте решение: решение в разделе «Выбор мер и бюджет».]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Контрольный вопрос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Все ли R01–R08 сформулированы как возможные события с последствиями?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Есть ли основание для каждой P и I?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Совпадает ли уровень с произведением?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Не превышает ли набор мер 10 единиц?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Пересчитаны ли только изменяемые показатели?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У каждого риска есть триггер, реакция и роль?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1C1C1C"/>
              </w:rPr>
              <w:t>Назван ли принятый остаточный риск?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Фамилия_Группа_МДК0402_ЛР10.docx. Затем перейдите в LMS, прикрепите его к заданию лабораторной работы № 10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