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1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Сбор и классификация сведений об отказах заданной системы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7 семестр · ЛР01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 и классификация сведений об отказах заданной системы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Научиться отличать отказ от дефекта и ошибки, классифицировать неоднозначные сообщения по наблюдаемым признакам и обосновывать решение данными журнала.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Выделять значимые события из смешанного журнала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классификационная таблица по E01–E12; обоснование трёх спорных решений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 семестр; максимум 5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Фамилия_Группа_МДК0402_ЛР01.docx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Различайте причину, внутренний дефект и потерю требуемой функции. Одна неисправность может породить несколько сообщений: число строк журнала не равно числу независимых отказов.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Качество функционирования и отказы. Разделы: Ошибка, дефект и отказ, Сбор и классификация событий, Интерпретация статистики.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Первая работа: зафиксируйте вариант, критичную функцию и признаки её штатного выполнения. Предыдущий отчёт не требуется.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Классификационная таблица по E01–E12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Обоснование трёх спорных решений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Сводка по источникам событий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 о наиболее проблемной группе и первоочередном действии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 ЛР02 передайте правила отбора отказов и связывания сообщений. Сам журнал ЛР02 — отдельное окно наблюдения; не складывайте его события с E01–E12. В ЛР04 используйте выявленные классы причин.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