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16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Настройка парольной политики и проверка её действия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8 семестр · ЛР16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Настройка парольной политики и проверка её действия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Настроить параметры парольной политики по регламенту и доказать её действие набором граничных и отрицательных проверок.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Переводить текстовый регламент в проверяемые параметры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 парольной политики; таблица допустимых и недопустимых учебных строк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 семестр; максимум 4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Фамилия_Группа_МДК0402_ЛР16.docx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Парольная политика регулирует аутентификацию, а не полномочия. Проверка длины, запретов и блокировки должна точно следовать учебному регламенту; его числа не объявляются универсальным стандартом.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Средства защиты. Разделы: Аутентификация и полномочия, Парольная политика.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Из ЛР11 возьмите угрозу учётной записи. Из ЛР05 — проверку граничных значений и предварительную запись ожидания.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 парольной политики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Таблица допустимых и недопустимых учебных строк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Результаты C1–C10 и E1–E5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слабых мест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Итоговый вывод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ЛР17 передайте различие «кто вошёл» и «что ему разрешено». В ЛР20 и ЛР21 пригодятся протокол пограничных случаев и ограничения политики.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