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4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Выявление дестабилизирующих факторов для заданной системы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ЛР04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Выявление дестабилизирующих факторов для заданной системы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Научиться выявлять внутренние и внешние дестабилизирующие факторы, связывать их с возможными отказами и назначать приоритет по единым критериям.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Выделять фактор из наблюдаемого признака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и классификация факторов; цепочки связи с возможными отказами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Фамилия_Группа_МДК0402_ЛР04.docx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Дестабилизирующий фактор — условие возможного нарушения, а не уже доказанный отказ. Объясняйте цепочку «наблюдение — механизм — потеря функции»; P×I здесь учебный приоритет, а не вероятность в процентах.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Угрозы надёжности и их предотвращение. Разделы: Дестабилизирующий фактор, Причинно-следственная цепочка.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ЛР01 возьмите классы причин, из ЛР03 — чувствительность готовности к простою. Наблюдения O01–O12 образуют новый срез состояния.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и классификация факторов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Цепочки связи с возможными отказами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Расчёт приоритетов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Три первоочередных фактора и меры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Заключение о готовности к нагрузке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ЛР05 передайте фактор, связанный с входными данными; в ЛР06 — фактор состояния. В ЛР10 пригодятся три приоритета и обоснованные меры.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