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8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Настройка ведения журналов и счётчиков заданной системы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ЛР08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Настройка ведения журналов и счётчиков заданной системы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Определить достаточный набор структурированных событий и измеримых счётчиков, применить правила конфиденциальности и проверить покрытие учебных сценариев.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Выбирать события для журналирования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событий для журналирования; перечень счётчиков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Фамилия_Группа_МДК0402_ЛР08.docx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Журнал объясняет отдельное событие, счётчик показывает динамику. Связь по ID операции позволяет понять, чем завершился резервный путь; секреты и содержимое пользовательских данных для этого не нужны.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Наблюдение за работающей системой. Разделы: События журнала, Счётчики и записи, Показатели загрузки, Постоянный контроль.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ЛР05–ЛР07 возьмите коды отклонения, причины критического состояния и события резервирования. Выданные SC1–SC4 проверяют полноту набора наблюдений.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событий для журналирования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счётчиков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«показатель — назначение — признак проблемы — реакция»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Фрагмент структурированного журнала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Матрица покрытия SC1–SC4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 достаточности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ЛР09 передайте схему журнала, единицы, пороги и правило сопоставления событий. Лента L01–L17 — отдельная диагностическая выгрузка, а не результат фактического запуска вашей настройки.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