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факультета]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09.02.07 Информационные системы и программирование</w:t>
            </w: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/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[Форма обучения]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Отчёт по лабораторной работе № 11</w:t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/>
      </w:r>
      <w:r>
        <w:rPr>
          <w:b/>
          <w:rFonts w:ascii="Times New Roman" w:hAnsi="Times New Roman" w:eastAsia="Times New Roman" w:cs="Times New Roman"/>
          <w:sz w:val="24"/>
          <w:szCs w:val="24"/>
          <w:color w:val="000000"/>
        </w:rPr>
        <w:t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Составление модели угроз для заданной компьютерной системы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4 курс · 8 семестр · ЛР11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МДК.04.02 Обеспечение качества функционирования компьютерных систем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[Город], [Год]</w:t>
      </w:r>
      <w:r w:rsidR="00FE4931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/>
      </w:r>
      <w:r w:rsidR="00FF22EB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Паспорт лабораторной работы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50"/>
        <w:gridCol w:w="7200"/>
      </w:tblGrid>
      <w:tr>
        <w:trPr>
          <w:cantSplit/>
          <w:tblHeader/>
        </w:trPr>
        <w:tc>
          <w:tcPr>
            <w:tcW w:w="21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Поле</w:t>
            </w:r>
          </w:p>
        </w:tc>
        <w:tc>
          <w:tcPr>
            <w:tcW w:w="72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Содержание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Составление модели угроз для заданной компьютерной системы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Построить обоснованную модель угроз по описанию системы, связав активы, нарушителей, сценарии угроз и последствия.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Практический навык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Выделять активы и границы защищаемой системы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и схема защищаемой системы; модель нарушителя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 и баллы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 семестр; максимум 4 баллов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Имя файла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Фамилия_Группа_МДК0402_ЛР11.docx</w:t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[код] · Предметная область [название]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Пояснение к задаче по предметной области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Модель угроз строится от активов и границ доверия к возможностям нарушителя. Название вредоносной программы без пути воздействия и последствия ещё не является сценарием угрозы.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выполнения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Лекция: Угрозы и вредоносные программы. Разделы: Угроза компьютерной системе, Модель нарушителя, Модель угроз как документ.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Возьмите паспорт того же варианта и реестр ЛР10. Сохраните последствия недоступности и добавьте раскрытие и изменение данных.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Используйте HTML и CSV только текущей работы своего варианта. Учебные эпизоды не объединяются в один журнал; числа разных окон не складываются.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Примените вывод к критичной функции и активу варианта. Профиль C1–C5 не подменяет требования общего эпизода. Все ответы и фактические результаты заполняет студент.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Основной результат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Заполните таблицу. Добавляйте строки при необходимости; не уменьшайте шрифт для размещения ответа.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900"/>
        <w:gridCol w:w="2900"/>
        <w:gridCol w:w="2550"/>
      </w:tblGrid>
      <w:tr>
        <w:trPr>
          <w:cantSplit/>
          <w:tblHeader/>
        </w:trPr>
        <w:tc>
          <w:tcPr>
            <w:tcW w:w="3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Что подготовить</w:t>
            </w:r>
          </w:p>
        </w:tc>
        <w:tc>
          <w:tcPr>
            <w:tcW w:w="2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Результат студента</w:t>
            </w:r>
          </w:p>
        </w:tc>
        <w:tc>
          <w:tcPr>
            <w:tcW w:w="25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ID и доказательство</w:t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и схема защищаемой системы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Модель нарушителя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Перечень активов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Таблица угроз и последствий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Ранжированная сводная модель угроз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Предметное обоснование: функция и актив варианта, применённый результат и передаваемые материалы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Место для рисунка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Вставьте схему, требуемую заданием. Сохраните вместе рисунок, подпись и пояснение. Номер и название заполните самостоятельно.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rPr>
          <w:trHeight w:val="2551" w:hRule="atLeast"/>
        </w:trPr>
        <w:tc>
          <w:tcPr>
            <w:tcW w:type="dxa" w:w="93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jc w:val="center"/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Вставьте рисунок самостоятельно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Рисунок № — Название</w:t>
      </w:r>
    </w:p>
    <w:p>
      <w:pPr>
        <w:jc w:val="center"/>
      </w:pPr>
      <w:r>
        <w:rPr>
          <w:i/>
          <w:rFonts w:ascii="Times New Roman" w:hAnsi="Times New Roman" w:eastAsia="Times New Roman" w:cs="Times New Roman"/>
          <w:sz w:val="24"/>
          <w:szCs w:val="24"/>
          <w:color w:val="000000"/>
        </w:rPr>
        <w:t>Впишите номер и название рисунка самостоятельно.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Решение, обоснование и проверка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Принятое решение и связь с предметной областью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Основания решения и ссылки на ID исходных данных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Проверка результата по условиям задания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следующей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 ЛР12 передайте приоритетный сценарий, его возможные признаки и затронутые активы. В ЛР13–ЛР19 используйте угрозы как основание выбора средств защиты.
[Запишите, что вы передаёте и где это находится в вашем отчёте.]</w:t>
        <w:br/>
        <w:t/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Использование инструментов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Заполняется при использовании внешних инструментов. Укажите выполненную операцию и то, что проверили самостоятельно.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3685"/>
      </w:tblGrid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Инструмент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Операция</w:t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Самостоятельная проверка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</w:tbl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