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14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Настройка средства антивирусной защиты и проверка его действия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ЛР14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Настройка средства антивирусной защиты и проверка его действия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Сконфигурировать учебное средство антивирусной защиты по регламенту и проверить настройки на безопасных карточках событий.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Переводить регламент в параметры политики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целевая таблица параметров; таблица проверок T1–T7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Фамилия_Группа_МДК0402_ЛР14.docx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Настройка защиты считается проверенной после сопоставления требования, параметра и результата события. Обязательно проверяйте разрешённые действия: блокировка всего не является корректной защитой.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Средства защиты. Разделы: Компоненты антивирусной защиты, Режимы работы.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требования к функциям из ЛР13 и признаки из ЛР12. R1–R7 задают точный контракт этой учебной конфигурации.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Целевая таблица параметров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проверок T1–T7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тестовых событий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Подтверждение срабатывания правил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 соответствии регламенту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ЛР20 передайте формат протокола «требование — тест — ожидание — факт — статус», в ЛР21 — список доказательств настройки и её границ.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