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>АВТОНОМНАЯ НЕКОММЕРЧЕСКАЯ ОРГАНИЩАЦИЯ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>Отчет по лабораторной работе №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5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7C12A699" w14:textId="2AF04FAC" w:rsidR="00F54238" w:rsidRDefault="00F54238">
            <w:pPr>
              <w:spacing w:after="0" w:line="24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6"/>
              </w:rPr>
              <w:t>Идентификаторы, источники и трассируемость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i w:val="0"/>
                <w:color w:val="C00000"/>
                <w:sz w:val="22"/>
              </w:rPr>
              <w:t>3 курс · 5 семестр · C3-S5-LR05</w:t>
            </w: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 w14:paraId="6A316601" w14:textId="77777777" w:rsidR="00F54238" w:rsidRDefault="00F54238">
            <w:pPr>
              <w:spacing w:after="0" w:line="240" w:lineRule="auto"/>
              <w:ind w:right="2719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</w:p>
          <w:p w14:paraId="04232AFB" w14:textId="77777777" w:rsidR="00F54238" w:rsidRDefault="008932D5">
            <w:pPr>
              <w:spacing w:after="0" w:line="240" w:lineRule="auto"/>
              <w:ind w:right="-117"/>
              <w:jc w:val="center"/>
              <w:rPr>
                <w:rFonts w:ascii="TimesNewRomanPSMT" w:hAnsi="TimesNewRomanPS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28"/>
                <w:szCs w:val="28"/>
              </w:rPr>
              <w:t>Проектирование и дизайн информационных систем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>Москва, 202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>6</w:t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jc w:val="right"/>
      </w:pPr>
      <w:r>
        <w:rPr>
          <w:rFonts w:ascii="Times New Roman" w:hAnsi="Times New Roman" w:eastAsia="Times New Roman"/>
          <w:b/>
          <w:i w:val="0"/>
          <w:color w:val="C00000"/>
          <w:sz w:val="18"/>
        </w:rPr>
        <w:t>C3-S5-LR05 · 3 курс · 5 семестр</w:t>
      </w:r>
    </w:p>
    <w:p>
      <w:pPr>
        <w:pStyle w:val="1"/>
        <w:spacing w:before="0"/>
      </w:pPr>
      <w:r>
        <w:t>Паспорт лабораторной работы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54"/>
      </w:tblGrid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Название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Идентификаторы, источники и трассируемость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Цель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Стабилизировать реестр и построить первую трассу от источника к проверке.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Практический навык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Назначать устойчивые ID, управлять источниками и находить разрывы трассировки.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Результат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Реестр с устойчивыми ID и фрагмент матрицы трассируемости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Имя файла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C3_S5_LR05_Фамилия_Группа.docx</w:t>
            </w:r>
          </w:p>
        </w:tc>
      </w:tr>
    </w:tbl>
    <w:p>
      <w:pPr>
        <w:pStyle w:val="2"/>
      </w:pPr>
      <w:r>
        <w:t>Краткий контекст</w:t>
      </w:r>
    </w:p>
    <w:p>
      <w:r>
        <w:t>После обсуждения формулировки изменились, а ссылки в макетах и заметках перестали совпадать. Нужна схема идентификации, которая переживает редактуру.</w:t>
      </w:r>
    </w:p>
    <w:p>
      <w:pPr>
        <w:pStyle w:val="2"/>
      </w:pPr>
      <w:r>
        <w:t>Исходные данные</w:t>
      </w:r>
    </w:p>
    <w:p>
      <w:pPr>
        <w:pStyle w:val="PIDISBulle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Классифицированный реестр.</w:t>
      </w:r>
    </w:p>
    <w:p>
      <w:pPr>
        <w:pStyle w:val="PIDISBulle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Три источника с кодами BRF, FRM и INT.</w:t>
      </w:r>
    </w:p>
    <w:p>
      <w:pPr>
        <w:pStyle w:val="PIDISBulle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Черновик проектного решения.</w:t>
      </w:r>
    </w:p>
    <w:p>
      <w:pPr>
        <w:pStyle w:val="PIDISBulle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Два требования с общим предложением-источником.</w:t>
      </w:r>
    </w:p>
    <w:p>
      <w:r>
        <w:rPr>
          <w:rFonts w:ascii="Times New Roman" w:hAnsi="Times New Roman" w:eastAsia="Times New Roman"/>
          <w:b/>
          <w:i w:val="0"/>
          <w:color w:val="C00000"/>
          <w:sz w:val="20"/>
        </w:rPr>
        <w:t xml:space="preserve">Важно. 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Все названия и числовые данные кейса являются данными учебной задачи. Не добавляйте неподтверждённые факты.</w:t>
      </w:r>
    </w:p>
    <w:p>
      <w:r>
        <w:br w:type="page"/>
      </w:r>
    </w:p>
    <w:p>
      <w:pPr>
        <w:jc w:val="right"/>
      </w:pPr>
      <w:r>
        <w:rPr>
          <w:rFonts w:ascii="Times New Roman" w:hAnsi="Times New Roman" w:eastAsia="Times New Roman"/>
          <w:b/>
          <w:i w:val="0"/>
          <w:color w:val="C00000"/>
          <w:sz w:val="18"/>
        </w:rPr>
        <w:t>C3-S5-LR05 · 3 курс · 5 семестр</w:t>
      </w:r>
    </w:p>
    <w:p>
      <w:pPr>
        <w:pStyle w:val="1"/>
        <w:spacing w:before="0"/>
      </w:pPr>
      <w:r>
        <w:t>Основной проектный артефакт</w:t>
      </w:r>
    </w:p>
    <w:p>
      <w:pPr>
        <w:pStyle w:val="2"/>
      </w:pPr>
      <w:r>
        <w:t>Реестр с устойчивыми ID и фрагмент матрицы трассируемости</w:t>
      </w:r>
    </w:p>
    <w:p>
      <w:r>
        <w:t>Заполните таблицу. При необходимости добавьте строки; не уменьшайте шрифт для размещения ответа.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1559"/>
        <w:gridCol w:w="1559"/>
        <w:gridCol w:w="1559"/>
        <w:gridCol w:w="1559"/>
        <w:gridCol w:w="1559"/>
        <w:gridCol w:w="1559"/>
      </w:tblGrid>
      <w:tr>
        <w:trPr>
          <w:tblHeader w:val="true"/>
        </w:trPr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ID требования</w:t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Версия</w:t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Источник</w:t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Решение</w:t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Проверка</w:t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Статус связи</w:t>
            </w:r>
          </w:p>
        </w:tc>
      </w:tr>
      <w:tr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  <w:t>Введите данные</w:t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</w:tbl>
    <w:p>
      <w:pPr>
        <w:spacing w:after="20"/>
      </w:pPr>
    </w:p>
    <w:p>
      <w:pPr>
        <w:pStyle w:val="2"/>
      </w:pPr>
      <w:r>
        <w:t>Визуальное подтверждение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F7F7F8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20"/>
              </w:rPr>
              <w:t>Вставьте сюда схему, матрицу, wireframe или скриншот результата. Добавьте подпись и идентификаторы элементов.</w:t>
            </w:r>
          </w:p>
          <w:p/>
          <w:p/>
          <w:p/>
          <w:p/>
          <w:p/>
        </w:tc>
      </w:tr>
    </w:tbl>
    <w:p>
      <w:r>
        <w:br w:type="page"/>
      </w:r>
    </w:p>
    <w:p>
      <w:pPr>
        <w:jc w:val="right"/>
      </w:pPr>
      <w:r>
        <w:rPr>
          <w:rFonts w:ascii="Times New Roman" w:hAnsi="Times New Roman" w:eastAsia="Times New Roman"/>
          <w:b/>
          <w:i w:val="0"/>
          <w:color w:val="C00000"/>
          <w:sz w:val="18"/>
        </w:rPr>
        <w:t>C3-S5-LR05 · 3 курс · 5 семестр</w:t>
      </w:r>
    </w:p>
    <w:p>
      <w:pPr>
        <w:pStyle w:val="1"/>
        <w:spacing w:before="0"/>
      </w:pPr>
      <w:r>
        <w:t>Решение, обоснование и проверка</w:t>
      </w:r>
    </w:p>
    <w:p>
      <w:r>
        <w:rPr>
          <w:rFonts w:ascii="Times New Roman" w:hAnsi="Times New Roman" w:eastAsia="Times New Roman"/>
          <w:b/>
          <w:i w:val="0"/>
          <w:color w:val="C00000"/>
          <w:sz w:val="24"/>
        </w:rPr>
        <w:t xml:space="preserve">Какое решение вы приняли и почему?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Какой уровень детализации ID сохранит трассируемость и не раздробит смысл?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2400"/>
        <w:gridCol w:w="6954"/>
      </w:tblGrid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ID решения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Исходный факт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Источник факта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Проблема или риск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Принятое решение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Обоснование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Критерий проверки и доказательство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</w:tbl>
    <w:p>
      <w:pPr>
        <w:pStyle w:val="2"/>
      </w:pPr>
      <w:r>
        <w:t>Декларация использования инструментов</w:t>
      </w:r>
    </w:p>
    <w:p>
      <w:r>
        <w:t>Заполняется только при добровольном использовании внешних инструментов. Укажите инструмент, для какой операции он применялся и что вы проверили самостоятельно.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2100"/>
        <w:gridCol w:w="3150"/>
        <w:gridCol w:w="4104"/>
      </w:tblGrid>
      <w:tr>
        <w:trPr>
          <w:tblHeader w:val="true"/>
        </w:trPr>
        <w:tc>
          <w:tcPr>
            <w:tcW w:type="dxa" w:w="21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Инструмент</w:t>
            </w:r>
          </w:p>
        </w:tc>
        <w:tc>
          <w:tcPr>
            <w:tcW w:type="dxa" w:w="315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Операция</w:t>
            </w:r>
          </w:p>
        </w:tc>
        <w:tc>
          <w:tcPr>
            <w:tcW w:type="dxa" w:w="410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Самостоятельная проверка</w:t>
            </w:r>
          </w:p>
        </w:tc>
      </w:tr>
      <w:tr>
        <w:tc>
          <w:tcPr>
            <w:tcW w:type="dxa" w:w="21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315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410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21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315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410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</w:tbl>
    <w:p>
      <w:pPr>
        <w:spacing w:after="20"/>
      </w:pPr>
    </w:p>
    <w:p>
      <w:r>
        <w:br w:type="page"/>
      </w:r>
    </w:p>
    <w:p>
      <w:pPr>
        <w:jc w:val="right"/>
      </w:pPr>
      <w:r>
        <w:rPr>
          <w:rFonts w:ascii="Times New Roman" w:hAnsi="Times New Roman" w:eastAsia="Times New Roman"/>
          <w:b/>
          <w:i w:val="0"/>
          <w:color w:val="C00000"/>
          <w:sz w:val="18"/>
        </w:rPr>
        <w:t>C3-S5-LR05 · 3 курс · 5 семестр</w:t>
      </w:r>
    </w:p>
    <w:p>
      <w:pPr>
        <w:pStyle w:val="1"/>
        <w:spacing w:before="0"/>
      </w:pPr>
      <w:r>
        <w:t>Сдача и самопроверка</w:t>
      </w:r>
    </w:p>
    <w:p>
      <w:pPr>
        <w:pStyle w:val="2"/>
      </w:pPr>
      <w:r>
        <w:t>Критерии LMS · 10 баллов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900"/>
        <w:gridCol w:w="3600"/>
        <w:gridCol w:w="4854"/>
      </w:tblGrid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Баллы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Компонент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Признак результата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4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Основной артефакт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Соглашение об ID, обновлённый реестр и не менее 8 трасс с отмеченными разрывами.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2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Корректность анализа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Факты, противоречия и неопределённости различены.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2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Связь с исходными данными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Решения имеют точные источники.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1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Проверка и доказательство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По любой строке можно перейти к источнику, решению и проверке без поиска по похожему тексту.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1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Самопроверка и рефлексия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Чек-лист заполнен; назван факт, изменивший решение.</w:t>
            </w:r>
          </w:p>
        </w:tc>
      </w:tr>
    </w:tbl>
    <w:p>
      <w:pPr>
        <w:pStyle w:val="2"/>
      </w:pPr>
      <w:r>
        <w:t>Чек-лист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600"/>
        <w:gridCol w:w="8754"/>
      </w:tblGrid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Артефакт заполнен и подписан.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Решение связано с исходным фактом.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Допущения помечены.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Визуальный результат читаем.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Критерий и доказательство согласованы.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Файл назван по шаблону.</w:t>
            </w:r>
          </w:p>
        </w:tc>
      </w:tr>
    </w:tbl>
    <w:p>
      <w:pPr>
        <w:pStyle w:val="2"/>
      </w:pPr>
      <w:r>
        <w:t>Короткая рефлексия</w:t>
      </w:r>
    </w:p>
    <w:p>
      <w:r>
        <w:t>Какой исходный факт сильнее всего изменил ваше решение и что вы проверили бы дополнительно?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/>
          <w:p/>
          <w:p/>
        </w:tc>
      </w:tr>
    </w:tbl>
    <w:p>
      <w:pPr>
        <w:pStyle w:val="2"/>
      </w:pPr>
      <w:r>
        <w:t>Источники и ссылки</w:t>
      </w:r>
    </w:p>
    <w:p>
      <w:hyperlink r:id="rId11">
        <w:r>
          <w:rPr>
            <w:rFonts w:ascii="Times New Roman" w:hAnsi="Times New Roman"/>
            <w:color w:val="4056B5"/>
            <w:u w:val="single"/>
          </w:rPr>
          <w:t>Лекция: Допущения и трассируемость</w:t>
        </w:r>
      </w:hyperlink>
    </w:p>
    <w:p>
      <w:hyperlink r:id="rId12">
        <w:r>
          <w:rPr>
            <w:rFonts w:ascii="Times New Roman" w:hAnsi="Times New Roman"/>
            <w:color w:val="4056B5"/>
            <w:u w:val="single"/>
          </w:rPr>
          <w:t>Лекция: Карта артефактов</w:t>
        </w:r>
      </w:hyperlink>
    </w:p>
    <w:p>
      <w:hyperlink r:id="rId13">
        <w:r>
          <w:rPr>
            <w:rFonts w:ascii="Times New Roman" w:hAnsi="Times New Roman"/>
            <w:color w:val="4056B5"/>
            <w:u w:val="single"/>
          </w:rPr>
          <w:t>Материалы учебного кейса</w:t>
        </w:r>
      </w:hyperlink>
    </w:p>
    <w:p>
      <w:hyperlink r:id="rId14">
        <w:r>
          <w:rPr>
            <w:rFonts w:ascii="Times New Roman" w:hAnsi="Times New Roman"/>
            <w:color w:val="4056B5"/>
            <w:u w:val="single"/>
          </w:rPr>
          <w:t>Перейти в LMS</w:t>
        </w:r>
      </w:hyperlink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singleLevel"/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00" w:line="259" w:lineRule="auto"/>
    </w:pPr>
    <w:rPr>
      <w:rFonts w:ascii="Times New Roman" w:eastAsia="Calibri" w:hAnsi="Times New Roman" w:cs="Times New Roman"/>
      <w:sz w:val="22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100"/>
      <w:outlineLvl w:val="0"/>
    </w:pPr>
    <w:rPr>
      <w:rFonts w:ascii="Times New Roman" w:eastAsia="Arial" w:hAnsi="Times New Roman" w:cs="Arial"/>
      <w:b/>
      <w:color w:val="C00000"/>
      <w:sz w:val="3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60"/>
      <w:outlineLvl w:val="1"/>
    </w:pPr>
    <w:rPr>
      <w:rFonts w:ascii="Times New Roman" w:eastAsia="Arial" w:hAnsi="Times New Roman" w:cs="Arial"/>
      <w:b/>
      <w:color w:val="000000"/>
      <w:sz w:val="2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20" w:after="40"/>
      <w:outlineLvl w:val="2"/>
    </w:pPr>
    <w:rPr>
      <w:rFonts w:ascii="Times New Roman" w:eastAsia="Arial" w:hAnsi="Times New Roman" w:cs="Arial"/>
      <w:b/>
      <w:color w:val="555555"/>
      <w:sz w:val="22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keepNext/>
      <w:spacing w:before="0" w:after="160"/>
      <w:contextualSpacing/>
    </w:pPr>
    <w:rPr>
      <w:rFonts w:ascii="Times New Roman" w:hAnsi="Times New Roman"/>
      <w:b/>
      <w:color w:val="000000"/>
      <w:sz w:val="40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PIDISBullet">
    <w:name w:val="PIDIS Bullet"/>
    <w:pPr>
      <w:spacing w:after="60"/>
      <w:numPr>
        <w:ilvl w:val="0"/>
        <w:numId w:val="1"/>
      </w:numPr>
    </w:pPr>
    <w:rPr>
      <w:rFonts w:ascii="Times New Roman" w:hAnsi="Times New Roman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Relationship Id="rId7" Type="http://schemas.openxmlformats.org/officeDocument/2006/relationships/numbering" Target="numbering.xml"/><Relationship Id="rId11" Type="http://schemas.openxmlformats.org/officeDocument/2006/relationships/hyperlink" Target="https://olgakraven.github.io/2026-PISID3-lecture/?topic=09-assumptions-traceability" TargetMode="External"/><Relationship Id="rId12" Type="http://schemas.openxmlformats.org/officeDocument/2006/relationships/hyperlink" Target="https://olgakraven.github.io/2026-PISID3-lecture/?topic=03-artifact-map" TargetMode="External"/><Relationship Id="rId13" Type="http://schemas.openxmlformats.org/officeDocument/2006/relationships/hyperlink" Target="https://github.com/OlgaKraven/2026-PIDIS-lab/blob/main/inputs/course-3/wms-case.md" TargetMode="External"/><Relationship Id="rId14" Type="http://schemas.openxmlformats.org/officeDocument/2006/relationships/hyperlink" Target="https://lms.synergy.ru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C3-S5-LR05 · Идентификаторы, источники и трассируемость · шаблон отчёта</dc:title>
  <dc:subject>МДК.05.01 Проектирование и дизайн информационных систем</dc:subject>
  <dc:creator>Университет «Синергия»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