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Трассировка «требование — сущность — атрибут»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C3-S5-LR17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C3-S5-LR17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Трассировка «требование — сущность — атрибут»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Проверить, что требования обеспечены данными, а элементы модели не лишены основания.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Строить двунаправленную матрицу трассировки и диагностировать разрывы.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трассировки требований, сущностей и атрибутов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C3_S5_LR17_Фамилия_Группа.docx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После ревизии остаётся вопрос: какие требования поддерживаются конкретными данными и нет ли атрибутов, не связанных ни с одной задачей.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Актуальный реестр требований.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Спецификация сущностей.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Реестр правил.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Три намеренных разрыва в учебном фрагменте.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C3-S5-LR17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Матрица трассировки требований, сущностей и атрибутов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требования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Сущность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Атрибут/правило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Тип покрытия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Статус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Действие по разрыву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C3-S5-LR17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Какой разрыв следует устранить изменением модели, а какой — уточнением требования?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C3-S5-LR17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Матрица для всех ключевых требований и список непокрытых/лишних элементов.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Связи проверяются в обе стороны: от требования к данным и от данных к основанию.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Ревизия модели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Трассируемость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5-model-revision" TargetMode="External"/><Relationship Id="rId12" Type="http://schemas.openxmlformats.org/officeDocument/2006/relationships/hyperlink" Target="https://olgakraven.github.io/2026-PISID3-lecture/?topic=09-assumptions-traceability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C3-S5-LR17 · Трассировка «требование — сущность — атрибут»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