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Матрица ролей и прав доступа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6 семестр · C3-S6-LR06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C3-S6-LR06 · 3 курс · 6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Матрица ролей и прав доступа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Связать рабочие обязанности с минимально необходимыми правами.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Строить матрицу ролей, объектов и операций и выявлять конфликт полномочий.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Матрица ролей и прав доступа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C3_S6_LR06_Фамилия_Группа.docx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Кладовщик выполняет отбор, контролёр подтверждает маркировку, начальник отменяет задания, администратор управляет учётными записями.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Карта ролей.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объектов и операций.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Бизнес-правила полномочий.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Конфликт варианта: одна роль получила лишнее право.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C3-S6-LR06 · 3 курс · 6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Матрица ролей и прав доступа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Объект/операция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Кладовщик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Контролёр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Начальник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Администратор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Основание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Риск конфликта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C3-S6-LR06 · 3 курс · 6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право нужно отклонить, несмотря на удобство,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C3-S6-LR06 · 3 курс · 6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Матрица по 10–14 операциям, легенда прав и два сценария проверки.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Каждое разрешение имеет рабочее основание; лишние полномочия выявлены.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Ролевая модель доступа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25-rbac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C3-S6-LR06 · Матрица ролей и прав доступа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