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7C12A699" w14:textId="2AF04FAC" w:rsidR="00F54238" w:rsidRDefault="00F5423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Реестр бизнес правил предметной области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3 курс · 5 семестр · C3-S5-LR05</w:t>
            </w: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6A316601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4232AFB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C3-S5-LR05 · 3 курс · 5 семестр</w:t>
      </w:r>
    </w:p>
    <w:p>
      <w:pPr>
        <w:pStyle w:val="1"/>
        <w:spacing w:before="0"/>
      </w:pPr>
      <w:r>
        <w:t>Паспорт лабораторной работы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54"/>
      </w:tblGrid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Название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Реестр бизнес правил предметной области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Составить реестр бизнес-правил с источниками и способами проверки.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Практический навык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Выделять условие, обязанность или запрет, наблюдаемый результат и подбирать проверку для каждого правила.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Результат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Реестр бизнес-правил предметной области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Имя файла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C3_S5_LR05_Фамилия_Группа.docx</w:t>
            </w:r>
          </w:p>
        </w:tc>
      </w:tr>
    </w:tbl>
    <w:p>
      <w:pPr>
        <w:pStyle w:val="2"/>
      </w:pPr>
      <w:r>
        <w:t>Краткий контекст</w:t>
      </w:r>
    </w:p>
    <w:p>
      <w:r>
        <w:t>Правила резервирования, контроля маркировки, отмены и полномочий распределены между брифингом, формами и пояснениями сотрудников; часть записей смешана с интерфейсными решениями.</w:t>
      </w:r>
    </w:p>
    <w:p>
      <w:pPr>
        <w:pStyle w:val="2"/>
      </w:pPr>
      <w:r>
        <w:t>Исходные данные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Документы заказчика и реестр LR02.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Глоссарий и сущности-кандидаты LR04.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Набор позитивных и негативных ситуаций варианта.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Два противоречащих друг другу пояснения сотрудников.</w:t>
      </w:r>
    </w:p>
    <w:p>
      <w:r>
        <w:rPr>
          <w:rFonts w:ascii="Times New Roman" w:hAnsi="Times New Roman" w:eastAsia="Times New Roman"/>
          <w:b/>
          <w:i w:val="0"/>
          <w:color w:val="C00000"/>
          <w:sz w:val="20"/>
        </w:rPr>
        <w:t xml:space="preserve">Важно.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Все названия и числовые данные кейса являются данными учебной задачи. Не добавляйте неподтверждённые факты.</w:t>
      </w: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C3-S5-LR05 · 3 курс · 5 семестр</w:t>
      </w:r>
    </w:p>
    <w:p>
      <w:pPr>
        <w:pStyle w:val="1"/>
        <w:spacing w:before="0"/>
      </w:pPr>
      <w:r>
        <w:t>Основной проектный артефакт</w:t>
      </w:r>
    </w:p>
    <w:p>
      <w:pPr>
        <w:pStyle w:val="2"/>
      </w:pPr>
      <w:r>
        <w:t>Реестр бизнес-правил предметной области</w:t>
      </w:r>
    </w:p>
    <w:p>
      <w:r>
        <w:t>Заполните таблицу. При необходимости добавьте строки; не уменьшайте шрифт для размещения ответа.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правила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Формулировка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Условие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Способ проверки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Ожидаемое доказательство</w:t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  <w:t>Введите данные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pPr>
        <w:pStyle w:val="2"/>
      </w:pPr>
      <w:r>
        <w:t>Визуальное подтверждение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7F7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20"/>
              </w:rPr>
              <w:t>Вставьте сюда схему, матрицу, wireframe или скриншот результата. Добавьте подпись и идентификаторы элементов.</w:t>
            </w:r>
          </w:p>
          <w:p/>
          <w:p/>
          <w:p/>
          <w:p/>
          <w:p/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C3-S5-LR05 · 3 курс · 5 семестр</w:t>
      </w:r>
    </w:p>
    <w:p>
      <w:pPr>
        <w:pStyle w:val="1"/>
        <w:spacing w:before="0"/>
      </w:pPr>
      <w:r>
        <w:t>Решение, обоснование и проверка</w:t>
      </w:r>
    </w:p>
    <w:p>
      <w:r>
        <w:rPr>
          <w:rFonts w:ascii="Times New Roman" w:hAnsi="Times New Roman" w:eastAsia="Times New Roman"/>
          <w:b/>
          <w:i w:val="0"/>
          <w:color w:val="C00000"/>
          <w:sz w:val="24"/>
        </w:rPr>
        <w:t xml:space="preserve">Какое решение вы приняли и почему?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Как проверить каждое правило и какое противоречие требует решения заказчика?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54"/>
      </w:tblGrid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решения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Исходный факт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 факта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Проблема или риск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Принятое решение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Обоснование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Критерий проверки и доказательство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</w:tbl>
    <w:p>
      <w:pPr>
        <w:pStyle w:val="2"/>
      </w:pPr>
      <w:r>
        <w:t>Декларация использования инструментов</w:t>
      </w:r>
    </w:p>
    <w:p>
      <w:r>
        <w:t>Заполняется только при добровольном использовании внешних инструментов. Укажите инструмент, для какой операции он применялся и что вы проверили самостоятельно.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150"/>
        <w:gridCol w:w="4104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Инструмент</w:t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Операция</w:t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Самостоятельная проверка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C3-S5-LR05 · 3 курс · 5 семестр</w:t>
      </w:r>
    </w:p>
    <w:p>
      <w:pPr>
        <w:pStyle w:val="1"/>
        <w:spacing w:before="0"/>
      </w:pPr>
      <w:r>
        <w:t>Сдача и самопроверка</w:t>
      </w:r>
    </w:p>
    <w:p>
      <w:pPr>
        <w:pStyle w:val="2"/>
      </w:pPr>
      <w:r>
        <w:t>Критерии LMS · 5 баллов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3600"/>
        <w:gridCol w:w="4854"/>
      </w:tblGrid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Баллы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Компонент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Признак результата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Основной артефакт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Реестр из 10–14 правил с точными источниками, позитивной или негативной проверкой и ожидаемым доказательством.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Корректность анализа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Факты, противоречия и неопределённости различены.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Связь с исходными данными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Решения имеют точные источники.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0,5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Проверка и доказательство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Правило отделено от способа реализации, содержит проверяемое условие и связано с местом в документах заказчика.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0,5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Самопроверка и рефлексия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Чек-лист заполнен; назван факт, изменивший решение.</w:t>
            </w:r>
          </w:p>
        </w:tc>
      </w:tr>
    </w:tbl>
    <w:p>
      <w:pPr>
        <w:pStyle w:val="2"/>
      </w:pPr>
      <w:r>
        <w:t>Чек-лист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8754"/>
      </w:tblGrid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Артефакт заполнен и подписан.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Решение связано с исходным фактом.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Допущения помечены.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Визуальный результат читаем.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Критерий и доказательство согласованы.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Файл назван по шаблону.</w:t>
            </w:r>
          </w:p>
        </w:tc>
      </w:tr>
    </w:tbl>
    <w:p>
      <w:pPr>
        <w:pStyle w:val="2"/>
      </w:pPr>
      <w:r>
        <w:t>Короткая рефлексия</w:t>
      </w:r>
    </w:p>
    <w:p>
      <w:r>
        <w:t>Какой исходный факт сильнее всего изменил ваше решение и что вы проверили бы дополнительно?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/>
          <w:p/>
          <w:p/>
        </w:tc>
      </w:tr>
    </w:tbl>
    <w:p>
      <w:pPr>
        <w:pStyle w:val="2"/>
      </w:pPr>
      <w:r>
        <w:t>Источники и ссылки</w:t>
      </w:r>
    </w:p>
    <w:p>
      <w:hyperlink r:id="rId11">
        <w:r>
          <w:rPr>
            <w:rFonts w:ascii="Times New Roman" w:hAnsi="Times New Roman"/>
            <w:color w:val="4056B5"/>
            <w:u w:val="single"/>
          </w:rPr>
          <w:t>Лекция: Бизнес-правила</w:t>
        </w:r>
      </w:hyperlink>
    </w:p>
    <w:p>
      <w:hyperlink r:id="rId12">
        <w:r>
          <w:rPr>
            <w:rFonts w:ascii="Times New Roman" w:hAnsi="Times New Roman"/>
            <w:color w:val="4056B5"/>
            <w:u w:val="single"/>
          </w:rPr>
          <w:t>Лекция: Источники требований</w:t>
        </w:r>
      </w:hyperlink>
    </w:p>
    <w:p>
      <w:hyperlink r:id="rId13">
        <w:r>
          <w:rPr>
            <w:rFonts w:ascii="Times New Roman" w:hAnsi="Times New Roman"/>
            <w:color w:val="4056B5"/>
            <w:u w:val="single"/>
          </w:rPr>
          <w:t>Лекция: Качество требований</w:t>
        </w:r>
      </w:hyperlink>
    </w:p>
    <w:p>
      <w:hyperlink r:id="rId14">
        <w:r>
          <w:rPr>
            <w:rFonts w:ascii="Times New Roman" w:hAnsi="Times New Roman"/>
            <w:color w:val="4056B5"/>
            <w:u w:val="single"/>
          </w:rPr>
          <w:t>Материалы учебного кейса</w:t>
        </w:r>
      </w:hyperlink>
    </w:p>
    <w:p>
      <w:hyperlink r:id="rId15">
        <w:r>
          <w:rPr>
            <w:rFonts w:ascii="Times New Roman" w:hAnsi="Times New Roman"/>
            <w:color w:val="4056B5"/>
            <w:u w:val="single"/>
          </w:rPr>
          <w:t>Перейти в LMS</w:t>
        </w:r>
      </w:hyperlink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59" w:lineRule="auto"/>
    </w:pPr>
    <w:rPr>
      <w:rFonts w:ascii="Times New Roman" w:eastAsia="Calibri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00"/>
      <w:outlineLvl w:val="0"/>
    </w:pPr>
    <w:rPr>
      <w:rFonts w:ascii="Times New Roman" w:eastAsia="Arial" w:hAnsi="Times New Roman" w:cs="Arial"/>
      <w:b/>
      <w:color w:val="C00000"/>
      <w:sz w:val="3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60"/>
      <w:outlineLvl w:val="1"/>
    </w:pPr>
    <w:rPr>
      <w:rFonts w:ascii="Times New Roman" w:eastAsia="Arial" w:hAnsi="Times New Roman" w:cs="Arial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ascii="Times New Roman" w:eastAsia="Arial" w:hAnsi="Times New Roman" w:cs="Arial"/>
      <w:b/>
      <w:color w:val="555555"/>
      <w:sz w:val="22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keepNext/>
      <w:spacing w:before="0" w:after="160"/>
      <w:contextualSpacing/>
    </w:pPr>
    <w:rPr>
      <w:rFonts w:ascii="Times New Roman" w:hAnsi="Times New Roman"/>
      <w:b/>
      <w:color w:val="000000"/>
      <w:sz w:val="40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spacing w:after="60"/>
      <w:numPr>
        <w:ilvl w:val="0"/>
        <w:numId w:val="1"/>
      </w:numPr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7" Type="http://schemas.openxmlformats.org/officeDocument/2006/relationships/numbering" Target="numbering.xml"/><Relationship Id="rId11" Type="http://schemas.openxmlformats.org/officeDocument/2006/relationships/hyperlink" Target="https://olgakraven.github.io/2026-PISID3-lecture/?topic=12-business-rules" TargetMode="External"/><Relationship Id="rId12" Type="http://schemas.openxmlformats.org/officeDocument/2006/relationships/hyperlink" Target="https://olgakraven.github.io/2026-PISID3-lecture/?topic=04-requirement-sources" TargetMode="External"/><Relationship Id="rId13" Type="http://schemas.openxmlformats.org/officeDocument/2006/relationships/hyperlink" Target="https://olgakraven.github.io/2026-PISID3-lecture/?topic=07-requirement-quality" TargetMode="External"/><Relationship Id="rId14" Type="http://schemas.openxmlformats.org/officeDocument/2006/relationships/hyperlink" Target="https://github.com/OlgaKraven/2026-PIDIS-lab/blob/main/inputs/course-3/wms-case.md" TargetMode="External"/><Relationship Id="rId15" Type="http://schemas.openxmlformats.org/officeDocument/2006/relationships/hyperlink" Target="https://lms.synerg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C3-S5-LR05 · Реестр бизнес правил предметной области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