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39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Линейная</w:t>
      </w:r>
      <w:r>
        <w:t xml:space="preserve"> </w:t>
      </w:r>
      <w:r>
        <w:t xml:space="preserve">алгебра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</w:t>
      </w:r>
      <w:r>
        <w:t xml:space="preserve"> </w:t>
      </w:r>
      <w:r>
        <w:t xml:space="preserve">алгебры.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pStyle w:val="Compact"/>
        <w:numPr>
          <w:ilvl w:val="0"/>
          <w:numId w:val="1001"/>
        </w:numPr>
      </w:pPr>
      <w:r>
        <w:t xml:space="preserve">Изучение возможностей языка программирования Julia для выполнения операций линейной алгебры.</w:t>
      </w:r>
      <w:r>
        <w:t xml:space="preserve"> </w:t>
      </w:r>
      <w:r>
        <w:t xml:space="preserve">Закрепление навыков работы с векторами и матрицами</w:t>
      </w:r>
    </w:p>
    <w:p>
      <w:pPr>
        <w:pStyle w:val="Compact"/>
        <w:numPr>
          <w:ilvl w:val="0"/>
          <w:numId w:val="1001"/>
        </w:numPr>
      </w:pPr>
      <w:r>
        <w:t xml:space="preserve">Решение систем линейных уравнений.</w:t>
      </w:r>
    </w:p>
    <w:p>
      <w:pPr>
        <w:pStyle w:val="Compact"/>
        <w:numPr>
          <w:ilvl w:val="0"/>
          <w:numId w:val="1001"/>
        </w:numPr>
      </w:pPr>
      <w:r>
        <w:t xml:space="preserve">Приведение матриц к диагональному виду.</w:t>
      </w:r>
    </w:p>
    <w:p>
      <w:pPr>
        <w:pStyle w:val="Compact"/>
        <w:numPr>
          <w:ilvl w:val="0"/>
          <w:numId w:val="1001"/>
        </w:numPr>
      </w:pPr>
      <w:r>
        <w:t xml:space="preserve">Вычисление собственных значений и векторов матриц.</w:t>
      </w:r>
    </w:p>
    <w:p>
      <w:pPr>
        <w:pStyle w:val="Compact"/>
        <w:numPr>
          <w:ilvl w:val="0"/>
          <w:numId w:val="1001"/>
        </w:numPr>
      </w:pPr>
      <w:r>
        <w:t xml:space="preserve">Оценка эффективности выполнения операций с использованием встроенных библиотек.</w:t>
      </w:r>
    </w:p>
    <w:bookmarkEnd w:id="21"/>
    <w:bookmarkStart w:id="22" w:name="объект-и-предмет-исследования"/>
    <w:p>
      <w:pPr>
        <w:pStyle w:val="Heading1"/>
      </w:pPr>
      <w:r>
        <w:t xml:space="preserve">Объект и предмет исследования</w:t>
      </w:r>
    </w:p>
    <w:p>
      <w:pPr>
        <w:pStyle w:val="FirstParagraph"/>
      </w:pPr>
      <w:r>
        <w:t xml:space="preserve">Объектом исследования являются векторы и матрицы, их математические свойства и операции с ними.</w:t>
      </w:r>
    </w:p>
    <w:p>
      <w:pPr>
        <w:pStyle w:val="BodyText"/>
      </w:pPr>
      <w:r>
        <w:t xml:space="preserve">Исследуются также программные средства (функции языка Julia) для работы с линейной алгеброй.</w:t>
      </w:r>
    </w:p>
    <w:bookmarkEnd w:id="22"/>
    <w:bookmarkStart w:id="23" w:name="условные-обозначения-и-термины"/>
    <w:p>
      <w:pPr>
        <w:pStyle w:val="Heading1"/>
      </w:pPr>
      <w:r>
        <w:t xml:space="preserve">Условные обозначения и термины</w:t>
      </w:r>
    </w:p>
    <w:p>
      <w:pPr>
        <w:pStyle w:val="FirstParagraph"/>
      </w:pPr>
      <w:r>
        <w:t xml:space="preserve">Вектор — одномерный массив чисел, представляющий величины с направлением.</w:t>
      </w:r>
    </w:p>
    <w:p>
      <w:pPr>
        <w:pStyle w:val="BodyText"/>
      </w:pPr>
      <w:r>
        <w:t xml:space="preserve">Матрица — двумерный массив чисел, используемый для представления систем уравнений или линейных преобразований.</w:t>
      </w:r>
    </w:p>
    <w:p>
      <w:pPr>
        <w:pStyle w:val="BodyText"/>
      </w:pPr>
      <w:r>
        <w:t xml:space="preserve">Скалярное произведение — сумма произведений соответствующих элементов двух векторов.</w:t>
      </w:r>
    </w:p>
    <w:p>
      <w:pPr>
        <w:pStyle w:val="BodyText"/>
      </w:pPr>
      <w:r>
        <w:t xml:space="preserve">Внешнее произведение — операция, создающая матрицу из двух векторов.</w:t>
      </w:r>
    </w:p>
    <w:p>
      <w:pPr>
        <w:pStyle w:val="BodyText"/>
      </w:pPr>
      <w:r>
        <w:t xml:space="preserve">Продуктивность матрицы — свойство, определяющее возможность решения линейной модели (E−A)x=y с неотрицательными значениями.</w:t>
      </w:r>
    </w:p>
    <w:bookmarkEnd w:id="23"/>
    <w:bookmarkStart w:id="24" w:name="Xc12f531ecfd00c877e29758c74b6135187cbe2b"/>
    <w:p>
      <w:pPr>
        <w:pStyle w:val="Heading1"/>
      </w:pPr>
      <w:r>
        <w:t xml:space="preserve">Техническое оснащение и выбранные методы проведения работы</w:t>
      </w:r>
    </w:p>
    <w:p>
      <w:pPr>
        <w:pStyle w:val="FirstParagraph"/>
      </w:pPr>
      <w:r>
        <w:t xml:space="preserve">Основные вычисления реализованы в среде Jupyter Notebook с применением библиотеки LinearAlgebra для операций с матрицами, спектрального разложения и решения СЛАУ.</w:t>
      </w:r>
    </w:p>
    <w:bookmarkEnd w:id="24"/>
    <w:bookmarkStart w:id="25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Julia — высокоуровневый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назначения[1].</w:t>
      </w:r>
    </w:p>
    <w:bookmarkEnd w:id="25"/>
    <w:bookmarkStart w:id="26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Используя Jupyter Lab, повторите примеры из раздела 4.2.</w:t>
      </w:r>
    </w:p>
    <w:p>
      <w:pPr>
        <w:pStyle w:val="Compact"/>
        <w:numPr>
          <w:ilvl w:val="0"/>
          <w:numId w:val="1002"/>
        </w:numPr>
      </w:pPr>
      <w:r>
        <w:t xml:space="preserve">Выполните задания для самостоятельной работы (раздел 4.4).</w:t>
      </w:r>
    </w:p>
    <w:bookmarkEnd w:id="26"/>
    <w:bookmarkStart w:id="63" w:name="X0369b25e5eb46c2ac61ce7bae6f8c269782255a"/>
    <w:p>
      <w:pPr>
        <w:pStyle w:val="Heading1"/>
      </w:pPr>
      <w:r>
        <w:t xml:space="preserve">Выполнение лабораторной работы. Самостоятельное выполнение</w:t>
      </w:r>
    </w:p>
    <w:p>
      <w:pPr>
        <w:pStyle w:val="FirstParagraph"/>
      </w:pPr>
      <w:r>
        <w:t xml:space="preserve">Задание Cм.</w:t>
      </w:r>
      <w:r>
        <w:t xml:space="preserve"> </w:t>
      </w:r>
      <w:hyperlink w:anchor="fig:001">
        <w:r>
          <w:rPr>
            <w:rStyle w:val="Hyperlink"/>
          </w:rPr>
          <w:t xml:space="preserve">рис. 1</w:t>
        </w:r>
      </w:hyperlink>
      <w:r>
        <w:t xml:space="preserve">, Cм.</w:t>
      </w:r>
      <w:r>
        <w:t xml:space="preserve"> </w:t>
      </w:r>
      <w:hyperlink w:anchor="fig:002">
        <w:r>
          <w:rPr>
            <w:rStyle w:val="Hyperlink"/>
          </w:rPr>
          <w:t xml:space="preserve">рис. 2</w:t>
        </w:r>
      </w:hyperlink>
      <w:r>
        <w:t xml:space="preserve">, Cм.</w:t>
      </w:r>
      <w:r>
        <w:t xml:space="preserve"> </w:t>
      </w:r>
      <w:hyperlink w:anchor="fig:003">
        <w:r>
          <w:rPr>
            <w:rStyle w:val="Hyperlink"/>
          </w:rPr>
          <w:t xml:space="preserve">рис. 3</w:t>
        </w:r>
      </w:hyperlink>
    </w:p>
    <w:p>
      <w:pPr>
        <w:pStyle w:val="CaptionedFigure"/>
      </w:pPr>
      <w:r>
        <w:drawing>
          <wp:inline>
            <wp:extent cx="3733800" cy="4629116"/>
            <wp:effectExtent b="0" l="0" r="0" t="0"/>
            <wp:docPr descr="Задание_1" title="" id="28" name="Picture"/>
            <a:graphic>
              <a:graphicData uri="http://schemas.openxmlformats.org/drawingml/2006/picture">
                <pic:pic>
                  <pic:nvPicPr>
                    <pic:cNvPr descr="2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Задание_1</w:t>
      </w:r>
    </w:p>
    <w:p>
      <w:pPr>
        <w:pStyle w:val="CaptionedFigure"/>
      </w:pPr>
      <w:r>
        <w:drawing>
          <wp:inline>
            <wp:extent cx="3733800" cy="4670720"/>
            <wp:effectExtent b="0" l="0" r="0" t="0"/>
            <wp:docPr descr="Задание_2" title="" id="31" name="Picture"/>
            <a:graphic>
              <a:graphicData uri="http://schemas.openxmlformats.org/drawingml/2006/picture">
                <pic:pic>
                  <pic:nvPicPr>
                    <pic:cNvPr descr="2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Задание_2</w:t>
      </w:r>
    </w:p>
    <w:p>
      <w:pPr>
        <w:pStyle w:val="CaptionedFigure"/>
      </w:pPr>
      <w:r>
        <w:drawing>
          <wp:inline>
            <wp:extent cx="3733800" cy="2662920"/>
            <wp:effectExtent b="0" l="0" r="0" t="0"/>
            <wp:docPr descr="Задание_3" title="" id="34" name="Picture"/>
            <a:graphic>
              <a:graphicData uri="http://schemas.openxmlformats.org/drawingml/2006/picture">
                <pic:pic>
                  <pic:nvPicPr>
                    <pic:cNvPr descr="2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Задание_3</w:t>
      </w:r>
    </w:p>
    <w:p>
      <w:pPr>
        <w:pStyle w:val="BodyText"/>
      </w:pPr>
      <w:r>
        <w:t xml:space="preserve">Выполним задание 1: Cм.</w:t>
      </w:r>
      <w:r>
        <w:t xml:space="preserve"> </w:t>
      </w:r>
      <w:hyperlink w:anchor="fig:004">
        <w:r>
          <w:rPr>
            <w:rStyle w:val="Hyperlink"/>
          </w:rPr>
          <w:t xml:space="preserve">рис. 4</w:t>
        </w:r>
      </w:hyperlink>
    </w:p>
    <w:p>
      <w:pPr>
        <w:pStyle w:val="CaptionedFigure"/>
      </w:pPr>
      <w:r>
        <w:drawing>
          <wp:inline>
            <wp:extent cx="3733800" cy="1891572"/>
            <wp:effectExtent b="0" l="0" r="0" t="0"/>
            <wp:docPr descr="Задание 1_1" title="" id="37" name="Picture"/>
            <a:graphic>
              <a:graphicData uri="http://schemas.openxmlformats.org/drawingml/2006/picture">
                <pic:pic>
                  <pic:nvPicPr>
                    <pic:cNvPr descr="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1_1</w:t>
      </w:r>
    </w:p>
    <w:p>
      <w:pPr>
        <w:pStyle w:val="BodyText"/>
      </w:pPr>
      <w:r>
        <w:t xml:space="preserve">Для выполнения задания был задан вектор</w:t>
      </w:r>
      <w:r>
        <w:t xml:space="preserve"> </w:t>
      </w:r>
      <w:r>
        <w:t xml:space="preserve">𝑣=[1,2,3]. Затем с помощью функции dot было вычислено скалярное произведение, а матричное произведение было получено умножением вектора 𝑣 его транспонированный вариант 𝑣′.</w:t>
      </w:r>
    </w:p>
    <w:p>
      <w:pPr>
        <w:pStyle w:val="BodyText"/>
      </w:pPr>
      <w:r>
        <w:t xml:space="preserve">Выполним задание 2: Cм.</w:t>
      </w:r>
      <w:r>
        <w:t xml:space="preserve"> </w:t>
      </w:r>
      <w:hyperlink w:anchor="fig:004">
        <w:r>
          <w:rPr>
            <w:rStyle w:val="Hyperlink"/>
          </w:rPr>
          <w:t xml:space="preserve">рис. 5</w:t>
        </w:r>
      </w:hyperlink>
      <w:r>
        <w:t xml:space="preserve">, Cм.</w:t>
      </w:r>
      <w:r>
        <w:t xml:space="preserve"> </w:t>
      </w:r>
      <w:hyperlink w:anchor="fig:006">
        <w:r>
          <w:rPr>
            <w:rStyle w:val="Hyperlink"/>
          </w:rPr>
          <w:t xml:space="preserve">рис. 6</w:t>
        </w:r>
      </w:hyperlink>
    </w:p>
    <w:p>
      <w:pPr>
        <w:pStyle w:val="CaptionedFigure"/>
      </w:pPr>
      <w:r>
        <w:drawing>
          <wp:inline>
            <wp:extent cx="3733800" cy="2823769"/>
            <wp:effectExtent b="0" l="0" r="0" t="0"/>
            <wp:docPr descr="Задание 2_1" title="" id="40" name="Picture"/>
            <a:graphic>
              <a:graphicData uri="http://schemas.openxmlformats.org/drawingml/2006/picture">
                <pic:pic>
                  <pic:nvPicPr>
                    <pic:cNvPr descr="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2_1</w:t>
      </w:r>
    </w:p>
    <w:p>
      <w:pPr>
        <w:pStyle w:val="CaptionedFigure"/>
      </w:pPr>
      <w:r>
        <w:drawing>
          <wp:inline>
            <wp:extent cx="3733800" cy="1994121"/>
            <wp:effectExtent b="0" l="0" r="0" t="0"/>
            <wp:docPr descr="Задание 2_2" title="" id="43" name="Picture"/>
            <a:graphic>
              <a:graphicData uri="http://schemas.openxmlformats.org/drawingml/2006/picture">
                <pic:pic>
                  <pic:nvPicPr>
                    <pic:cNvPr descr="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2_2</w:t>
      </w:r>
    </w:p>
    <w:p>
      <w:pPr>
        <w:pStyle w:val="BodyText"/>
      </w:pPr>
      <w:r>
        <w:t xml:space="preserve">Системы могут быть:</w:t>
      </w:r>
      <w:r>
        <w:t xml:space="preserve"> </w:t>
      </w:r>
      <w:r>
        <w:t xml:space="preserve">- Совместными (имеющими одно или несколько решений).</w:t>
      </w:r>
      <w:r>
        <w:t xml:space="preserve"> </w:t>
      </w:r>
      <w:r>
        <w:t xml:space="preserve">- Несовместными (не имеющими решений).</w:t>
      </w:r>
    </w:p>
    <w:p>
      <w:pPr>
        <w:pStyle w:val="BodyText"/>
      </w:pPr>
      <w:r>
        <w:t xml:space="preserve">Для решения СЛАУ использовался оператор обратного слэша , который автоматически выбирает оптимальный метод для нахождения решения.</w:t>
      </w:r>
    </w:p>
    <w:p>
      <w:pPr>
        <w:pStyle w:val="BodyText"/>
      </w:pPr>
      <w:r>
        <w:t xml:space="preserve">Выполним задание 3.1-3.2: Cм.</w:t>
      </w:r>
      <w:r>
        <w:t xml:space="preserve"> </w:t>
      </w:r>
      <w:hyperlink w:anchor="fig:007">
        <w:r>
          <w:rPr>
            <w:rStyle w:val="Hyperlink"/>
          </w:rPr>
          <w:t xml:space="preserve">рис. 7</w:t>
        </w:r>
      </w:hyperlink>
      <w:r>
        <w:t xml:space="preserve">, Cм.</w:t>
      </w:r>
      <w:r>
        <w:t xml:space="preserve"> </w:t>
      </w:r>
      <w:hyperlink w:anchor="fig:008">
        <w:r>
          <w:rPr>
            <w:rStyle w:val="Hyperlink"/>
          </w:rPr>
          <w:t xml:space="preserve">рис. 8</w:t>
        </w:r>
      </w:hyperlink>
    </w:p>
    <w:p>
      <w:pPr>
        <w:pStyle w:val="CaptionedFigure"/>
      </w:pPr>
      <w:r>
        <w:drawing>
          <wp:inline>
            <wp:extent cx="3733800" cy="2102062"/>
            <wp:effectExtent b="0" l="0" r="0" t="0"/>
            <wp:docPr descr="Задание 3_1" title="" id="46" name="Picture"/>
            <a:graphic>
              <a:graphicData uri="http://schemas.openxmlformats.org/drawingml/2006/picture">
                <pic:pic>
                  <pic:nvPicPr>
                    <pic:cNvPr descr="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2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3_1</w:t>
      </w:r>
    </w:p>
    <w:p>
      <w:pPr>
        <w:pStyle w:val="CaptionedFigure"/>
      </w:pPr>
      <w:r>
        <w:drawing>
          <wp:inline>
            <wp:extent cx="3733800" cy="2670674"/>
            <wp:effectExtent b="0" l="0" r="0" t="0"/>
            <wp:docPr descr="Задание 3_2" title="" id="49" name="Picture"/>
            <a:graphic>
              <a:graphicData uri="http://schemas.openxmlformats.org/drawingml/2006/picture">
                <pic:pic>
                  <pic:nvPicPr>
                    <pic:cNvPr descr="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3_2</w:t>
      </w:r>
    </w:p>
    <w:p>
      <w:pPr>
        <w:pStyle w:val="Compact"/>
        <w:numPr>
          <w:ilvl w:val="0"/>
          <w:numId w:val="1003"/>
        </w:numPr>
      </w:pPr>
      <w:r>
        <w:t xml:space="preserve">Приведение к диагональному виду выполнялось через спектральное разложение: были найдены собственные значения и собственные векторы матрицы.</w:t>
      </w:r>
    </w:p>
    <w:p>
      <w:pPr>
        <w:pStyle w:val="Compact"/>
        <w:numPr>
          <w:ilvl w:val="0"/>
          <w:numId w:val="1003"/>
        </w:numPr>
      </w:pPr>
      <w:r>
        <w:t xml:space="preserve">Собственные значения формируют диагональную матрицу, а собственные векторы — матрицу преобразования.</w:t>
      </w:r>
    </w:p>
    <w:p>
      <w:pPr>
        <w:pStyle w:val="FirstParagraph"/>
      </w:pPr>
      <w:r>
        <w:t xml:space="preserve">Выполним задание 3.2: Cм.</w:t>
      </w:r>
      <w:r>
        <w:t xml:space="preserve"> </w:t>
      </w:r>
      <w:hyperlink w:anchor="fig:009">
        <w:r>
          <w:rPr>
            <w:rStyle w:val="Hyperlink"/>
          </w:rPr>
          <w:t xml:space="preserve">рис. 9</w:t>
        </w:r>
      </w:hyperlink>
    </w:p>
    <w:p>
      <w:pPr>
        <w:pStyle w:val="CaptionedFigure"/>
      </w:pPr>
      <w:r>
        <w:drawing>
          <wp:inline>
            <wp:extent cx="3733800" cy="3178721"/>
            <wp:effectExtent b="0" l="0" r="0" t="0"/>
            <wp:docPr descr="Задание 3.2" title="" id="52" name="Picture"/>
            <a:graphic>
              <a:graphicData uri="http://schemas.openxmlformats.org/drawingml/2006/picture">
                <pic:pic>
                  <pic:nvPicPr>
                    <pic:cNvPr descr="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3.2</w:t>
      </w:r>
    </w:p>
    <w:p>
      <w:pPr>
        <w:pStyle w:val="Compact"/>
        <w:numPr>
          <w:ilvl w:val="0"/>
          <w:numId w:val="1004"/>
        </w:numPr>
      </w:pPr>
      <w:r>
        <w:t xml:space="preserve">Возведение в степень или извлечение корня реализовывалось через спектральное разложение, что позволило работать с матрицами, включая те, которые имеют отрицательные собственные значения.</w:t>
      </w:r>
    </w:p>
    <w:p>
      <w:pPr>
        <w:pStyle w:val="Compact"/>
        <w:numPr>
          <w:ilvl w:val="0"/>
          <w:numId w:val="1004"/>
        </w:numPr>
      </w:pPr>
      <w:r>
        <w:t xml:space="preserve">Спектральный метод позволяет вычислять дробные степени матрицы, если преобразовать собственные значения в комплексный тип.</w:t>
      </w:r>
    </w:p>
    <w:p>
      <w:pPr>
        <w:pStyle w:val="FirstParagraph"/>
      </w:pPr>
      <w:r>
        <w:t xml:space="preserve">Выполним задание 3.3: Cм.</w:t>
      </w:r>
      <w:r>
        <w:t xml:space="preserve"> </w:t>
      </w:r>
      <w:hyperlink w:anchor="fig:010">
        <w:r>
          <w:rPr>
            <w:rStyle w:val="Hyperlink"/>
          </w:rPr>
          <w:t xml:space="preserve">рис. 10</w:t>
        </w:r>
      </w:hyperlink>
      <w:r>
        <w:t xml:space="preserve">,</w:t>
      </w:r>
    </w:p>
    <w:p>
      <w:pPr>
        <w:pStyle w:val="CaptionedFigure"/>
      </w:pPr>
      <w:r>
        <w:drawing>
          <wp:inline>
            <wp:extent cx="3733800" cy="3588090"/>
            <wp:effectExtent b="0" l="0" r="0" t="0"/>
            <wp:docPr descr="Задание 3.3" title="" id="55" name="Picture"/>
            <a:graphic>
              <a:graphicData uri="http://schemas.openxmlformats.org/drawingml/2006/picture">
                <pic:pic>
                  <pic:nvPicPr>
                    <pic:cNvPr descr="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8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3.3</w:t>
      </w:r>
    </w:p>
    <w:p>
      <w:pPr>
        <w:pStyle w:val="Compact"/>
        <w:numPr>
          <w:ilvl w:val="0"/>
          <w:numId w:val="1005"/>
        </w:numPr>
      </w:pPr>
      <w:r>
        <w:t xml:space="preserve">Были найдены собственные значения заданной матрицы, на основе которых была сформирована диагональная матрица.</w:t>
      </w:r>
    </w:p>
    <w:p>
      <w:pPr>
        <w:pStyle w:val="Compact"/>
        <w:numPr>
          <w:ilvl w:val="0"/>
          <w:numId w:val="1005"/>
        </w:numPr>
      </w:pPr>
      <w:r>
        <w:t xml:space="preserve">Также была создана нижнетреугольная матрица с элементами исходной матрицы.</w:t>
      </w:r>
    </w:p>
    <w:p>
      <w:pPr>
        <w:pStyle w:val="FirstParagraph"/>
      </w:pPr>
      <w:r>
        <w:t xml:space="preserve">Выполним задание 4: Cм.</w:t>
      </w:r>
      <w:r>
        <w:t xml:space="preserve"> </w:t>
      </w:r>
      <w:hyperlink w:anchor="fig:011">
        <w:r>
          <w:rPr>
            <w:rStyle w:val="Hyperlink"/>
          </w:rPr>
          <w:t xml:space="preserve">рис. 11</w:t>
        </w:r>
      </w:hyperlink>
      <w:r>
        <w:t xml:space="preserve">, Cм.</w:t>
      </w:r>
      <w:r>
        <w:t xml:space="preserve"> </w:t>
      </w:r>
      <w:hyperlink w:anchor="fig:012">
        <w:r>
          <w:rPr>
            <w:rStyle w:val="Hyperlink"/>
          </w:rPr>
          <w:t xml:space="preserve">рис. 12</w:t>
        </w:r>
      </w:hyperlink>
    </w:p>
    <w:p>
      <w:pPr>
        <w:pStyle w:val="CaptionedFigure"/>
      </w:pPr>
      <w:r>
        <w:drawing>
          <wp:inline>
            <wp:extent cx="3733800" cy="2626927"/>
            <wp:effectExtent b="0" l="0" r="0" t="0"/>
            <wp:docPr descr="Заданиe 4" title="" id="58" name="Picture"/>
            <a:graphic>
              <a:graphicData uri="http://schemas.openxmlformats.org/drawingml/2006/picture">
                <pic:pic>
                  <pic:nvPicPr>
                    <pic:cNvPr descr="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Заданиe 4</w:t>
      </w:r>
    </w:p>
    <w:p>
      <w:pPr>
        <w:pStyle w:val="CaptionedFigure"/>
      </w:pPr>
      <w:r>
        <w:drawing>
          <wp:inline>
            <wp:extent cx="3733800" cy="2205973"/>
            <wp:effectExtent b="0" l="0" r="0" t="0"/>
            <wp:docPr descr="Задание 4_1" title="" id="61" name="Picture"/>
            <a:graphic>
              <a:graphicData uri="http://schemas.openxmlformats.org/drawingml/2006/picture">
                <pic:pic>
                  <pic:nvPicPr>
                    <pic:cNvPr descr="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4_1</w:t>
      </w:r>
    </w:p>
    <w:p>
      <w:pPr>
        <w:pStyle w:val="BodyText"/>
      </w:pPr>
      <w:r>
        <w:t xml:space="preserve">Линейная модель экономики реализовывалась через проверку продуктивности матриц.</w:t>
      </w:r>
    </w:p>
    <w:p>
      <w:pPr>
        <w:pStyle w:val="BodyText"/>
      </w:pPr>
      <w:r>
        <w:t xml:space="preserve">Было проверено три критерия:</w:t>
      </w:r>
      <w:r>
        <w:t xml:space="preserve"> </w:t>
      </w:r>
      <w:r>
        <w:t xml:space="preserve">- Возможность решения системы.</w:t>
      </w:r>
      <w:r>
        <w:t xml:space="preserve"> </w:t>
      </w:r>
      <w:r>
        <w:t xml:space="preserve">- Наличие обратной матрицы (E−A)^−1.</w:t>
      </w:r>
      <w:r>
        <w:t xml:space="preserve"> </w:t>
      </w:r>
      <w:r>
        <w:t xml:space="preserve">- Спектральный критерий (все собственные значения по модулю меньше 1).</w:t>
      </w:r>
    </w:p>
    <w:bookmarkEnd w:id="63"/>
    <w:bookmarkStart w:id="106" w:name="X253e5537d2534460ae9e397026336ec8159c008"/>
    <w:p>
      <w:pPr>
        <w:pStyle w:val="Heading1"/>
      </w:pPr>
      <w:r>
        <w:t xml:space="preserve">Выполнение лабораторной работы. Повторение примеров</w:t>
      </w:r>
    </w:p>
    <w:p>
      <w:pPr>
        <w:pStyle w:val="FirstParagraph"/>
      </w:pPr>
      <w:r>
        <w:t xml:space="preserve">Повторим примеры из раздела 4.2: Cм.</w:t>
      </w:r>
      <w:r>
        <w:t xml:space="preserve"> </w:t>
      </w:r>
      <w:hyperlink w:anchor="fig:013">
        <w:r>
          <w:rPr>
            <w:rStyle w:val="Hyperlink"/>
          </w:rPr>
          <w:t xml:space="preserve">рис. 13</w:t>
        </w:r>
      </w:hyperlink>
      <w:r>
        <w:t xml:space="preserve">, Cм.</w:t>
      </w:r>
      <w:r>
        <w:t xml:space="preserve"> </w:t>
      </w:r>
      <w:hyperlink w:anchor="fig:014">
        <w:r>
          <w:rPr>
            <w:rStyle w:val="Hyperlink"/>
          </w:rPr>
          <w:t xml:space="preserve">рис. 14</w:t>
        </w:r>
      </w:hyperlink>
      <w:r>
        <w:t xml:space="preserve">, Cм.</w:t>
      </w:r>
      <w:r>
        <w:t xml:space="preserve"> </w:t>
      </w:r>
      <w:hyperlink w:anchor="fig:015">
        <w:r>
          <w:rPr>
            <w:rStyle w:val="Hyperlink"/>
          </w:rPr>
          <w:t xml:space="preserve">рис. 15</w:t>
        </w:r>
      </w:hyperlink>
      <w:r>
        <w:t xml:space="preserve">, Cм.</w:t>
      </w:r>
      <w:r>
        <w:t xml:space="preserve"> </w:t>
      </w:r>
      <w:hyperlink w:anchor="fig:016">
        <w:r>
          <w:rPr>
            <w:rStyle w:val="Hyperlink"/>
          </w:rPr>
          <w:t xml:space="preserve">рис. 16</w:t>
        </w:r>
      </w:hyperlink>
      <w:r>
        <w:t xml:space="preserve">, Cм.</w:t>
      </w:r>
      <w:r>
        <w:t xml:space="preserve"> </w:t>
      </w:r>
      <w:hyperlink w:anchor="fig:017">
        <w:r>
          <w:rPr>
            <w:rStyle w:val="Hyperlink"/>
          </w:rPr>
          <w:t xml:space="preserve">рис. 17</w:t>
        </w:r>
      </w:hyperlink>
      <w:r>
        <w:t xml:space="preserve">, Cм.</w:t>
      </w:r>
      <w:r>
        <w:t xml:space="preserve"> </w:t>
      </w:r>
      <w:hyperlink w:anchor="fig:018">
        <w:r>
          <w:rPr>
            <w:rStyle w:val="Hyperlink"/>
          </w:rPr>
          <w:t xml:space="preserve">рис. 18</w:t>
        </w:r>
      </w:hyperlink>
      <w:r>
        <w:t xml:space="preserve">, Cм.</w:t>
      </w:r>
      <w:r>
        <w:t xml:space="preserve"> </w:t>
      </w:r>
      <w:hyperlink w:anchor="fig:019">
        <w:r>
          <w:rPr>
            <w:rStyle w:val="Hyperlink"/>
          </w:rPr>
          <w:t xml:space="preserve">рис. 19</w:t>
        </w:r>
      </w:hyperlink>
      <w:r>
        <w:t xml:space="preserve">, Cм.</w:t>
      </w:r>
      <w:r>
        <w:t xml:space="preserve"> </w:t>
      </w:r>
      <w:hyperlink w:anchor="fig:020">
        <w:r>
          <w:rPr>
            <w:rStyle w:val="Hyperlink"/>
          </w:rPr>
          <w:t xml:space="preserve">рис. 20</w:t>
        </w:r>
      </w:hyperlink>
      <w:r>
        <w:t xml:space="preserve">, Cм.</w:t>
      </w:r>
      <w:r>
        <w:t xml:space="preserve"> </w:t>
      </w:r>
      <w:hyperlink w:anchor="fig:021">
        <w:r>
          <w:rPr>
            <w:rStyle w:val="Hyperlink"/>
          </w:rPr>
          <w:t xml:space="preserve">рис. 21</w:t>
        </w:r>
      </w:hyperlink>
      <w:r>
        <w:t xml:space="preserve">, Cм.</w:t>
      </w:r>
      <w:r>
        <w:t xml:space="preserve"> </w:t>
      </w:r>
      <w:hyperlink w:anchor="fig:022">
        <w:r>
          <w:rPr>
            <w:rStyle w:val="Hyperlink"/>
          </w:rPr>
          <w:t xml:space="preserve">рис. 22</w:t>
        </w:r>
      </w:hyperlink>
      <w:r>
        <w:t xml:space="preserve">, Cм.</w:t>
      </w:r>
      <w:r>
        <w:t xml:space="preserve"> </w:t>
      </w:r>
      <w:hyperlink w:anchor="fig:023">
        <w:r>
          <w:rPr>
            <w:rStyle w:val="Hyperlink"/>
          </w:rPr>
          <w:t xml:space="preserve">рис. 23</w:t>
        </w:r>
      </w:hyperlink>
      <w:r>
        <w:t xml:space="preserve">, Cм.</w:t>
      </w:r>
      <w:r>
        <w:t xml:space="preserve"> </w:t>
      </w:r>
      <w:hyperlink w:anchor="fig:024">
        <w:r>
          <w:rPr>
            <w:rStyle w:val="Hyperlink"/>
          </w:rPr>
          <w:t xml:space="preserve">рис. 24</w:t>
        </w:r>
      </w:hyperlink>
      <w:r>
        <w:t xml:space="preserve">, Cм.</w:t>
      </w:r>
      <w:r>
        <w:t xml:space="preserve"> </w:t>
      </w:r>
      <w:hyperlink w:anchor="fig:025">
        <w:r>
          <w:rPr>
            <w:rStyle w:val="Hyperlink"/>
          </w:rPr>
          <w:t xml:space="preserve">рис. 25</w:t>
        </w:r>
      </w:hyperlink>
      <w:r>
        <w:t xml:space="preserve">, Cм.</w:t>
      </w:r>
      <w:r>
        <w:t xml:space="preserve"> </w:t>
      </w:r>
      <w:hyperlink w:anchor="fig:026">
        <w:r>
          <w:rPr>
            <w:rStyle w:val="Hyperlink"/>
          </w:rPr>
          <w:t xml:space="preserve">рис. 26</w:t>
        </w:r>
      </w:hyperlink>
    </w:p>
    <w:p>
      <w:pPr>
        <w:pStyle w:val="CaptionedFigure"/>
      </w:pPr>
      <w:r>
        <w:drawing>
          <wp:inline>
            <wp:extent cx="3733800" cy="2903115"/>
            <wp:effectExtent b="0" l="0" r="0" t="0"/>
            <wp:docPr descr="Повторение примеров_1" title="" id="65" name="Picture"/>
            <a:graphic>
              <a:graphicData uri="http://schemas.openxmlformats.org/drawingml/2006/picture">
                <pic:pic>
                  <pic:nvPicPr>
                    <pic:cNvPr descr="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3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примеров_1</w:t>
      </w:r>
    </w:p>
    <w:p>
      <w:pPr>
        <w:pStyle w:val="CaptionedFigure"/>
      </w:pPr>
      <w:r>
        <w:drawing>
          <wp:inline>
            <wp:extent cx="3733800" cy="2000417"/>
            <wp:effectExtent b="0" l="0" r="0" t="0"/>
            <wp:docPr descr="Повторение примеров_2" title="" id="68" name="Picture"/>
            <a:graphic>
              <a:graphicData uri="http://schemas.openxmlformats.org/drawingml/2006/picture">
                <pic:pic>
                  <pic:nvPicPr>
                    <pic:cNvPr descr="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примеров_2</w:t>
      </w:r>
    </w:p>
    <w:p>
      <w:pPr>
        <w:pStyle w:val="CaptionedFigure"/>
      </w:pPr>
      <w:r>
        <w:drawing>
          <wp:inline>
            <wp:extent cx="3733800" cy="3905365"/>
            <wp:effectExtent b="0" l="0" r="0" t="0"/>
            <wp:docPr descr="Повторение примеров_3" title="" id="71" name="Picture"/>
            <a:graphic>
              <a:graphicData uri="http://schemas.openxmlformats.org/drawingml/2006/picture">
                <pic:pic>
                  <pic:nvPicPr>
                    <pic:cNvPr descr="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примеров_3</w:t>
      </w:r>
    </w:p>
    <w:p>
      <w:pPr>
        <w:pStyle w:val="CaptionedFigure"/>
      </w:pPr>
      <w:r>
        <w:drawing>
          <wp:inline>
            <wp:extent cx="3733800" cy="2423507"/>
            <wp:effectExtent b="0" l="0" r="0" t="0"/>
            <wp:docPr descr="Повторение примеров_4" title="" id="74" name="Picture"/>
            <a:graphic>
              <a:graphicData uri="http://schemas.openxmlformats.org/drawingml/2006/picture">
                <pic:pic>
                  <pic:nvPicPr>
                    <pic:cNvPr descr="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примеров_4</w:t>
      </w:r>
    </w:p>
    <w:p>
      <w:pPr>
        <w:pStyle w:val="CaptionedFigure"/>
      </w:pPr>
      <w:r>
        <w:drawing>
          <wp:inline>
            <wp:extent cx="3733800" cy="2473642"/>
            <wp:effectExtent b="0" l="0" r="0" t="0"/>
            <wp:docPr descr="Повторение примеров_5" title="" id="77" name="Picture"/>
            <a:graphic>
              <a:graphicData uri="http://schemas.openxmlformats.org/drawingml/2006/picture">
                <pic:pic>
                  <pic:nvPicPr>
                    <pic:cNvPr descr="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примеров_5</w:t>
      </w:r>
    </w:p>
    <w:p>
      <w:pPr>
        <w:pStyle w:val="CaptionedFigure"/>
      </w:pPr>
      <w:r>
        <w:drawing>
          <wp:inline>
            <wp:extent cx="3733800" cy="2697501"/>
            <wp:effectExtent b="0" l="0" r="0" t="0"/>
            <wp:docPr descr="Повторение примеров_6" title="" id="80" name="Picture"/>
            <a:graphic>
              <a:graphicData uri="http://schemas.openxmlformats.org/drawingml/2006/picture">
                <pic:pic>
                  <pic:nvPicPr>
                    <pic:cNvPr descr="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7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примеров_6</w:t>
      </w:r>
    </w:p>
    <w:p>
      <w:pPr>
        <w:pStyle w:val="CaptionedFigure"/>
      </w:pPr>
      <w:r>
        <w:drawing>
          <wp:inline>
            <wp:extent cx="3733800" cy="3572241"/>
            <wp:effectExtent b="0" l="0" r="0" t="0"/>
            <wp:docPr descr="Повторение примеров_7" title="" id="83" name="Picture"/>
            <a:graphic>
              <a:graphicData uri="http://schemas.openxmlformats.org/drawingml/2006/picture">
                <pic:pic>
                  <pic:nvPicPr>
                    <pic:cNvPr descr="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2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примеров_7</w:t>
      </w:r>
    </w:p>
    <w:p>
      <w:pPr>
        <w:pStyle w:val="CaptionedFigure"/>
      </w:pPr>
      <w:r>
        <w:drawing>
          <wp:inline>
            <wp:extent cx="3733800" cy="3194671"/>
            <wp:effectExtent b="0" l="0" r="0" t="0"/>
            <wp:docPr descr="Повторение примеров_8" title="" id="86" name="Picture"/>
            <a:graphic>
              <a:graphicData uri="http://schemas.openxmlformats.org/drawingml/2006/picture">
                <pic:pic>
                  <pic:nvPicPr>
                    <pic:cNvPr descr="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4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примеров_8</w:t>
      </w:r>
    </w:p>
    <w:p>
      <w:pPr>
        <w:pStyle w:val="CaptionedFigure"/>
      </w:pPr>
      <w:r>
        <w:drawing>
          <wp:inline>
            <wp:extent cx="3733800" cy="3434575"/>
            <wp:effectExtent b="0" l="0" r="0" t="0"/>
            <wp:docPr descr="Повторение примеров_9" title="" id="89" name="Picture"/>
            <a:graphic>
              <a:graphicData uri="http://schemas.openxmlformats.org/drawingml/2006/picture">
                <pic:pic>
                  <pic:nvPicPr>
                    <pic:cNvPr descr="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примеров_9</w:t>
      </w:r>
    </w:p>
    <w:p>
      <w:pPr>
        <w:pStyle w:val="CaptionedFigure"/>
      </w:pPr>
      <w:r>
        <w:drawing>
          <wp:inline>
            <wp:extent cx="3733800" cy="3202599"/>
            <wp:effectExtent b="0" l="0" r="0" t="0"/>
            <wp:docPr descr="Повторение примеров_10" title="" id="92" name="Picture"/>
            <a:graphic>
              <a:graphicData uri="http://schemas.openxmlformats.org/drawingml/2006/picture">
                <pic:pic>
                  <pic:nvPicPr>
                    <pic:cNvPr descr="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2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примеров_10</w:t>
      </w:r>
    </w:p>
    <w:p>
      <w:pPr>
        <w:pStyle w:val="CaptionedFigure"/>
      </w:pPr>
      <w:r>
        <w:drawing>
          <wp:inline>
            <wp:extent cx="3733800" cy="2501167"/>
            <wp:effectExtent b="0" l="0" r="0" t="0"/>
            <wp:docPr descr="Повторение примеров_11" title="" id="95" name="Picture"/>
            <a:graphic>
              <a:graphicData uri="http://schemas.openxmlformats.org/drawingml/2006/picture">
                <pic:pic>
                  <pic:nvPicPr>
                    <pic:cNvPr descr="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1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примеров_11</w:t>
      </w:r>
    </w:p>
    <w:p>
      <w:pPr>
        <w:pStyle w:val="CaptionedFigure"/>
      </w:pPr>
      <w:r>
        <w:drawing>
          <wp:inline>
            <wp:extent cx="3733800" cy="3221240"/>
            <wp:effectExtent b="0" l="0" r="0" t="0"/>
            <wp:docPr descr="Повторение примеров_12" title="" id="98" name="Picture"/>
            <a:graphic>
              <a:graphicData uri="http://schemas.openxmlformats.org/drawingml/2006/picture">
                <pic:pic>
                  <pic:nvPicPr>
                    <pic:cNvPr descr="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примеров_12</w:t>
      </w:r>
    </w:p>
    <w:p>
      <w:pPr>
        <w:pStyle w:val="CaptionedFigure"/>
      </w:pPr>
      <w:r>
        <w:drawing>
          <wp:inline>
            <wp:extent cx="3733800" cy="1183370"/>
            <wp:effectExtent b="0" l="0" r="0" t="0"/>
            <wp:docPr descr="Повторение примеров_13" title="" id="101" name="Picture"/>
            <a:graphic>
              <a:graphicData uri="http://schemas.openxmlformats.org/drawingml/2006/picture">
                <pic:pic>
                  <pic:nvPicPr>
                    <pic:cNvPr descr="2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3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примеров_13</w:t>
      </w:r>
    </w:p>
    <w:p>
      <w:pPr>
        <w:pStyle w:val="CaptionedFigure"/>
      </w:pPr>
      <w:r>
        <w:drawing>
          <wp:inline>
            <wp:extent cx="3733800" cy="2609692"/>
            <wp:effectExtent b="0" l="0" r="0" t="0"/>
            <wp:docPr descr="Повторение примеров_13" title="" id="104" name="Picture"/>
            <a:graphic>
              <a:graphicData uri="http://schemas.openxmlformats.org/drawingml/2006/picture">
                <pic:pic>
                  <pic:nvPicPr>
                    <pic:cNvPr descr="23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Повторение примеров_13</w:t>
      </w:r>
    </w:p>
    <w:bookmarkEnd w:id="106"/>
    <w:bookmarkStart w:id="107" w:name="полученные-результаты"/>
    <w:p>
      <w:pPr>
        <w:pStyle w:val="Heading1"/>
      </w:pPr>
      <w:r>
        <w:t xml:space="preserve">Полученные результаты</w:t>
      </w:r>
    </w:p>
    <w:p>
      <w:pPr>
        <w:numPr>
          <w:ilvl w:val="0"/>
          <w:numId w:val="1006"/>
        </w:numPr>
      </w:pPr>
      <w:r>
        <w:t xml:space="preserve">Лабораторная работа позволила изучить базовые операции линейной алгебры, такие как умножение векторов, работа с матрицами, спектральное разложение и решение систем уравнений.</w:t>
      </w:r>
    </w:p>
    <w:p>
      <w:pPr>
        <w:numPr>
          <w:ilvl w:val="0"/>
          <w:numId w:val="1006"/>
        </w:numPr>
      </w:pPr>
      <w:r>
        <w:t xml:space="preserve">Реализация на Julia показала эффективность использования встроенных функций и библиотек для работы с линейной алгеброй.</w:t>
      </w:r>
    </w:p>
    <w:bookmarkEnd w:id="107"/>
    <w:bookmarkStart w:id="108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Изучили возможности специализированных пакетов Julia для выполнения и оценки эффективности операций над объектами линейной алгебры.</w:t>
      </w:r>
    </w:p>
    <w:bookmarkEnd w:id="108"/>
    <w:bookmarkStart w:id="109" w:name="библиографическая-справка"/>
    <w:p>
      <w:pPr>
        <w:pStyle w:val="Heading1"/>
      </w:pPr>
      <w:r>
        <w:t xml:space="preserve">Библиографическая справка</w:t>
      </w:r>
    </w:p>
    <w:p>
      <w:pPr>
        <w:pStyle w:val="FirstParagraph"/>
      </w:pPr>
      <w:r>
        <w:t xml:space="preserve">[1] Julia: https://ru.wikipedia.org/wiki/Julia</w:t>
      </w:r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Лебедева Ольга Андреевна</dc:creator>
  <dc:language>ru-RU</dc:language>
  <cp:keywords/>
  <dcterms:created xsi:type="dcterms:W3CDTF">2024-12-07T10:44:32Z</dcterms:created>
  <dcterms:modified xsi:type="dcterms:W3CDTF">2024-12-07T10:44:32Z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Линейная алгебра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