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создайте учётную запись пользователя guest.</w:t>
      </w:r>
    </w:p>
    <w:p>
      <w:pPr>
        <w:pStyle w:val="BodyText"/>
      </w:pPr>
      <w:r>
        <w:t xml:space="preserve">Задайте пароль для пользователя guest.</w:t>
      </w:r>
    </w:p>
    <w:p>
      <w:pPr>
        <w:pStyle w:val="BodyText"/>
      </w:pPr>
      <w:r>
        <w:t xml:space="preserve">Данные пункты были выполнены в лабораторных работах №1 и №2.</w:t>
      </w:r>
    </w:p>
    <w:p>
      <w:pPr>
        <w:pStyle w:val="BodyText"/>
      </w:pPr>
      <w:r>
        <w:t xml:space="preserve">Аналогично создайте второго пользователя guest: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1214108"/>
            <wp:effectExtent b="0" l="0" r="0" t="0"/>
            <wp:docPr descr="Создание пользователя guest2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guest2</w:t>
      </w:r>
    </w:p>
    <w:p>
      <w:pPr>
        <w:pStyle w:val="BodyText"/>
      </w:pPr>
      <w:r>
        <w:t xml:space="preserve">Добавьте пользователя guest2 в группу guest: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327968"/>
            <wp:effectExtent b="0" l="0" r="0" t="0"/>
            <wp:docPr descr="Добавление guest2 в группу guest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guest2 в группу guest</w:t>
      </w:r>
    </w:p>
    <w:p>
      <w:pPr>
        <w:pStyle w:val="BodyTex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pStyle w:val="BodyTex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1021882"/>
            <wp:effectExtent b="0" l="0" r="0" t="0"/>
            <wp:docPr descr="Информация о guest и guest2" title="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guest и guest2</w:t>
      </w:r>
    </w:p>
    <w:p>
      <w:pPr>
        <w:pStyle w:val="BodyText"/>
      </w:pPr>
      <w:r>
        <w:t xml:space="preserve">Сравните полученную информацию с содержимым файла /etc/group: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460899"/>
            <wp:effectExtent b="0" l="0" r="0" t="0"/>
            <wp:docPr descr="Файл group" title="" id="32" name="Picture"/>
            <a:graphic>
              <a:graphicData uri="http://schemas.openxmlformats.org/drawingml/2006/picture">
                <pic:pic>
                  <pic:nvPicPr>
                    <pic:cNvPr descr="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group</w:t>
      </w:r>
    </w:p>
    <w:p>
      <w:pPr>
        <w:pStyle w:val="BodyText"/>
      </w:pPr>
      <w:r>
        <w:t xml:space="preserve">От имени пользователя guest2 выполните регистрацию пользователя guest2 в группе guest: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495675" cy="285750"/>
            <wp:effectExtent b="0" l="0" r="0" t="0"/>
            <wp:docPr descr="Регистрация пользователя guest2" title="" id="35" name="Picture"/>
            <a:graphic>
              <a:graphicData uri="http://schemas.openxmlformats.org/drawingml/2006/picture">
                <pic:pic>
                  <pic:nvPicPr>
                    <pic:cNvPr descr="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guest2</w:t>
      </w:r>
    </w:p>
    <w:p>
      <w:pPr>
        <w:pStyle w:val="BodyText"/>
      </w:pPr>
      <w:r>
        <w:t xml:space="preserve">От имени пользователя guest измените права директории /home/guest, разрешив все действия для пользователей группы: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06973"/>
            <wp:effectExtent b="0" l="0" r="0" t="0"/>
            <wp:docPr descr="Изменение прав директории" title="" id="38" name="Picture"/>
            <a:graphic>
              <a:graphicData uri="http://schemas.openxmlformats.org/drawingml/2006/picture">
                <pic:pic>
                  <pic:nvPicPr>
                    <pic:cNvPr descr="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 guest снимите с директории /home/guest/dir1 все атрибуты командой</w:t>
      </w:r>
      <w:r>
        <w:t xml:space="preserve"> </w:t>
      </w:r>
      <w:r>
        <w:t xml:space="preserve">chmod 000 dirl и проверьте правильность снятия атрибутов: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440195"/>
            <wp:effectExtent b="0" l="0" r="0" t="0"/>
            <wp:docPr descr="Проверка атрибутов" title="" id="41" name="Picture"/>
            <a:graphic>
              <a:graphicData uri="http://schemas.openxmlformats.org/drawingml/2006/picture">
                <pic:pic>
                  <pic:nvPicPr>
                    <pic:cNvPr descr="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bookmarkEnd w:id="43"/>
    <w:bookmarkStart w:id="45" w:name="заполнение-таблиц"/>
    <w:p>
      <w:pPr>
        <w:pStyle w:val="Heading1"/>
      </w:pPr>
      <w:r>
        <w:t xml:space="preserve">Заполнение таблиц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Start w:id="44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1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идентичны. Единственное различие - в предыдущий раз мы присваивали права владельцу, а в этот раз - группе.</w:t>
      </w:r>
    </w:p>
    <w:bookmarkEnd w:id="44"/>
    <w:bookmarkEnd w:id="45"/>
    <w:bookmarkStart w:id="4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46"/>
    <w:bookmarkStart w:id="47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Дискреционное разграничение доступа Linux: https://debianinstall.ru/diskretsionnoe-razgranichenie-dostupa-linux/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Лебедева Ольга Андреевна</dc:creator>
  <dc:language>ru-RU</dc:language>
  <cp:keywords/>
  <dcterms:created xsi:type="dcterms:W3CDTF">2024-09-21T09:04:29Z</dcterms:created>
  <dcterms:modified xsi:type="dcterms:W3CDTF">2024-09-21T09:04:29Z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Дискреционное разграничение прав в Linux. Два пользователя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