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072D" w14:textId="7A5FDF99" w:rsidR="001A3815" w:rsidRDefault="001A3815" w:rsidP="001A3815">
      <w:pPr>
        <w:pStyle w:val="Heading1"/>
        <w:numPr>
          <w:ilvl w:val="0"/>
          <w:numId w:val="1"/>
        </w:numPr>
      </w:pPr>
      <w:r>
        <w:t>Introduct</w:t>
      </w:r>
      <w:r w:rsidRPr="001A3815">
        <w:t>ion</w:t>
      </w:r>
    </w:p>
    <w:p w14:paraId="419946B8" w14:textId="2E15B708" w:rsidR="00EE2501" w:rsidRDefault="00EE2501" w:rsidP="00EE2501">
      <w:pPr>
        <w:ind w:firstLine="360"/>
      </w:pPr>
      <w:r>
        <w:t xml:space="preserve">A central challenge in modern neuroscience is understanding how brain activity drives behaviour, </w:t>
      </w:r>
      <w:r w:rsidRPr="00EE2501">
        <w:t>ranging from simple sensory or motor tasks to more complex cognitive processes such as interacting with others or making decisions.</w:t>
      </w:r>
      <w:r>
        <w:t xml:space="preserve"> Existing research demonstrates that incorporating brain-behaviour relationships [</w:t>
      </w:r>
      <w:r w:rsidR="00C17616">
        <w:fldChar w:fldCharType="begin"/>
      </w:r>
      <w:r w:rsidR="00C17616">
        <w:instrText xml:space="preserve"> REF _Ref238637830 \r \h </w:instrText>
      </w:r>
      <w:r w:rsidR="00C17616">
        <w:fldChar w:fldCharType="separate"/>
      </w:r>
      <w:r w:rsidR="00C17616">
        <w:t>1</w:t>
      </w:r>
      <w:r w:rsidR="00C17616">
        <w:fldChar w:fldCharType="end"/>
      </w:r>
      <w:r>
        <w:t>, 2, 3] into joint modelling frameworks is a critical step toward achieving this goal.</w:t>
      </w:r>
    </w:p>
    <w:p w14:paraId="05782B3C" w14:textId="6DBAE8CC" w:rsidR="00875A68" w:rsidRDefault="00EE2501" w:rsidP="00EE2501">
      <w:pPr>
        <w:ind w:firstLine="360"/>
      </w:pPr>
      <w:r>
        <w:t>While the number of available analytical approaches is large, recent advances have established artificial intelligence (AI), and deep learning in particular, as the highest-performing methods. These tools enable researchers to jointly model neural dynamics and behaviour [4,5], as well as perform dimensionality reductio</w:t>
      </w:r>
      <w:r w:rsidR="00656B82">
        <w:t>n,</w:t>
      </w:r>
      <w:r>
        <w:t xml:space="preserve"> using techniques such as autoencoder architectures [6, 7, 8]</w:t>
      </w:r>
      <w:r w:rsidR="00656B82">
        <w:t xml:space="preserve">, </w:t>
      </w:r>
      <w:r>
        <w:t>contrastive learning frameworks [9]</w:t>
      </w:r>
      <w:r w:rsidR="00656B82">
        <w:t xml:space="preserve"> or newly introduc</w:t>
      </w:r>
      <w:r w:rsidR="0056269D">
        <w:t xml:space="preserve">ed </w:t>
      </w:r>
      <w:r w:rsidR="0056269D" w:rsidRPr="00754BD5">
        <w:rPr>
          <w:color w:val="000000" w:themeColor="text1"/>
        </w:rPr>
        <w:t>causal representation learning</w:t>
      </w:r>
      <w:r w:rsidR="0056269D">
        <w:rPr>
          <w:color w:val="000000" w:themeColor="text1"/>
        </w:rPr>
        <w:t xml:space="preserve">. </w:t>
      </w:r>
      <w:r w:rsidR="0056269D">
        <w:t xml:space="preserve"> </w:t>
      </w:r>
    </w:p>
    <w:p w14:paraId="4416649C" w14:textId="77777777" w:rsidR="00B90A57" w:rsidRDefault="00B755AE" w:rsidP="00B90A57">
      <w:pPr>
        <w:ind w:firstLine="360"/>
      </w:pPr>
      <w:r w:rsidRPr="00B755AE">
        <w:t>However, the “</w:t>
      </w:r>
      <w:r w:rsidR="000B588D" w:rsidRPr="00B755AE">
        <w:t>black box</w:t>
      </w:r>
      <w:r w:rsidRPr="00B755AE">
        <w:t>” nature of deep learning models makes it exceptionally difficult to trace the decision-making process and identify key features. While excellent performance is important, it is no longer sufficient to assess a model solely based on that metric. Mathis and Mathis (2026) [10] argue that deep learning models and their resulting latent spaces must also be assessed in terms of their trustworthiness and interpretability. This ensures that outcomes are consistent, robust to noise, identifiable, and both human-interpretable and mathematically explainable [11, 12, 13].</w:t>
      </w:r>
    </w:p>
    <w:p w14:paraId="21951AF2" w14:textId="77777777" w:rsidR="00B90A57" w:rsidRDefault="00B90A57" w:rsidP="00B90A57">
      <w:pPr>
        <w:ind w:firstLine="360"/>
      </w:pPr>
      <w:r w:rsidRPr="00B90A57">
        <w:rPr>
          <w:rFonts w:eastAsia="Times New Roman" w:cs="Times New Roman"/>
          <w:kern w:val="0"/>
          <w:lang w:eastAsia="en-GB"/>
          <w14:ligatures w14:val="none"/>
        </w:rPr>
        <w:t xml:space="preserve">Expanding on this idea, this research aims to fill a significant gap in the literature by extending the existing analysis of the </w:t>
      </w:r>
      <w:proofErr w:type="spellStart"/>
      <w:r w:rsidRPr="00B90A57">
        <w:rPr>
          <w:rFonts w:eastAsia="Times New Roman" w:cs="Times New Roman"/>
          <w:kern w:val="0"/>
          <w:lang w:eastAsia="en-GB"/>
          <w14:ligatures w14:val="none"/>
        </w:rPr>
        <w:t>BunDLe</w:t>
      </w:r>
      <w:proofErr w:type="spellEnd"/>
      <w:r w:rsidRPr="00B90A57">
        <w:rPr>
          <w:rFonts w:eastAsia="Times New Roman" w:cs="Times New Roman"/>
          <w:kern w:val="0"/>
          <w:lang w:eastAsia="en-GB"/>
          <w14:ligatures w14:val="none"/>
        </w:rPr>
        <w:t>-Net framework with post-hoc explainability methods. By applying this approach to calcium imaging data from C. elegans, this study directly addresses the growing need for deep learning models to be thoroughly evaluated based on their microscopic interpretability.</w:t>
      </w:r>
    </w:p>
    <w:p w14:paraId="3267EF1A" w14:textId="09084404" w:rsidR="00B90A57" w:rsidRDefault="00B90A57" w:rsidP="00B90A57">
      <w:pPr>
        <w:ind w:firstLine="360"/>
        <w:rPr>
          <w:rFonts w:eastAsia="Times New Roman" w:cs="Times New Roman"/>
          <w:kern w:val="0"/>
          <w:lang w:eastAsia="en-GB"/>
          <w14:ligatures w14:val="none"/>
        </w:rPr>
      </w:pPr>
      <w:r w:rsidRPr="00B90A57">
        <w:rPr>
          <w:rFonts w:eastAsia="Times New Roman" w:cs="Times New Roman"/>
          <w:kern w:val="0"/>
          <w:lang w:eastAsia="en-GB"/>
          <w14:ligatures w14:val="none"/>
        </w:rPr>
        <w:t xml:space="preserve">The rest of the paper is structured as follows. Section 2 reviews the relevant literature on neural manifold modelling, dimensionality reduction, and post-hoc Explainable AI (XAI) methods. Section 3 outlines the dataset and describes the methodology used to apply and evaluate the chosen XAI techniques. Section 4 presents the empirical results, including performance assessments of the XAI methods and a comparative analysis of </w:t>
      </w:r>
      <w:r w:rsidR="00F34C16">
        <w:rPr>
          <w:rFonts w:eastAsia="Times New Roman" w:cs="Times New Roman"/>
          <w:kern w:val="0"/>
          <w:lang w:eastAsia="en-GB"/>
          <w14:ligatures w14:val="none"/>
        </w:rPr>
        <w:t xml:space="preserve">results </w:t>
      </w:r>
      <w:r w:rsidRPr="00B90A57">
        <w:rPr>
          <w:rFonts w:eastAsia="Times New Roman" w:cs="Times New Roman"/>
          <w:kern w:val="0"/>
          <w:lang w:eastAsia="en-GB"/>
          <w14:ligatures w14:val="none"/>
        </w:rPr>
        <w:t>utilizing an interactive dashboard. Finally, Section 5 concludes the paper, summarizing the main findings and outlining potential directions for future research.</w:t>
      </w:r>
    </w:p>
    <w:p w14:paraId="1B628C08" w14:textId="396D5F67" w:rsidR="00004BB0" w:rsidRPr="00004BB0" w:rsidRDefault="00004BB0" w:rsidP="00004BB0">
      <w:pPr>
        <w:jc w:val="left"/>
        <w:rPr>
          <w:rFonts w:eastAsia="Times New Roman" w:cs="Times New Roman"/>
          <w:kern w:val="0"/>
          <w:lang w:eastAsia="en-GB"/>
          <w14:ligatures w14:val="none"/>
        </w:rPr>
      </w:pPr>
      <w:r>
        <w:rPr>
          <w:rFonts w:eastAsia="Times New Roman" w:cs="Times New Roman"/>
          <w:kern w:val="0"/>
          <w:lang w:eastAsia="en-GB"/>
          <w14:ligatures w14:val="none"/>
        </w:rPr>
        <w:br w:type="page"/>
      </w:r>
    </w:p>
    <w:p w14:paraId="4C130381" w14:textId="397851A2" w:rsidR="00554153" w:rsidRDefault="00875A68" w:rsidP="00875A68">
      <w:pPr>
        <w:pStyle w:val="Heading1"/>
        <w:numPr>
          <w:ilvl w:val="0"/>
          <w:numId w:val="1"/>
        </w:numPr>
      </w:pPr>
      <w:r>
        <w:lastRenderedPageBreak/>
        <w:t>Literature overview</w:t>
      </w:r>
    </w:p>
    <w:p w14:paraId="212B6D0E" w14:textId="2CCC0685" w:rsidR="00360715" w:rsidRPr="00360715" w:rsidRDefault="00360715" w:rsidP="00360715">
      <w:pPr>
        <w:rPr>
          <w:b/>
          <w:bCs/>
          <w:color w:val="4F2CD0" w:themeColor="accent5" w:themeShade="BF"/>
        </w:rPr>
      </w:pPr>
      <w:r w:rsidRPr="00360715">
        <w:rPr>
          <w:b/>
          <w:bCs/>
          <w:color w:val="4F2CD0" w:themeColor="accent5" w:themeShade="BF"/>
        </w:rPr>
        <w:t>SECTION I</w:t>
      </w:r>
      <w:r w:rsidR="006D55EB">
        <w:rPr>
          <w:b/>
          <w:bCs/>
          <w:color w:val="4F2CD0" w:themeColor="accent5" w:themeShade="BF"/>
        </w:rPr>
        <w:t xml:space="preserve"> – here a bit of introduction about </w:t>
      </w:r>
      <w:proofErr w:type="spellStart"/>
      <w:r w:rsidR="005F280A">
        <w:rPr>
          <w:b/>
          <w:bCs/>
          <w:color w:val="4F2CD0" w:themeColor="accent5" w:themeShade="BF"/>
        </w:rPr>
        <w:t>neuromanifold</w:t>
      </w:r>
      <w:proofErr w:type="spellEnd"/>
      <w:r w:rsidR="005F280A">
        <w:rPr>
          <w:b/>
          <w:bCs/>
          <w:color w:val="4F2CD0" w:themeColor="accent5" w:themeShade="BF"/>
        </w:rPr>
        <w:t xml:space="preserve">, what is </w:t>
      </w:r>
      <w:proofErr w:type="spellStart"/>
      <w:r w:rsidR="005F280A">
        <w:rPr>
          <w:b/>
          <w:bCs/>
          <w:color w:val="4F2CD0" w:themeColor="accent5" w:themeShade="BF"/>
        </w:rPr>
        <w:t>is</w:t>
      </w:r>
      <w:proofErr w:type="spellEnd"/>
      <w:r w:rsidR="005F280A">
        <w:rPr>
          <w:b/>
          <w:bCs/>
          <w:color w:val="4F2CD0" w:themeColor="accent5" w:themeShade="BF"/>
        </w:rPr>
        <w:t xml:space="preserve"> and why we us it</w:t>
      </w:r>
      <w:r w:rsidRPr="00360715">
        <w:rPr>
          <w:b/>
          <w:bCs/>
          <w:color w:val="4F2CD0" w:themeColor="accent5" w:themeShade="BF"/>
        </w:rPr>
        <w:t xml:space="preserve"> </w:t>
      </w:r>
    </w:p>
    <w:p w14:paraId="746EF261" w14:textId="749FE70E" w:rsidR="00875A68" w:rsidRDefault="00360715" w:rsidP="00360715">
      <w:pPr>
        <w:ind w:firstLine="360"/>
      </w:pPr>
      <w:r w:rsidRPr="00360715">
        <w:t>Computational ethology is the science of understanding how to automate the measurement and analysis of animal behaviour, especially in relation to brain activity [14]. Scientists in this field have established that although studying single-neuron signals has yielded meaningful results, the shaping of motor programs corresponds to neural activity patterns across large neuronal populations. These populations consist of hundreds of sampled neurons that act in a coordinated manner and encode information dynamically [15,16,17,18].</w:t>
      </w:r>
    </w:p>
    <w:p w14:paraId="46925FF6" w14:textId="7538E5A3" w:rsidR="005C3EBC" w:rsidRDefault="00360715" w:rsidP="00875A68">
      <w:pPr>
        <w:ind w:firstLine="360"/>
      </w:pPr>
      <w:r w:rsidRPr="00360715">
        <w:t xml:space="preserve">A particularly important contribution to this domain, and highly relevant to the present study, was made by Kato et al. [19]. In their research, calcium imaging data from </w:t>
      </w:r>
      <w:r w:rsidRPr="00EF22BE">
        <w:t>C. elegans</w:t>
      </w:r>
      <w:r w:rsidRPr="00360715">
        <w:t xml:space="preserve"> </w:t>
      </w:r>
      <w:r w:rsidR="006E53BA">
        <w:t xml:space="preserve">was </w:t>
      </w:r>
      <w:r w:rsidRPr="00360715">
        <w:t xml:space="preserve">collected and analysed to demonstrate that the high-level organization of </w:t>
      </w:r>
      <w:r w:rsidR="006E53BA" w:rsidRPr="00360715">
        <w:t>behaviour</w:t>
      </w:r>
      <w:r w:rsidRPr="00360715">
        <w:t xml:space="preserve"> is encoded in the brain by globally distributed, continuous, and low-dimensional dynamics. In other words, to model the behaviour of </w:t>
      </w:r>
      <w:r w:rsidRPr="00EF22BE">
        <w:t>C. elegans</w:t>
      </w:r>
      <w:r w:rsidRPr="00360715">
        <w:t>, we can use low-dimensional spaces that capture the coordinated activity of their brain</w:t>
      </w:r>
      <w:r w:rsidR="00BF4C4E">
        <w:t xml:space="preserve"> - </w:t>
      </w:r>
      <w:r w:rsidRPr="00360715">
        <w:t>commonly referred to as neural manifolds</w:t>
      </w:r>
      <w:r w:rsidR="00A91DC6">
        <w:t xml:space="preserve"> [</w:t>
      </w:r>
      <w:r w:rsidR="00BF4C4E">
        <w:t xml:space="preserve">16, </w:t>
      </w:r>
      <w:r w:rsidR="00A91DC6">
        <w:t>2</w:t>
      </w:r>
      <w:r w:rsidR="00EC2B63">
        <w:t>0</w:t>
      </w:r>
      <w:r w:rsidR="00A91DC6">
        <w:t>]</w:t>
      </w:r>
      <w:r w:rsidRPr="00360715">
        <w:t>.</w:t>
      </w:r>
      <w:r w:rsidR="005C3EBC">
        <w:t xml:space="preserve"> </w:t>
      </w:r>
    </w:p>
    <w:p w14:paraId="5F892154" w14:textId="44535D3C" w:rsidR="00360715" w:rsidRDefault="00360715" w:rsidP="00360715">
      <w:pPr>
        <w:rPr>
          <w:b/>
          <w:bCs/>
          <w:color w:val="B3186D" w:themeColor="accent1" w:themeShade="BF"/>
        </w:rPr>
      </w:pPr>
      <w:r w:rsidRPr="00360715">
        <w:rPr>
          <w:b/>
          <w:bCs/>
          <w:color w:val="B3186D" w:themeColor="accent1" w:themeShade="BF"/>
        </w:rPr>
        <w:t>SECTION II</w:t>
      </w:r>
      <w:r w:rsidR="005F280A">
        <w:rPr>
          <w:b/>
          <w:bCs/>
          <w:color w:val="B3186D" w:themeColor="accent1" w:themeShade="BF"/>
        </w:rPr>
        <w:t xml:space="preserve"> </w:t>
      </w:r>
      <w:r w:rsidR="00640267">
        <w:rPr>
          <w:b/>
          <w:bCs/>
          <w:color w:val="B3186D" w:themeColor="accent1" w:themeShade="BF"/>
        </w:rPr>
        <w:t>–</w:t>
      </w:r>
      <w:r w:rsidR="005F280A">
        <w:rPr>
          <w:b/>
          <w:bCs/>
          <w:color w:val="B3186D" w:themeColor="accent1" w:themeShade="BF"/>
        </w:rPr>
        <w:t xml:space="preserve"> </w:t>
      </w:r>
      <w:r w:rsidR="00640267">
        <w:rPr>
          <w:b/>
          <w:bCs/>
          <w:color w:val="B3186D" w:themeColor="accent1" w:themeShade="BF"/>
        </w:rPr>
        <w:t xml:space="preserve">this section is supposed to be a ‘roadmap” from simple linear approaches, </w:t>
      </w:r>
      <w:r w:rsidR="000A7139">
        <w:rPr>
          <w:b/>
          <w:bCs/>
          <w:color w:val="B3186D" w:themeColor="accent1" w:themeShade="BF"/>
        </w:rPr>
        <w:t xml:space="preserve">simple </w:t>
      </w:r>
      <w:r w:rsidR="001B0D7F">
        <w:rPr>
          <w:b/>
          <w:bCs/>
          <w:color w:val="B3186D" w:themeColor="accent1" w:themeShade="BF"/>
        </w:rPr>
        <w:t>nonlinear</w:t>
      </w:r>
      <w:r w:rsidR="000A7139">
        <w:rPr>
          <w:b/>
          <w:bCs/>
          <w:color w:val="B3186D" w:themeColor="accent1" w:themeShade="BF"/>
        </w:rPr>
        <w:t xml:space="preserve"> approaches to autoencoder-based approaches and </w:t>
      </w:r>
      <w:r w:rsidR="0064186F">
        <w:rPr>
          <w:b/>
          <w:bCs/>
          <w:color w:val="B3186D" w:themeColor="accent1" w:themeShade="BF"/>
        </w:rPr>
        <w:t>contrastive learning. I took the inspiration how to do the narrative here mostly from Bundle-net article,</w:t>
      </w:r>
      <w:r w:rsidR="00E66E13">
        <w:rPr>
          <w:b/>
          <w:bCs/>
          <w:color w:val="B3186D" w:themeColor="accent1" w:themeShade="BF"/>
        </w:rPr>
        <w:t xml:space="preserve"> </w:t>
      </w:r>
      <w:r w:rsidR="00E66E13" w:rsidRPr="00E66E13">
        <w:rPr>
          <w:b/>
          <w:bCs/>
          <w:color w:val="B3186D" w:themeColor="accent1" w:themeShade="BF"/>
        </w:rPr>
        <w:t xml:space="preserve">Cunningham and </w:t>
      </w:r>
      <w:r w:rsidR="001B0D7F" w:rsidRPr="00E66E13">
        <w:rPr>
          <w:b/>
          <w:bCs/>
          <w:color w:val="B3186D" w:themeColor="accent1" w:themeShade="BF"/>
        </w:rPr>
        <w:t>Yu review</w:t>
      </w:r>
      <w:r w:rsidR="00E66E13">
        <w:rPr>
          <w:b/>
          <w:bCs/>
          <w:color w:val="B3186D" w:themeColor="accent1" w:themeShade="BF"/>
        </w:rPr>
        <w:t xml:space="preserve"> and Mathis and Mathis revie</w:t>
      </w:r>
      <w:r w:rsidR="001B0D7F">
        <w:rPr>
          <w:b/>
          <w:bCs/>
          <w:color w:val="B3186D" w:themeColor="accent1" w:themeShade="BF"/>
        </w:rPr>
        <w:t>w</w:t>
      </w:r>
      <w:r w:rsidR="002472E0">
        <w:rPr>
          <w:b/>
          <w:bCs/>
          <w:color w:val="B3186D" w:themeColor="accent1" w:themeShade="BF"/>
        </w:rPr>
        <w:t>. I didn’t focus on explaining how they work, but rather what were their disadvantages and advantages</w:t>
      </w:r>
      <w:r w:rsidR="001B0D7F">
        <w:rPr>
          <w:b/>
          <w:bCs/>
          <w:color w:val="B3186D" w:themeColor="accent1" w:themeShade="BF"/>
        </w:rPr>
        <w:t xml:space="preserve">, and how next </w:t>
      </w:r>
      <w:r w:rsidR="007B4525">
        <w:rPr>
          <w:b/>
          <w:bCs/>
          <w:color w:val="B3186D" w:themeColor="accent1" w:themeShade="BF"/>
        </w:rPr>
        <w:t>approaches tried to solve them</w:t>
      </w:r>
    </w:p>
    <w:p w14:paraId="167192DB" w14:textId="4C7A35D7" w:rsidR="00017E38" w:rsidRDefault="00017E38" w:rsidP="007049C2">
      <w:pPr>
        <w:ind w:firstLine="360"/>
        <w:rPr>
          <w:color w:val="000000" w:themeColor="text1"/>
        </w:rPr>
      </w:pPr>
      <w:r w:rsidRPr="00017E38">
        <w:rPr>
          <w:color w:val="000000" w:themeColor="text1"/>
        </w:rPr>
        <w:t xml:space="preserve">Based on these findings, it is evident that not all neuronal activity patterns are equally important, making it crucial to filter out biological noise. Therefore, successful brain activity </w:t>
      </w:r>
      <w:r w:rsidRPr="00017E38">
        <w:rPr>
          <w:color w:val="000000" w:themeColor="text1"/>
        </w:rPr>
        <w:t>modelling</w:t>
      </w:r>
      <w:r w:rsidRPr="00017E38">
        <w:rPr>
          <w:color w:val="000000" w:themeColor="text1"/>
        </w:rPr>
        <w:t xml:space="preserve"> requires dimensionality reduction to capture only those features that are relevant in a </w:t>
      </w:r>
      <w:r w:rsidRPr="00017E38">
        <w:rPr>
          <w:color w:val="000000" w:themeColor="text1"/>
        </w:rPr>
        <w:t>behavioural</w:t>
      </w:r>
      <w:r w:rsidRPr="00017E38">
        <w:rPr>
          <w:color w:val="000000" w:themeColor="text1"/>
        </w:rPr>
        <w:t xml:space="preserve"> context. As utilizing neural manifolds has proven to be a highly promising approach in achieving this, neuroscience incorporates a wide range of dimensionality reduction techniques, both linear and non-linear [21].</w:t>
      </w:r>
    </w:p>
    <w:p w14:paraId="65968D3C" w14:textId="1B2285BE" w:rsidR="009C1811" w:rsidRDefault="007D22CB" w:rsidP="007049C2">
      <w:pPr>
        <w:ind w:firstLine="360"/>
        <w:rPr>
          <w:color w:val="000000" w:themeColor="text1"/>
        </w:rPr>
      </w:pPr>
      <w:r w:rsidRPr="007D22CB">
        <w:rPr>
          <w:color w:val="000000" w:themeColor="text1"/>
        </w:rPr>
        <w:t>Linear dimensionality reduction methods, such as Principal Component Analysis (PCA)</w:t>
      </w:r>
      <w:r w:rsidR="001319B6">
        <w:rPr>
          <w:color w:val="000000" w:themeColor="text1"/>
        </w:rPr>
        <w:t xml:space="preserve"> </w:t>
      </w:r>
      <w:r>
        <w:rPr>
          <w:color w:val="000000" w:themeColor="text1"/>
        </w:rPr>
        <w:t>[22]</w:t>
      </w:r>
      <w:r w:rsidR="007B2F5F">
        <w:rPr>
          <w:color w:val="000000" w:themeColor="text1"/>
        </w:rPr>
        <w:t xml:space="preserve">, </w:t>
      </w:r>
      <w:r w:rsidR="007B2F5F" w:rsidRPr="007D22CB">
        <w:rPr>
          <w:color w:val="000000" w:themeColor="text1"/>
        </w:rPr>
        <w:t>Factor Analysis (FA)</w:t>
      </w:r>
      <w:r w:rsidR="001319B6">
        <w:rPr>
          <w:color w:val="000000" w:themeColor="text1"/>
        </w:rPr>
        <w:t xml:space="preserve"> </w:t>
      </w:r>
      <w:r w:rsidR="00291AB6">
        <w:rPr>
          <w:color w:val="000000" w:themeColor="text1"/>
        </w:rPr>
        <w:t>[23]</w:t>
      </w:r>
      <w:r w:rsidRPr="007D22CB">
        <w:rPr>
          <w:color w:val="000000" w:themeColor="text1"/>
        </w:rPr>
        <w:t xml:space="preserve">, and </w:t>
      </w:r>
      <w:r w:rsidR="007B2F5F" w:rsidRPr="007D22CB">
        <w:rPr>
          <w:color w:val="000000" w:themeColor="text1"/>
        </w:rPr>
        <w:t>Multidimensional Scaling (MDS</w:t>
      </w:r>
      <w:r w:rsidR="007B2F5F">
        <w:rPr>
          <w:color w:val="000000" w:themeColor="text1"/>
        </w:rPr>
        <w:t>)</w:t>
      </w:r>
      <w:r w:rsidR="001319B6">
        <w:rPr>
          <w:color w:val="000000" w:themeColor="text1"/>
        </w:rPr>
        <w:t xml:space="preserve"> </w:t>
      </w:r>
      <w:r w:rsidR="007B2F5F">
        <w:rPr>
          <w:color w:val="000000" w:themeColor="text1"/>
        </w:rPr>
        <w:t>[</w:t>
      </w:r>
      <w:r w:rsidR="00643E64">
        <w:rPr>
          <w:color w:val="000000" w:themeColor="text1"/>
        </w:rPr>
        <w:t>24]</w:t>
      </w:r>
      <w:r w:rsidRPr="007D22CB">
        <w:rPr>
          <w:color w:val="000000" w:themeColor="text1"/>
        </w:rPr>
        <w:t>, are relatively simple, yet they remain widely employed in neuroscience research. As demonstrated by Ahrens et al. (2012)</w:t>
      </w:r>
      <w:r w:rsidR="001319B6">
        <w:rPr>
          <w:color w:val="000000" w:themeColor="text1"/>
        </w:rPr>
        <w:t xml:space="preserve"> </w:t>
      </w:r>
      <w:r w:rsidR="008179C6">
        <w:rPr>
          <w:color w:val="000000" w:themeColor="text1"/>
        </w:rPr>
        <w:t>[</w:t>
      </w:r>
      <w:r w:rsidR="005F3316">
        <w:rPr>
          <w:color w:val="000000" w:themeColor="text1"/>
        </w:rPr>
        <w:t>25]</w:t>
      </w:r>
      <w:r w:rsidRPr="007D22CB">
        <w:rPr>
          <w:color w:val="000000" w:themeColor="text1"/>
        </w:rPr>
        <w:t>, PCA can be successfully used on calcium imaging data to visualize the activity of all identified brain sites by embedding it into a three-dimensional phase space. Although PCA effectively allowed them to summarize massive amounts of data into just three time series, researchers have pointed out that PCA suffers from fundamental limitations. Because it strictly maximizes total variance, PCA captures Poisson-like spiking noise alongside true neural signals, and it often fails to detect small, sparse activations of individual neurons</w:t>
      </w:r>
      <w:r w:rsidR="008C12C8">
        <w:rPr>
          <w:color w:val="000000" w:themeColor="text1"/>
        </w:rPr>
        <w:t xml:space="preserve">, which was also mentioned as a biggest </w:t>
      </w:r>
      <w:r w:rsidR="001860CA">
        <w:rPr>
          <w:color w:val="000000" w:themeColor="text1"/>
        </w:rPr>
        <w:t xml:space="preserve">disadvantage of this method </w:t>
      </w:r>
      <w:r w:rsidR="002451A2">
        <w:rPr>
          <w:color w:val="000000" w:themeColor="text1"/>
        </w:rPr>
        <w:t xml:space="preserve">in a review done by </w:t>
      </w:r>
      <w:r w:rsidR="00482DD7" w:rsidRPr="00482DD7">
        <w:rPr>
          <w:color w:val="000000" w:themeColor="text1"/>
        </w:rPr>
        <w:t>Cunningham and Yu (2014)</w:t>
      </w:r>
      <w:r w:rsidR="00482DD7" w:rsidRPr="00482DD7">
        <w:rPr>
          <w:color w:val="000000" w:themeColor="text1"/>
        </w:rPr>
        <w:t xml:space="preserve"> </w:t>
      </w:r>
      <w:r w:rsidR="008179C6">
        <w:rPr>
          <w:color w:val="000000" w:themeColor="text1"/>
        </w:rPr>
        <w:t>[</w:t>
      </w:r>
      <w:r w:rsidR="005F3316">
        <w:rPr>
          <w:color w:val="000000" w:themeColor="text1"/>
        </w:rPr>
        <w:t>26]</w:t>
      </w:r>
      <w:r w:rsidR="007165EA">
        <w:rPr>
          <w:color w:val="000000" w:themeColor="text1"/>
        </w:rPr>
        <w:t xml:space="preserve">. </w:t>
      </w:r>
      <w:r w:rsidR="001E4408">
        <w:rPr>
          <w:color w:val="000000" w:themeColor="text1"/>
        </w:rPr>
        <w:t>However,</w:t>
      </w:r>
      <w:r w:rsidR="001C11D7">
        <w:rPr>
          <w:color w:val="000000" w:themeColor="text1"/>
        </w:rPr>
        <w:t xml:space="preserve"> since </w:t>
      </w:r>
      <w:r w:rsidR="001C11D7" w:rsidRPr="001C11D7">
        <w:rPr>
          <w:color w:val="000000" w:themeColor="text1"/>
        </w:rPr>
        <w:t xml:space="preserve">this is a </w:t>
      </w:r>
      <w:r w:rsidR="00A95831" w:rsidRPr="001C11D7">
        <w:rPr>
          <w:color w:val="000000" w:themeColor="text1"/>
        </w:rPr>
        <w:t>commonly used</w:t>
      </w:r>
      <w:r w:rsidR="001C11D7" w:rsidRPr="001C11D7">
        <w:rPr>
          <w:color w:val="000000" w:themeColor="text1"/>
        </w:rPr>
        <w:t xml:space="preserve"> method to coarse-grain data,</w:t>
      </w:r>
      <w:r w:rsidR="00DB64E8">
        <w:rPr>
          <w:color w:val="000000" w:themeColor="text1"/>
        </w:rPr>
        <w:t xml:space="preserve"> PCA can serve as a great first baseline model for more complex </w:t>
      </w:r>
      <w:r w:rsidR="000B4466">
        <w:rPr>
          <w:color w:val="000000" w:themeColor="text1"/>
        </w:rPr>
        <w:t>approaches</w:t>
      </w:r>
      <w:r w:rsidR="00BB07EF">
        <w:rPr>
          <w:color w:val="000000" w:themeColor="text1"/>
        </w:rPr>
        <w:t xml:space="preserve"> [</w:t>
      </w:r>
      <w:r w:rsidR="00DC1FE9">
        <w:rPr>
          <w:color w:val="000000" w:themeColor="text1"/>
        </w:rPr>
        <w:t>27</w:t>
      </w:r>
      <w:r w:rsidR="00BB07EF">
        <w:rPr>
          <w:color w:val="000000" w:themeColor="text1"/>
        </w:rPr>
        <w:t xml:space="preserve">]. </w:t>
      </w:r>
    </w:p>
    <w:p w14:paraId="2CD27FD5" w14:textId="31A1368D" w:rsidR="00653CB8" w:rsidRPr="00653CB8" w:rsidRDefault="00653CB8" w:rsidP="00653CB8">
      <w:pPr>
        <w:ind w:firstLine="360"/>
        <w:rPr>
          <w:color w:val="000000" w:themeColor="text1"/>
        </w:rPr>
      </w:pPr>
      <w:r w:rsidRPr="00653CB8">
        <w:rPr>
          <w:color w:val="000000" w:themeColor="text1"/>
        </w:rPr>
        <w:lastRenderedPageBreak/>
        <w:t>More promising methods emerge from non-linear</w:t>
      </w:r>
      <w:r w:rsidR="00D10E00">
        <w:rPr>
          <w:color w:val="000000" w:themeColor="text1"/>
        </w:rPr>
        <w:t xml:space="preserve"> group</w:t>
      </w:r>
      <w:r w:rsidRPr="00653CB8">
        <w:rPr>
          <w:color w:val="000000" w:themeColor="text1"/>
        </w:rPr>
        <w:t>, as neural data often lie on low-dimensional, non-linear manifolds embedded within high-dimensional spaces. While Cunningham and Yu (2014) [26] highlighted Isomap [28] and Locally Linear Embedding (LLE) [29] as two of the most prominent classical non-linear techniques, there have been significant methodological developments since their review.</w:t>
      </w:r>
    </w:p>
    <w:p w14:paraId="7297082F" w14:textId="767F0D4C" w:rsidR="00742C58" w:rsidRDefault="00653CB8" w:rsidP="00742C58">
      <w:pPr>
        <w:ind w:firstLine="360"/>
        <w:rPr>
          <w:color w:val="000000" w:themeColor="text1"/>
        </w:rPr>
      </w:pPr>
      <w:r w:rsidRPr="00653CB8">
        <w:rPr>
          <w:color w:val="000000" w:themeColor="text1"/>
        </w:rPr>
        <w:t>As outlined by Mathis and Mathis (2026) [10], modern autoencoder-based techniques that aim to reconstruct input data from learned latent representations</w:t>
      </w:r>
      <w:r w:rsidR="006629C2">
        <w:rPr>
          <w:color w:val="000000" w:themeColor="text1"/>
        </w:rPr>
        <w:t xml:space="preserve"> have </w:t>
      </w:r>
      <w:r w:rsidR="00742C58">
        <w:rPr>
          <w:color w:val="000000" w:themeColor="text1"/>
        </w:rPr>
        <w:t xml:space="preserve">overcome the limitations of classical linear and non-linear methods. </w:t>
      </w:r>
      <w:r w:rsidR="00742C58" w:rsidRPr="00653CB8">
        <w:rPr>
          <w:color w:val="000000" w:themeColor="text1"/>
        </w:rPr>
        <w:t>The authors specifically emphasized Variational Autoencoders (VAEs) [30] and Latent Factor Analysis via Dynamical Systems (LFADS) [31, 32]</w:t>
      </w:r>
      <w:r w:rsidR="00742C58">
        <w:rPr>
          <w:color w:val="000000" w:themeColor="text1"/>
        </w:rPr>
        <w:t xml:space="preserve"> and </w:t>
      </w:r>
      <w:r w:rsidR="00742C58" w:rsidRPr="00653CB8">
        <w:rPr>
          <w:color w:val="000000" w:themeColor="text1"/>
        </w:rPr>
        <w:t>classified</w:t>
      </w:r>
      <w:r w:rsidR="00742C58">
        <w:rPr>
          <w:color w:val="000000" w:themeColor="text1"/>
        </w:rPr>
        <w:t xml:space="preserve"> them</w:t>
      </w:r>
      <w:r w:rsidR="00742C58" w:rsidRPr="00653CB8">
        <w:rPr>
          <w:color w:val="000000" w:themeColor="text1"/>
        </w:rPr>
        <w:t xml:space="preserve"> as generative models or reconstruction-based approaches. By utilizing these deep learning architectures, researchers have successfully </w:t>
      </w:r>
      <w:r w:rsidR="00D217E5">
        <w:rPr>
          <w:color w:val="000000" w:themeColor="text1"/>
        </w:rPr>
        <w:t xml:space="preserve">captured </w:t>
      </w:r>
      <w:r w:rsidR="00742C58" w:rsidRPr="00653CB8">
        <w:rPr>
          <w:color w:val="000000" w:themeColor="text1"/>
        </w:rPr>
        <w:t>complex non-linear dynamics by compressing and subsequently reconstructing original neural signals. However, Mathis and Mathis also point out a fundamental flaw: because these models prioritize perfect data reconstruction, they often overlook features that are most crucial for behaviour, inadvertently encoding biological noise into the latent space.</w:t>
      </w:r>
    </w:p>
    <w:p w14:paraId="4C76D541" w14:textId="12F55D01" w:rsidR="004E0401" w:rsidRDefault="007A7C30" w:rsidP="00742C58">
      <w:pPr>
        <w:ind w:firstLine="360"/>
        <w:rPr>
          <w:color w:val="000000" w:themeColor="text1"/>
        </w:rPr>
      </w:pPr>
      <w:r w:rsidRPr="007A7C30">
        <w:rPr>
          <w:color w:val="000000" w:themeColor="text1"/>
        </w:rPr>
        <w:t>To tackle the persistent problem of biological noise, researchers have developed another class of approaches, referred as contrastive</w:t>
      </w:r>
      <w:r w:rsidR="00902346">
        <w:rPr>
          <w:color w:val="000000" w:themeColor="text1"/>
        </w:rPr>
        <w:t xml:space="preserve"> learning</w:t>
      </w:r>
      <w:r w:rsidRPr="007A7C30">
        <w:rPr>
          <w:color w:val="000000" w:themeColor="text1"/>
        </w:rPr>
        <w:t xml:space="preserve">. This group, in contrast to autoencoder-based approaches, does not attempt to perfectly reconstruct the raw input data. Instead, they aim to discover relationships within the data by directly aligning neural activity with </w:t>
      </w:r>
      <w:r w:rsidR="00F7666B" w:rsidRPr="007A7C30">
        <w:rPr>
          <w:color w:val="000000" w:themeColor="text1"/>
        </w:rPr>
        <w:t>behavioural</w:t>
      </w:r>
      <w:r w:rsidRPr="007A7C30">
        <w:rPr>
          <w:color w:val="000000" w:themeColor="text1"/>
        </w:rPr>
        <w:t xml:space="preserve"> variables [10]. A state-of-the-art approach within the contrastive </w:t>
      </w:r>
      <w:r w:rsidR="00F7666B" w:rsidRPr="007A7C30">
        <w:rPr>
          <w:color w:val="000000" w:themeColor="text1"/>
        </w:rPr>
        <w:t>model’s</w:t>
      </w:r>
      <w:r w:rsidRPr="007A7C30">
        <w:rPr>
          <w:color w:val="000000" w:themeColor="text1"/>
        </w:rPr>
        <w:t xml:space="preserve"> group is a method called CEBRA [</w:t>
      </w:r>
      <w:r w:rsidR="005622A8">
        <w:rPr>
          <w:color w:val="000000" w:themeColor="text1"/>
        </w:rPr>
        <w:t>9</w:t>
      </w:r>
      <w:r w:rsidRPr="007A7C30">
        <w:rPr>
          <w:color w:val="000000" w:themeColor="text1"/>
        </w:rPr>
        <w:t xml:space="preserve">]. This neuronal manifold technique optimizes the encoding of data by maximizing the similarity between related samples and minimizing the similarity between unrelated samples. Furthermore, to incorporate both </w:t>
      </w:r>
      <w:r w:rsidR="00F7666B" w:rsidRPr="007A7C30">
        <w:rPr>
          <w:color w:val="000000" w:themeColor="text1"/>
        </w:rPr>
        <w:t>behavioural</w:t>
      </w:r>
      <w:r w:rsidRPr="007A7C30">
        <w:rPr>
          <w:color w:val="000000" w:themeColor="text1"/>
        </w:rPr>
        <w:t xml:space="preserve"> and time dynamics, a variant known as CEBRA-hybrid can be utilized</w:t>
      </w:r>
      <w:r w:rsidR="00B86486">
        <w:rPr>
          <w:color w:val="000000" w:themeColor="text1"/>
        </w:rPr>
        <w:t xml:space="preserve"> [27]</w:t>
      </w:r>
      <w:r w:rsidRPr="007A7C30">
        <w:rPr>
          <w:color w:val="000000" w:themeColor="text1"/>
        </w:rPr>
        <w:t>.</w:t>
      </w:r>
    </w:p>
    <w:p w14:paraId="1C560B91" w14:textId="52EEE908" w:rsidR="00C239CF" w:rsidRDefault="00C239CF" w:rsidP="00C239CF">
      <w:pPr>
        <w:rPr>
          <w:b/>
          <w:bCs/>
          <w:color w:val="AD2750" w:themeColor="accent6" w:themeShade="BF"/>
        </w:rPr>
      </w:pPr>
      <w:r w:rsidRPr="00C239CF">
        <w:rPr>
          <w:b/>
          <w:bCs/>
          <w:color w:val="AD2750" w:themeColor="accent6" w:themeShade="BF"/>
        </w:rPr>
        <w:t>SECTION III</w:t>
      </w:r>
      <w:r w:rsidR="007B4525">
        <w:rPr>
          <w:b/>
          <w:bCs/>
          <w:color w:val="AD2750" w:themeColor="accent6" w:themeShade="BF"/>
        </w:rPr>
        <w:t xml:space="preserve"> – this is a section for</w:t>
      </w:r>
      <w:r w:rsidR="007B4525" w:rsidRPr="007B4525">
        <w:rPr>
          <w:b/>
          <w:bCs/>
          <w:color w:val="AD2750" w:themeColor="accent6" w:themeShade="BF"/>
        </w:rPr>
        <w:t xml:space="preserve"> </w:t>
      </w:r>
      <w:proofErr w:type="spellStart"/>
      <w:r w:rsidR="007B4525" w:rsidRPr="007B4525">
        <w:rPr>
          <w:b/>
          <w:bCs/>
          <w:color w:val="AD2750" w:themeColor="accent6" w:themeShade="BF"/>
        </w:rPr>
        <w:t>BunDLe</w:t>
      </w:r>
      <w:proofErr w:type="spellEnd"/>
      <w:r w:rsidR="007B4525" w:rsidRPr="007B4525">
        <w:rPr>
          <w:b/>
          <w:bCs/>
          <w:color w:val="AD2750" w:themeColor="accent6" w:themeShade="BF"/>
        </w:rPr>
        <w:t>-Net</w:t>
      </w:r>
      <w:r w:rsidR="00D1769A">
        <w:rPr>
          <w:b/>
          <w:bCs/>
          <w:color w:val="AD2750" w:themeColor="accent6" w:themeShade="BF"/>
        </w:rPr>
        <w:t xml:space="preserve">, I </w:t>
      </w:r>
      <w:r w:rsidR="00644A2E">
        <w:rPr>
          <w:b/>
          <w:bCs/>
          <w:color w:val="AD2750" w:themeColor="accent6" w:themeShade="BF"/>
        </w:rPr>
        <w:t>try to present how this approach is different and</w:t>
      </w:r>
      <w:r w:rsidR="007B02C2">
        <w:rPr>
          <w:b/>
          <w:bCs/>
          <w:color w:val="AD2750" w:themeColor="accent6" w:themeShade="BF"/>
        </w:rPr>
        <w:t xml:space="preserve"> try to solve problems of previous approaches</w:t>
      </w:r>
      <w:r w:rsidR="00644A2E">
        <w:rPr>
          <w:b/>
          <w:bCs/>
          <w:color w:val="AD2750" w:themeColor="accent6" w:themeShade="BF"/>
        </w:rPr>
        <w:t xml:space="preserve">. Since I did a lot of based on this Mathis and Mathis </w:t>
      </w:r>
      <w:r w:rsidR="007B02C2">
        <w:rPr>
          <w:b/>
          <w:bCs/>
          <w:color w:val="AD2750" w:themeColor="accent6" w:themeShade="BF"/>
        </w:rPr>
        <w:t>review,</w:t>
      </w:r>
      <w:r w:rsidR="00644A2E">
        <w:rPr>
          <w:b/>
          <w:bCs/>
          <w:color w:val="AD2750" w:themeColor="accent6" w:themeShade="BF"/>
        </w:rPr>
        <w:t xml:space="preserve"> I also address how the Bundle net was tested for the </w:t>
      </w:r>
      <w:r w:rsidR="005F60C2">
        <w:rPr>
          <w:b/>
          <w:bCs/>
          <w:color w:val="AD2750" w:themeColor="accent6" w:themeShade="BF"/>
        </w:rPr>
        <w:t>trustworthiness criteria, but it remains untested for interpretability which gives a strong argument for the article to exist</w:t>
      </w:r>
      <w:r w:rsidR="0067032B">
        <w:rPr>
          <w:b/>
          <w:bCs/>
          <w:color w:val="AD2750" w:themeColor="accent6" w:themeShade="BF"/>
        </w:rPr>
        <w:t xml:space="preserve">. </w:t>
      </w:r>
    </w:p>
    <w:p w14:paraId="2221228E" w14:textId="47B71EF8" w:rsidR="00D804F8" w:rsidRDefault="00C239CF" w:rsidP="00C239CF">
      <w:pPr>
        <w:rPr>
          <w:color w:val="000000" w:themeColor="text1"/>
        </w:rPr>
      </w:pPr>
      <w:r>
        <w:rPr>
          <w:b/>
          <w:bCs/>
          <w:color w:val="AD2750" w:themeColor="accent6" w:themeShade="BF"/>
        </w:rPr>
        <w:tab/>
      </w:r>
      <w:r w:rsidR="00754BD5" w:rsidRPr="00754BD5">
        <w:rPr>
          <w:color w:val="000000" w:themeColor="text1"/>
        </w:rPr>
        <w:t>Within the group of the most novel approaches in neural manifold learning, alongside generative and contrastive learning, we can also find an emerging subgroup known as causal representation learning, or Markovian state representations. This approach is currently best represented by the Behaviour and Dynamics Learning Network (</w:t>
      </w:r>
      <w:proofErr w:type="spellStart"/>
      <w:r w:rsidR="00754BD5" w:rsidRPr="00754BD5">
        <w:rPr>
          <w:color w:val="000000" w:themeColor="text1"/>
        </w:rPr>
        <w:t>BunDLe</w:t>
      </w:r>
      <w:proofErr w:type="spellEnd"/>
      <w:r w:rsidR="00754BD5" w:rsidRPr="00754BD5">
        <w:rPr>
          <w:color w:val="000000" w:themeColor="text1"/>
        </w:rPr>
        <w:t xml:space="preserve">-Net) [27]. Building on the idea introduced by Krakauer et al. (2017) that neuroscience needs </w:t>
      </w:r>
      <w:r w:rsidR="00754BD5" w:rsidRPr="00754BD5">
        <w:rPr>
          <w:color w:val="000000" w:themeColor="text1"/>
        </w:rPr>
        <w:t>behaviour</w:t>
      </w:r>
      <w:r w:rsidR="00754BD5" w:rsidRPr="00754BD5">
        <w:rPr>
          <w:color w:val="000000" w:themeColor="text1"/>
        </w:rPr>
        <w:t xml:space="preserve">, the authors of </w:t>
      </w:r>
      <w:proofErr w:type="spellStart"/>
      <w:r w:rsidR="00754BD5" w:rsidRPr="00754BD5">
        <w:rPr>
          <w:color w:val="000000" w:themeColor="text1"/>
        </w:rPr>
        <w:t>BunDLe</w:t>
      </w:r>
      <w:proofErr w:type="spellEnd"/>
      <w:r w:rsidR="00754BD5" w:rsidRPr="00754BD5">
        <w:rPr>
          <w:color w:val="000000" w:themeColor="text1"/>
        </w:rPr>
        <w:t xml:space="preserve">-Net designed a tool that learns low-dimensional Markovian embeddings of neural dynamics. By doing so, it successfully preserves exclusively the aspects relevant to a specific </w:t>
      </w:r>
      <w:r w:rsidR="00754BD5" w:rsidRPr="00754BD5">
        <w:rPr>
          <w:color w:val="000000" w:themeColor="text1"/>
        </w:rPr>
        <w:t>behavioural</w:t>
      </w:r>
      <w:r w:rsidR="00754BD5" w:rsidRPr="00754BD5">
        <w:rPr>
          <w:color w:val="000000" w:themeColor="text1"/>
        </w:rPr>
        <w:t xml:space="preserve"> context, effectively de-noising the data.</w:t>
      </w:r>
    </w:p>
    <w:p w14:paraId="62BDD9A1" w14:textId="6D1344DA" w:rsidR="00BA751E" w:rsidRPr="00BA751E" w:rsidRDefault="005F21F0" w:rsidP="00BA751E">
      <w:pPr>
        <w:rPr>
          <w:color w:val="000000" w:themeColor="text1"/>
        </w:rPr>
      </w:pPr>
      <w:r>
        <w:rPr>
          <w:color w:val="000000" w:themeColor="text1"/>
        </w:rPr>
        <w:tab/>
      </w:r>
      <w:r w:rsidR="00BA751E" w:rsidRPr="00BA751E">
        <w:rPr>
          <w:color w:val="000000" w:themeColor="text1"/>
        </w:rPr>
        <w:t>In the work presented by Kumar et al. (2024) [27], their framework (</w:t>
      </w:r>
      <w:proofErr w:type="spellStart"/>
      <w:r w:rsidR="00BA751E" w:rsidRPr="00BA751E">
        <w:rPr>
          <w:color w:val="000000" w:themeColor="text1"/>
        </w:rPr>
        <w:t>BunDLe</w:t>
      </w:r>
      <w:proofErr w:type="spellEnd"/>
      <w:r w:rsidR="00BA751E" w:rsidRPr="00BA751E">
        <w:rPr>
          <w:color w:val="000000" w:themeColor="text1"/>
        </w:rPr>
        <w:t xml:space="preserve">-Net) significantly outperformed other tested methods, including state-of-the-art CEBRA, across various neuronal datasets ranging from </w:t>
      </w:r>
      <w:r w:rsidR="00BA751E" w:rsidRPr="00BA751E">
        <w:rPr>
          <w:i/>
          <w:iCs/>
          <w:color w:val="000000" w:themeColor="text1"/>
        </w:rPr>
        <w:t>C. elegans</w:t>
      </w:r>
      <w:r w:rsidR="00BA751E" w:rsidRPr="00BA751E">
        <w:rPr>
          <w:color w:val="000000" w:themeColor="text1"/>
        </w:rPr>
        <w:t xml:space="preserve"> and rats to primates. However, the </w:t>
      </w:r>
      <w:r w:rsidR="00BA751E" w:rsidRPr="00BA751E">
        <w:rPr>
          <w:color w:val="000000" w:themeColor="text1"/>
        </w:rPr>
        <w:lastRenderedPageBreak/>
        <w:t xml:space="preserve">researchers not only achieved </w:t>
      </w:r>
      <w:r w:rsidR="004014D7" w:rsidRPr="00BA751E">
        <w:rPr>
          <w:color w:val="000000" w:themeColor="text1"/>
        </w:rPr>
        <w:t>high-performance</w:t>
      </w:r>
      <w:r w:rsidR="00BA751E" w:rsidRPr="00BA751E">
        <w:rPr>
          <w:color w:val="000000" w:themeColor="text1"/>
        </w:rPr>
        <w:t xml:space="preserve"> metrics, but they also effectively addressed the trustworthiness</w:t>
      </w:r>
      <w:r w:rsidR="00451F6E">
        <w:rPr>
          <w:color w:val="000000" w:themeColor="text1"/>
        </w:rPr>
        <w:t xml:space="preserve"> and interpretability</w:t>
      </w:r>
      <w:r w:rsidR="00BA751E" w:rsidRPr="00BA751E">
        <w:rPr>
          <w:color w:val="000000" w:themeColor="text1"/>
        </w:rPr>
        <w:t xml:space="preserve"> of the model. </w:t>
      </w:r>
    </w:p>
    <w:p w14:paraId="3EA34A68" w14:textId="523653C3" w:rsidR="006E5AFF" w:rsidRDefault="00D14DF0" w:rsidP="00D14DF0">
      <w:pPr>
        <w:ind w:firstLine="720"/>
        <w:rPr>
          <w:color w:val="000000" w:themeColor="text1"/>
        </w:rPr>
      </w:pPr>
      <w:r w:rsidRPr="00D14DF0">
        <w:rPr>
          <w:color w:val="000000" w:themeColor="text1"/>
        </w:rPr>
        <w:t xml:space="preserve">Mathis and Mathis (2026) [10] argue that the trustworthiness of a model should be evaluated by three main metrics: consistency, robustness, and identifiability. The authors of </w:t>
      </w:r>
      <w:proofErr w:type="spellStart"/>
      <w:r w:rsidRPr="00D14DF0">
        <w:rPr>
          <w:color w:val="000000" w:themeColor="text1"/>
        </w:rPr>
        <w:t>BunDLe</w:t>
      </w:r>
      <w:proofErr w:type="spellEnd"/>
      <w:r w:rsidRPr="00D14DF0">
        <w:rPr>
          <w:color w:val="000000" w:themeColor="text1"/>
        </w:rPr>
        <w:t xml:space="preserve">-Net tested the consistency of the created latent spaces by comparing them across different initializations and data from five different worms. Although different initializations naturally result in visually different embeddings, each reconstruction displayed a highly consistent branching structure in the trajectories, completely independent of the initialization. Furthermore, the authors ensured that the framework is highly robust to noise and dropout. First, to prevent overfitting, they injected Gaussian white noise into the mapping layer during training, forcing the model to generalize rather than learn noise from the training data. Second, the model intrinsically acts as a de-noising tool by eliminating neuronal dynamics that are irrelevant to decoding </w:t>
      </w:r>
      <w:r w:rsidR="008F79FE" w:rsidRPr="00D14DF0">
        <w:rPr>
          <w:color w:val="000000" w:themeColor="text1"/>
        </w:rPr>
        <w:t>behaviour</w:t>
      </w:r>
      <w:r w:rsidRPr="00D14DF0">
        <w:rPr>
          <w:color w:val="000000" w:themeColor="text1"/>
        </w:rPr>
        <w:t>. Finally, the authors addressed the identifiability of the model</w:t>
      </w:r>
      <w:r w:rsidR="007D1141">
        <w:rPr>
          <w:color w:val="000000" w:themeColor="text1"/>
        </w:rPr>
        <w:t xml:space="preserve"> (</w:t>
      </w:r>
      <w:r w:rsidRPr="00D14DF0">
        <w:rPr>
          <w:color w:val="000000" w:themeColor="text1"/>
        </w:rPr>
        <w:t>its capacity to uncover the true underlying data</w:t>
      </w:r>
      <w:r w:rsidR="007D1141">
        <w:rPr>
          <w:color w:val="000000" w:themeColor="text1"/>
        </w:rPr>
        <w:t>)</w:t>
      </w:r>
      <w:r w:rsidRPr="00D14DF0">
        <w:rPr>
          <w:color w:val="000000" w:themeColor="text1"/>
        </w:rPr>
        <w:t xml:space="preserve">. In the discussion section of the article, they attribute the ability to identify the true, intrinsic structure of the neuronal manifold to the time-delayed embeddings of the neural dynamics used for learning the latent space. This approach, backed by </w:t>
      </w:r>
      <w:proofErr w:type="spellStart"/>
      <w:r w:rsidRPr="00D14DF0">
        <w:rPr>
          <w:color w:val="000000" w:themeColor="text1"/>
        </w:rPr>
        <w:t>Takens</w:t>
      </w:r>
      <w:proofErr w:type="spellEnd"/>
      <w:r w:rsidRPr="00D14DF0">
        <w:rPr>
          <w:color w:val="000000" w:themeColor="text1"/>
        </w:rPr>
        <w:t>' theorem [</w:t>
      </w:r>
      <w:r w:rsidR="009B1278">
        <w:rPr>
          <w:color w:val="000000" w:themeColor="text1"/>
        </w:rPr>
        <w:t>33</w:t>
      </w:r>
      <w:r w:rsidRPr="00D14DF0">
        <w:rPr>
          <w:color w:val="000000" w:themeColor="text1"/>
        </w:rPr>
        <w:t xml:space="preserve">], guarantees that </w:t>
      </w:r>
      <w:proofErr w:type="spellStart"/>
      <w:r w:rsidRPr="00D14DF0">
        <w:rPr>
          <w:color w:val="000000" w:themeColor="text1"/>
        </w:rPr>
        <w:t>BunDLe</w:t>
      </w:r>
      <w:proofErr w:type="spellEnd"/>
      <w:r w:rsidRPr="00D14DF0">
        <w:rPr>
          <w:color w:val="000000" w:themeColor="text1"/>
        </w:rPr>
        <w:t>-Net's reconstructions will be topologically consistent regardless of the specific subset of recorded neurons.</w:t>
      </w:r>
    </w:p>
    <w:p w14:paraId="7518FDA2" w14:textId="5B698C2F" w:rsidR="00803330" w:rsidRDefault="00803330" w:rsidP="00803330">
      <w:pPr>
        <w:ind w:firstLine="720"/>
        <w:rPr>
          <w:color w:val="000000" w:themeColor="text1"/>
        </w:rPr>
      </w:pPr>
      <w:r w:rsidRPr="00803330">
        <w:rPr>
          <w:color w:val="000000" w:themeColor="text1"/>
        </w:rPr>
        <w:t xml:space="preserve">The authors of </w:t>
      </w:r>
      <w:proofErr w:type="spellStart"/>
      <w:r w:rsidRPr="00803330">
        <w:rPr>
          <w:color w:val="000000" w:themeColor="text1"/>
        </w:rPr>
        <w:t>BunDLe</w:t>
      </w:r>
      <w:proofErr w:type="spellEnd"/>
      <w:r w:rsidRPr="00803330">
        <w:rPr>
          <w:color w:val="000000" w:themeColor="text1"/>
        </w:rPr>
        <w:t xml:space="preserve">-Net claim that the embeddings generated by their model are "useful and interpretable". This assertion is supported by both the theoretical principles underlying the framework and the visual clarity of the resulting manifolds. Theoretically, the model is designed so that the latent embedding encapsulates all necessary dynamic information from the raw neuronal data, allowing it to function as a distinct and meaningful dynamic process </w:t>
      </w:r>
      <w:r w:rsidR="004A1FF7">
        <w:rPr>
          <w:color w:val="000000" w:themeColor="text1"/>
        </w:rPr>
        <w:t>on its own</w:t>
      </w:r>
      <w:r w:rsidRPr="00803330">
        <w:rPr>
          <w:color w:val="000000" w:themeColor="text1"/>
        </w:rPr>
        <w:t xml:space="preserve">. Furthermore, the embeddings produced by </w:t>
      </w:r>
      <w:proofErr w:type="spellStart"/>
      <w:r w:rsidRPr="00803330">
        <w:rPr>
          <w:color w:val="000000" w:themeColor="text1"/>
        </w:rPr>
        <w:t>BunDLe</w:t>
      </w:r>
      <w:proofErr w:type="spellEnd"/>
      <w:r w:rsidRPr="00803330">
        <w:rPr>
          <w:color w:val="000000" w:themeColor="text1"/>
        </w:rPr>
        <w:t xml:space="preserve">-Net naturally organize into well-separated "bundles". This lack of artificial trajectory intersections makes it easy for researchers to distinguish </w:t>
      </w:r>
      <w:r w:rsidR="00DC42DC" w:rsidRPr="00803330">
        <w:rPr>
          <w:color w:val="000000" w:themeColor="text1"/>
        </w:rPr>
        <w:t>behavioural</w:t>
      </w:r>
      <w:r w:rsidRPr="00803330">
        <w:rPr>
          <w:color w:val="000000" w:themeColor="text1"/>
        </w:rPr>
        <w:t xml:space="preserve"> states directly from the visualized manifold</w:t>
      </w:r>
      <w:r>
        <w:rPr>
          <w:color w:val="000000" w:themeColor="text1"/>
        </w:rPr>
        <w:t xml:space="preserve">. </w:t>
      </w:r>
    </w:p>
    <w:p w14:paraId="18B0F726" w14:textId="0815CD40" w:rsidR="002F0B97" w:rsidRDefault="002F0B97" w:rsidP="002F0B97">
      <w:pPr>
        <w:ind w:firstLine="720"/>
        <w:rPr>
          <w:color w:val="000000" w:themeColor="text1"/>
        </w:rPr>
      </w:pPr>
      <w:r w:rsidRPr="002F0B97">
        <w:rPr>
          <w:color w:val="000000" w:themeColor="text1"/>
        </w:rPr>
        <w:t xml:space="preserve">However, the form of interpretability defined by the authors of </w:t>
      </w:r>
      <w:proofErr w:type="spellStart"/>
      <w:r w:rsidRPr="002F0B97">
        <w:rPr>
          <w:color w:val="000000" w:themeColor="text1"/>
        </w:rPr>
        <w:t>BunDLe</w:t>
      </w:r>
      <w:proofErr w:type="spellEnd"/>
      <w:r w:rsidRPr="002F0B97">
        <w:rPr>
          <w:color w:val="000000" w:themeColor="text1"/>
        </w:rPr>
        <w:t>-Net does not fully satisfy the broader need for transparent deep learning models in neuroscience, as emphasized by Mathis and Mathis (2026) [10]. While the macro-level dynamics and the visualization of the neural manifold are highly interpretable, the underlying model itself remains a "black box"</w:t>
      </w:r>
      <w:r w:rsidR="00470EC6">
        <w:rPr>
          <w:color w:val="000000" w:themeColor="text1"/>
        </w:rPr>
        <w:t>.</w:t>
      </w:r>
      <w:r w:rsidRPr="002F0B97">
        <w:rPr>
          <w:color w:val="000000" w:themeColor="text1"/>
        </w:rPr>
        <w:t xml:space="preserve"> To fully evaluate </w:t>
      </w:r>
      <w:proofErr w:type="spellStart"/>
      <w:r w:rsidRPr="002F0B97">
        <w:rPr>
          <w:color w:val="000000" w:themeColor="text1"/>
        </w:rPr>
        <w:t>BunDLe</w:t>
      </w:r>
      <w:proofErr w:type="spellEnd"/>
      <w:r w:rsidRPr="002F0B97">
        <w:rPr>
          <w:color w:val="000000" w:themeColor="text1"/>
        </w:rPr>
        <w:t>-Net against these rigorous transparency standards and understand its internal decision-making, the explainability of the model must be systematically tested using post-hoc</w:t>
      </w:r>
      <w:r w:rsidR="00A776C8">
        <w:rPr>
          <w:color w:val="000000" w:themeColor="text1"/>
        </w:rPr>
        <w:t xml:space="preserve"> </w:t>
      </w:r>
      <w:r w:rsidR="00A776C8" w:rsidRPr="00A776C8">
        <w:rPr>
          <w:color w:val="000000" w:themeColor="text1"/>
        </w:rPr>
        <w:t>Explainable AI</w:t>
      </w:r>
      <w:r w:rsidRPr="002F0B97">
        <w:rPr>
          <w:color w:val="000000" w:themeColor="text1"/>
        </w:rPr>
        <w:t xml:space="preserve"> </w:t>
      </w:r>
      <w:r w:rsidR="007E119A">
        <w:rPr>
          <w:color w:val="000000" w:themeColor="text1"/>
        </w:rPr>
        <w:t>(</w:t>
      </w:r>
      <w:r w:rsidRPr="002F0B97">
        <w:rPr>
          <w:color w:val="000000" w:themeColor="text1"/>
        </w:rPr>
        <w:t>XAI</w:t>
      </w:r>
      <w:r w:rsidR="007E119A">
        <w:rPr>
          <w:color w:val="000000" w:themeColor="text1"/>
        </w:rPr>
        <w:t>)</w:t>
      </w:r>
      <w:r w:rsidRPr="002F0B97">
        <w:rPr>
          <w:color w:val="000000" w:themeColor="text1"/>
        </w:rPr>
        <w:t xml:space="preserve"> methods.</w:t>
      </w:r>
    </w:p>
    <w:p w14:paraId="5F38F2BF" w14:textId="3272C2D4" w:rsidR="0025442D" w:rsidRPr="00803330" w:rsidRDefault="006E5AFF" w:rsidP="00803330">
      <w:pPr>
        <w:rPr>
          <w:color w:val="000000" w:themeColor="text1"/>
        </w:rPr>
      </w:pPr>
      <w:r w:rsidRPr="008C7AA9">
        <w:rPr>
          <w:b/>
          <w:bCs/>
          <w:color w:val="2581BA" w:themeColor="accent3" w:themeShade="BF"/>
        </w:rPr>
        <w:t>SECTION IV</w:t>
      </w:r>
      <w:r w:rsidR="0067686C" w:rsidRPr="008C7AA9">
        <w:rPr>
          <w:b/>
          <w:bCs/>
          <w:color w:val="000000" w:themeColor="text1"/>
        </w:rPr>
        <w:tab/>
      </w:r>
      <w:r w:rsidR="001A254C" w:rsidRPr="008C7AA9">
        <w:rPr>
          <w:b/>
          <w:bCs/>
          <w:color w:val="000000" w:themeColor="text1"/>
        </w:rPr>
        <w:t xml:space="preserve"> </w:t>
      </w:r>
      <w:r w:rsidR="008C7AA9">
        <w:rPr>
          <w:b/>
          <w:bCs/>
          <w:color w:val="000000" w:themeColor="text1"/>
        </w:rPr>
        <w:t xml:space="preserve">- </w:t>
      </w:r>
      <w:r w:rsidR="008C7AA9">
        <w:rPr>
          <w:b/>
          <w:bCs/>
          <w:color w:val="2581BA" w:themeColor="accent3" w:themeShade="BF"/>
        </w:rPr>
        <w:t xml:space="preserve">within this section I will </w:t>
      </w:r>
      <w:r w:rsidR="004F592F">
        <w:rPr>
          <w:b/>
          <w:bCs/>
          <w:color w:val="2581BA" w:themeColor="accent3" w:themeShade="BF"/>
        </w:rPr>
        <w:t>show</w:t>
      </w:r>
      <w:r w:rsidR="005C4BCA">
        <w:rPr>
          <w:b/>
          <w:bCs/>
          <w:color w:val="2581BA" w:themeColor="accent3" w:themeShade="BF"/>
        </w:rPr>
        <w:t xml:space="preserve"> exampl</w:t>
      </w:r>
      <w:r w:rsidR="009B5016">
        <w:rPr>
          <w:b/>
          <w:bCs/>
          <w:color w:val="2581BA" w:themeColor="accent3" w:themeShade="BF"/>
        </w:rPr>
        <w:t xml:space="preserve">es </w:t>
      </w:r>
      <w:r w:rsidR="005C4BCA">
        <w:rPr>
          <w:b/>
          <w:bCs/>
          <w:color w:val="2581BA" w:themeColor="accent3" w:themeShade="BF"/>
        </w:rPr>
        <w:t>of</w:t>
      </w:r>
      <w:r w:rsidR="004F592F">
        <w:rPr>
          <w:b/>
          <w:bCs/>
          <w:color w:val="2581BA" w:themeColor="accent3" w:themeShade="BF"/>
        </w:rPr>
        <w:t xml:space="preserve"> </w:t>
      </w:r>
      <w:r w:rsidR="000B588D">
        <w:rPr>
          <w:b/>
          <w:bCs/>
          <w:color w:val="2581BA" w:themeColor="accent3" w:themeShade="BF"/>
        </w:rPr>
        <w:t xml:space="preserve">the </w:t>
      </w:r>
      <w:r w:rsidR="005C4BCA">
        <w:rPr>
          <w:b/>
          <w:bCs/>
          <w:color w:val="2581BA" w:themeColor="accent3" w:themeShade="BF"/>
        </w:rPr>
        <w:t xml:space="preserve">two chosen by me </w:t>
      </w:r>
      <w:r w:rsidR="000B588D">
        <w:rPr>
          <w:b/>
          <w:bCs/>
          <w:color w:val="2581BA" w:themeColor="accent3" w:themeShade="BF"/>
        </w:rPr>
        <w:t>XAI methods</w:t>
      </w:r>
      <w:r w:rsidR="005C4BCA">
        <w:rPr>
          <w:b/>
          <w:bCs/>
          <w:color w:val="2581BA" w:themeColor="accent3" w:themeShade="BF"/>
        </w:rPr>
        <w:t xml:space="preserve"> (SHAP and IG) used on time-series </w:t>
      </w:r>
      <w:proofErr w:type="gramStart"/>
      <w:r w:rsidR="005C4BCA">
        <w:rPr>
          <w:b/>
          <w:bCs/>
          <w:color w:val="2581BA" w:themeColor="accent3" w:themeShade="BF"/>
        </w:rPr>
        <w:t>data</w:t>
      </w:r>
      <w:r w:rsidR="000B588D">
        <w:rPr>
          <w:b/>
          <w:bCs/>
          <w:color w:val="2581BA" w:themeColor="accent3" w:themeShade="BF"/>
        </w:rPr>
        <w:t xml:space="preserve">, </w:t>
      </w:r>
      <w:r w:rsidR="005C4BCA">
        <w:rPr>
          <w:b/>
          <w:bCs/>
          <w:color w:val="2581BA" w:themeColor="accent3" w:themeShade="BF"/>
        </w:rPr>
        <w:t xml:space="preserve"> and</w:t>
      </w:r>
      <w:proofErr w:type="gramEnd"/>
      <w:r w:rsidR="005C4BCA">
        <w:rPr>
          <w:b/>
          <w:bCs/>
          <w:color w:val="2581BA" w:themeColor="accent3" w:themeShade="BF"/>
        </w:rPr>
        <w:t xml:space="preserve"> </w:t>
      </w:r>
      <w:r w:rsidR="000B588D">
        <w:rPr>
          <w:b/>
          <w:bCs/>
          <w:color w:val="2581BA" w:themeColor="accent3" w:themeShade="BF"/>
        </w:rPr>
        <w:t xml:space="preserve">how they were tested </w:t>
      </w:r>
      <w:proofErr w:type="spellStart"/>
      <w:r w:rsidR="000B588D">
        <w:rPr>
          <w:b/>
          <w:bCs/>
          <w:color w:val="2581BA" w:themeColor="accent3" w:themeShade="BF"/>
        </w:rPr>
        <w:t>ect</w:t>
      </w:r>
      <w:proofErr w:type="spellEnd"/>
      <w:r w:rsidR="000B588D">
        <w:rPr>
          <w:b/>
          <w:bCs/>
          <w:color w:val="2581BA" w:themeColor="accent3" w:themeShade="BF"/>
        </w:rPr>
        <w:t>. This will be my main justification for what methods I</w:t>
      </w:r>
      <w:r w:rsidR="002D2B27">
        <w:rPr>
          <w:b/>
          <w:bCs/>
          <w:color w:val="2581BA" w:themeColor="accent3" w:themeShade="BF"/>
        </w:rPr>
        <w:t>’ve chosen to do on Bundle-net</w:t>
      </w:r>
      <w:r w:rsidR="00681365">
        <w:rPr>
          <w:b/>
          <w:bCs/>
          <w:color w:val="2581BA" w:themeColor="accent3" w:themeShade="BF"/>
        </w:rPr>
        <w:t>.</w:t>
      </w:r>
      <w:r w:rsidR="009B5016">
        <w:rPr>
          <w:b/>
          <w:bCs/>
          <w:color w:val="2581BA" w:themeColor="accent3" w:themeShade="BF"/>
        </w:rPr>
        <w:t xml:space="preserve"> I also mentioned </w:t>
      </w:r>
      <w:proofErr w:type="spellStart"/>
      <w:r w:rsidR="009B5016">
        <w:rPr>
          <w:b/>
          <w:bCs/>
          <w:color w:val="2581BA" w:themeColor="accent3" w:themeShade="BF"/>
        </w:rPr>
        <w:t>xCEBRA</w:t>
      </w:r>
      <w:proofErr w:type="spellEnd"/>
      <w:r w:rsidR="00526CD5">
        <w:rPr>
          <w:b/>
          <w:bCs/>
          <w:color w:val="2581BA" w:themeColor="accent3" w:themeShade="BF"/>
        </w:rPr>
        <w:t xml:space="preserve">, since this is the biggest </w:t>
      </w:r>
      <w:proofErr w:type="spellStart"/>
      <w:r w:rsidR="00526CD5">
        <w:rPr>
          <w:b/>
          <w:bCs/>
          <w:color w:val="2581BA" w:themeColor="accent3" w:themeShade="BF"/>
        </w:rPr>
        <w:t>contribuition</w:t>
      </w:r>
      <w:proofErr w:type="spellEnd"/>
      <w:r w:rsidR="00526CD5">
        <w:rPr>
          <w:b/>
          <w:bCs/>
          <w:color w:val="2581BA" w:themeColor="accent3" w:themeShade="BF"/>
        </w:rPr>
        <w:t xml:space="preserve"> in XAI x joint-</w:t>
      </w:r>
      <w:proofErr w:type="spellStart"/>
      <w:r w:rsidR="00526CD5">
        <w:rPr>
          <w:b/>
          <w:bCs/>
          <w:color w:val="2581BA" w:themeColor="accent3" w:themeShade="BF"/>
        </w:rPr>
        <w:t>modeling</w:t>
      </w:r>
      <w:proofErr w:type="spellEnd"/>
      <w:r w:rsidR="00526CD5">
        <w:rPr>
          <w:b/>
          <w:bCs/>
          <w:color w:val="2581BA" w:themeColor="accent3" w:themeShade="BF"/>
        </w:rPr>
        <w:t xml:space="preserve"> studies, but I will base my research on more established methods first. </w:t>
      </w:r>
      <w:r w:rsidR="006C7542">
        <w:rPr>
          <w:b/>
          <w:bCs/>
          <w:color w:val="2581BA" w:themeColor="accent3" w:themeShade="BF"/>
        </w:rPr>
        <w:t xml:space="preserve">The last </w:t>
      </w:r>
      <w:proofErr w:type="spellStart"/>
      <w:r w:rsidR="006C7542">
        <w:rPr>
          <w:b/>
          <w:bCs/>
          <w:color w:val="2581BA" w:themeColor="accent3" w:themeShade="BF"/>
        </w:rPr>
        <w:t>paragarf</w:t>
      </w:r>
      <w:proofErr w:type="spellEnd"/>
      <w:r w:rsidR="006C7542">
        <w:rPr>
          <w:b/>
          <w:bCs/>
          <w:color w:val="2581BA" w:themeColor="accent3" w:themeShade="BF"/>
        </w:rPr>
        <w:t xml:space="preserve"> is </w:t>
      </w:r>
      <w:proofErr w:type="spellStart"/>
      <w:r w:rsidR="006C7542">
        <w:rPr>
          <w:b/>
          <w:bCs/>
          <w:color w:val="2581BA" w:themeColor="accent3" w:themeShade="BF"/>
        </w:rPr>
        <w:t>suppoust</w:t>
      </w:r>
      <w:proofErr w:type="spellEnd"/>
      <w:r w:rsidR="006C7542">
        <w:rPr>
          <w:b/>
          <w:bCs/>
          <w:color w:val="2581BA" w:themeColor="accent3" w:themeShade="BF"/>
        </w:rPr>
        <w:t xml:space="preserve"> to </w:t>
      </w:r>
      <w:proofErr w:type="spellStart"/>
      <w:r w:rsidR="00B06AB4">
        <w:rPr>
          <w:b/>
          <w:bCs/>
          <w:color w:val="2581BA" w:themeColor="accent3" w:themeShade="BF"/>
        </w:rPr>
        <w:t>kinda</w:t>
      </w:r>
      <w:proofErr w:type="spellEnd"/>
      <w:r w:rsidR="00B06AB4">
        <w:rPr>
          <w:b/>
          <w:bCs/>
          <w:color w:val="2581BA" w:themeColor="accent3" w:themeShade="BF"/>
        </w:rPr>
        <w:t xml:space="preserve"> sum up everything and </w:t>
      </w:r>
      <w:r w:rsidR="003220D5">
        <w:rPr>
          <w:b/>
          <w:bCs/>
          <w:color w:val="2581BA" w:themeColor="accent3" w:themeShade="BF"/>
        </w:rPr>
        <w:t xml:space="preserve">give the thesis for what I am trying to do. </w:t>
      </w:r>
    </w:p>
    <w:p w14:paraId="5B8A0EB6" w14:textId="77777777" w:rsidR="00C86CF6" w:rsidRPr="00C86CF6" w:rsidRDefault="0077484E" w:rsidP="00C86CF6">
      <w:pPr>
        <w:rPr>
          <w:color w:val="000000" w:themeColor="text1"/>
        </w:rPr>
      </w:pPr>
      <w:r w:rsidRPr="0077484E">
        <w:rPr>
          <w:color w:val="2581BA" w:themeColor="accent3" w:themeShade="BF"/>
        </w:rPr>
        <w:tab/>
      </w:r>
      <w:r w:rsidR="00C86CF6" w:rsidRPr="00C86CF6">
        <w:rPr>
          <w:color w:val="000000" w:themeColor="text1"/>
        </w:rPr>
        <w:t xml:space="preserve">Explainable Artificial Intelligence, also referred to as XAI, is a group of methods and frameworks designed to help understand the decision-making process behind complex machine </w:t>
      </w:r>
      <w:r w:rsidR="00C86CF6" w:rsidRPr="00C86CF6">
        <w:rPr>
          <w:color w:val="000000" w:themeColor="text1"/>
        </w:rPr>
        <w:lastRenderedPageBreak/>
        <w:t>learning algorithms [34]. As argued by Alharthi et al. (2025) [35], the integration of XAI into healthcare research is a much-needed development, yet it remains frequently overlooked. The growing complexity of AI models makes it increasingly difficult for them to be transparent, interpretable, and therefore trustworthy; thus, the authors view XAI methods as a necessity to overcome these problems.</w:t>
      </w:r>
    </w:p>
    <w:p w14:paraId="5A6355B9" w14:textId="0AECDA1F" w:rsidR="00C86CF6" w:rsidRPr="00C86CF6" w:rsidRDefault="00C86CF6" w:rsidP="00526CD5">
      <w:pPr>
        <w:ind w:firstLine="720"/>
        <w:rPr>
          <w:color w:val="000000" w:themeColor="text1"/>
        </w:rPr>
      </w:pPr>
      <w:r w:rsidRPr="00C86CF6">
        <w:rPr>
          <w:color w:val="000000" w:themeColor="text1"/>
        </w:rPr>
        <w:t xml:space="preserve">To address these transparency issues, </w:t>
      </w:r>
      <w:proofErr w:type="gramStart"/>
      <w:r w:rsidRPr="00C86CF6">
        <w:rPr>
          <w:color w:val="000000" w:themeColor="text1"/>
        </w:rPr>
        <w:t>the majority of</w:t>
      </w:r>
      <w:proofErr w:type="gramEnd"/>
      <w:r w:rsidRPr="00C86CF6">
        <w:rPr>
          <w:color w:val="000000" w:themeColor="text1"/>
        </w:rPr>
        <w:t xml:space="preserve"> research connecting neuroscience with XAI currently relies on established, foundational methods, such as Integrated Gradients (IG) [37] or Shapley Additive </w:t>
      </w:r>
      <w:proofErr w:type="spellStart"/>
      <w:r w:rsidRPr="00C86CF6">
        <w:rPr>
          <w:color w:val="000000" w:themeColor="text1"/>
        </w:rPr>
        <w:t>exPlanations</w:t>
      </w:r>
      <w:proofErr w:type="spellEnd"/>
      <w:r w:rsidRPr="00C86CF6">
        <w:rPr>
          <w:color w:val="000000" w:themeColor="text1"/>
        </w:rPr>
        <w:t xml:space="preserve"> (SHAP) [38]. SHAP is a model-agnostic approach that provides both local and global explanations; however, it can be computationally expensive when applied to large models and datasets [35]. Zhang et al. (2026) [40] demonstrated that the SHAP method can be exceptionally useful for identifying the most critical features in time-series data. In their work, they employed an </w:t>
      </w:r>
      <w:proofErr w:type="spellStart"/>
      <w:r w:rsidRPr="00C86CF6">
        <w:rPr>
          <w:color w:val="000000" w:themeColor="text1"/>
        </w:rPr>
        <w:t>XGBoost</w:t>
      </w:r>
      <w:proofErr w:type="spellEnd"/>
      <w:r w:rsidRPr="00C86CF6">
        <w:rPr>
          <w:color w:val="000000" w:themeColor="text1"/>
        </w:rPr>
        <w:t xml:space="preserve"> model to predict whether patients with migraine had comorbid depressive symptoms. Recognizing the clinical limitations generated by the model's inherent "black-box" nature, they integrated SHAP to quantify feature contributions. The authors highlighted that using SHAP significantly increased clinical transparency by providing directional insights</w:t>
      </w:r>
      <w:r>
        <w:rPr>
          <w:color w:val="000000" w:themeColor="text1"/>
        </w:rPr>
        <w:t xml:space="preserve"> - </w:t>
      </w:r>
      <w:r w:rsidRPr="00C86CF6">
        <w:rPr>
          <w:color w:val="000000" w:themeColor="text1"/>
        </w:rPr>
        <w:t>specifically, by demonstrating exactly how higher or lower fractional occupancy in certain brain states influenced the model's predictions toward a specific diagnosis.</w:t>
      </w:r>
    </w:p>
    <w:p w14:paraId="2FDC92D8" w14:textId="77777777" w:rsidR="00C86CF6" w:rsidRPr="00C86CF6" w:rsidRDefault="00C86CF6" w:rsidP="00526CD5">
      <w:pPr>
        <w:ind w:firstLine="720"/>
        <w:rPr>
          <w:color w:val="000000" w:themeColor="text1"/>
        </w:rPr>
      </w:pPr>
      <w:r w:rsidRPr="00C86CF6">
        <w:rPr>
          <w:color w:val="000000" w:themeColor="text1"/>
        </w:rPr>
        <w:t xml:space="preserve">Another compelling application of these foundational XAI methods in neuroscience was presented by Rahman et al. (2022) [39]. To maintain stable, ecologically valid interpretations while achieving high performance, the authors used Integrated Gradients (IG) and </w:t>
      </w:r>
      <w:proofErr w:type="spellStart"/>
      <w:r w:rsidRPr="00C86CF6">
        <w:rPr>
          <w:color w:val="000000" w:themeColor="text1"/>
        </w:rPr>
        <w:t>SmoothGrad</w:t>
      </w:r>
      <w:proofErr w:type="spellEnd"/>
      <w:r w:rsidRPr="00C86CF6">
        <w:rPr>
          <w:color w:val="000000" w:themeColor="text1"/>
        </w:rPr>
        <w:t xml:space="preserve"> on IG (SGIG) within their deep learning framework. Gradient methods prove to yield consistent measurements and perform exceptionally well with neural networks, although they can be less intuitive compared to SHAP due to the requirement of selecting a reference baseline [35]. The authors applied these interpretability techniques to resting-state functional magnetic resonance imaging (fMRI) data from patients with autism spectrum disorder, schizophrenia, and Alzheimer's disease (multivariate time-series data). By introspecting the model, they successfully extracted sparse </w:t>
      </w:r>
      <w:proofErr w:type="spellStart"/>
      <w:r w:rsidRPr="00C86CF6">
        <w:rPr>
          <w:color w:val="000000" w:themeColor="text1"/>
        </w:rPr>
        <w:t>spatio</w:t>
      </w:r>
      <w:proofErr w:type="spellEnd"/>
      <w:r w:rsidRPr="00C86CF6">
        <w:rPr>
          <w:color w:val="000000" w:themeColor="text1"/>
        </w:rPr>
        <w:t xml:space="preserve">-temporal signatures that were highly indicative of these disorders. Proving through a "Retain </w:t>
      </w:r>
      <w:proofErr w:type="gramStart"/>
      <w:r w:rsidRPr="00C86CF6">
        <w:rPr>
          <w:color w:val="000000" w:themeColor="text1"/>
        </w:rPr>
        <w:t>And</w:t>
      </w:r>
      <w:proofErr w:type="gramEnd"/>
      <w:r w:rsidRPr="00C86CF6">
        <w:rPr>
          <w:color w:val="000000" w:themeColor="text1"/>
        </w:rPr>
        <w:t xml:space="preserve"> Retrain" (RAR) validation method, they showed that just the top 5% of the salient data identified by XAI was highly predictive of the diseases. The researchers emphasized that IG and SGIG were specifically chosen because they proved to be stable, generalizable, and robust to noise across all datasets. Ultimately, they highlighted that applying these methods resolves the vanishing saliency problem typical of time-series models, facilitating the discovery of actionable, causal knowledge about brain dysfunction directly from raw data.</w:t>
      </w:r>
    </w:p>
    <w:p w14:paraId="3BFA2CE1" w14:textId="77777777" w:rsidR="00C86CF6" w:rsidRPr="00C86CF6" w:rsidRDefault="00C86CF6" w:rsidP="00526CD5">
      <w:pPr>
        <w:ind w:firstLine="720"/>
        <w:rPr>
          <w:color w:val="000000" w:themeColor="text1"/>
        </w:rPr>
      </w:pPr>
      <w:r w:rsidRPr="00C86CF6">
        <w:rPr>
          <w:color w:val="000000" w:themeColor="text1"/>
        </w:rPr>
        <w:t xml:space="preserve">Despite these significant achievements with established post-hoc methods, there is still limited XAI research within the joint-modelling subgroup. A highly notable study in this domain is the work by Schneider et al. (2025) [36]. The researchers addressed the "black-box" nature of their own contrastive learning framework, CEBRA, by creating a new variant called </w:t>
      </w:r>
      <w:proofErr w:type="spellStart"/>
      <w:r w:rsidRPr="00C86CF6">
        <w:rPr>
          <w:color w:val="000000" w:themeColor="text1"/>
        </w:rPr>
        <w:t>xCEBRA</w:t>
      </w:r>
      <w:proofErr w:type="spellEnd"/>
      <w:r w:rsidRPr="00C86CF6">
        <w:rPr>
          <w:color w:val="000000" w:themeColor="text1"/>
        </w:rPr>
        <w:t xml:space="preserve"> (explainable CEBRA). By applying a novel Inverted Neuron Gradient attribution method, they successfully generated time-series attribution maps capable of identifying the </w:t>
      </w:r>
      <w:r w:rsidRPr="00C86CF6">
        <w:rPr>
          <w:color w:val="000000" w:themeColor="text1"/>
        </w:rPr>
        <w:lastRenderedPageBreak/>
        <w:t>specific causal factors driving the model's predictions, outperforming standard Shapley value-based approaches.</w:t>
      </w:r>
    </w:p>
    <w:p w14:paraId="0798875D" w14:textId="38AB8373" w:rsidR="00C86CF6" w:rsidRDefault="00C86CF6" w:rsidP="00526CD5">
      <w:pPr>
        <w:ind w:firstLine="720"/>
        <w:rPr>
          <w:color w:val="000000" w:themeColor="text1"/>
        </w:rPr>
      </w:pPr>
      <w:r w:rsidRPr="00C86CF6">
        <w:rPr>
          <w:color w:val="000000" w:themeColor="text1"/>
        </w:rPr>
        <w:t>Given the rapid expansion of both foundational and novel XAI tools, adopting a broader comparative approach has become essential, as highlighted by Šarčević and Frid (2026) [41] and Alharthi et al. (2025) [35]. These articles focused on evaluating various XAI methods applied to neuroscience and healthcare sensor data, explicitly outlining their respective strengths and weaknesses. Both studies concluded that since different XAI algorithms rely on distinct assumptions and often yield divergent attribution patterns, it is crucial to employ multiple methods to ensure reliable interpretations. Furthermore, the authors emphasized that systematically evaluating the XAI results themselves is essential and should not be overlooked. To address this, Šarčević and Frid (2026) implemented a multi-metric evaluation framework to test XAI stability across categories such as fold-wise stability, attribution compactness, and cross-method ranking agreement. However, as Alharthi et al. (2025) highlighted, there remains an urgent need to establish a universally standardized evaluation and regulatory framework across all XAI methods, which is currently lacking in the field</w:t>
      </w:r>
      <w:r w:rsidR="00526CD5">
        <w:rPr>
          <w:color w:val="000000" w:themeColor="text1"/>
        </w:rPr>
        <w:t xml:space="preserve">. </w:t>
      </w:r>
    </w:p>
    <w:p w14:paraId="4A13D3E3" w14:textId="7CB7EC27" w:rsidR="003E5F1E" w:rsidRDefault="00EB4E0C" w:rsidP="004F6414">
      <w:pPr>
        <w:ind w:firstLine="720"/>
        <w:rPr>
          <w:color w:val="000000" w:themeColor="text1"/>
        </w:rPr>
      </w:pPr>
      <w:r w:rsidRPr="00EB4E0C">
        <w:rPr>
          <w:color w:val="000000" w:themeColor="text1"/>
        </w:rPr>
        <w:t xml:space="preserve">Considering the findings from the described studies, this research aims to fill a significant gap by systematically applying post-hoc XAI methods to the </w:t>
      </w:r>
      <w:proofErr w:type="spellStart"/>
      <w:r w:rsidRPr="00EB4E0C">
        <w:rPr>
          <w:color w:val="000000" w:themeColor="text1"/>
        </w:rPr>
        <w:t>BunDLe</w:t>
      </w:r>
      <w:proofErr w:type="spellEnd"/>
      <w:r w:rsidRPr="00EB4E0C">
        <w:rPr>
          <w:color w:val="000000" w:themeColor="text1"/>
        </w:rPr>
        <w:t xml:space="preserve">-Net framework. To achieve this, the study will employ two well-tested but distinct approaches: Integrated Gradients (IG) and Shapley Additive </w:t>
      </w:r>
      <w:proofErr w:type="spellStart"/>
      <w:r w:rsidRPr="00EB4E0C">
        <w:rPr>
          <w:color w:val="000000" w:themeColor="text1"/>
        </w:rPr>
        <w:t>exPlanations</w:t>
      </w:r>
      <w:proofErr w:type="spellEnd"/>
      <w:r w:rsidRPr="00EB4E0C">
        <w:rPr>
          <w:color w:val="000000" w:themeColor="text1"/>
        </w:rPr>
        <w:t xml:space="preserve"> (SHAP). These methods were selected due to their extensive validation in existing literature and the availability of </w:t>
      </w:r>
      <w:r w:rsidR="000C6932">
        <w:rPr>
          <w:color w:val="000000" w:themeColor="text1"/>
        </w:rPr>
        <w:t>multiple</w:t>
      </w:r>
      <w:r w:rsidR="00910D0C">
        <w:rPr>
          <w:color w:val="000000" w:themeColor="text1"/>
        </w:rPr>
        <w:t xml:space="preserve"> ideas of how </w:t>
      </w:r>
      <w:r w:rsidRPr="00EB4E0C">
        <w:rPr>
          <w:color w:val="000000" w:themeColor="text1"/>
        </w:rPr>
        <w:t xml:space="preserve">to properly evaluate their performance. Crucially, both IG and SHAP are highly compatible with </w:t>
      </w:r>
      <w:proofErr w:type="spellStart"/>
      <w:r w:rsidRPr="00EB4E0C">
        <w:rPr>
          <w:color w:val="000000" w:themeColor="text1"/>
        </w:rPr>
        <w:t>BunDLe</w:t>
      </w:r>
      <w:proofErr w:type="spellEnd"/>
      <w:r w:rsidRPr="00EB4E0C">
        <w:rPr>
          <w:color w:val="000000" w:themeColor="text1"/>
        </w:rPr>
        <w:t xml:space="preserve">-Net's specific input format, which relies on flattened sliding time windows of neural activity. These attribution techniques can effectively map the relevance scores back to both the specific spatial features (individual neurons) and the precise temporal instances within those windows. Ultimately, this approach aims to make </w:t>
      </w:r>
      <w:proofErr w:type="spellStart"/>
      <w:r w:rsidRPr="00EB4E0C">
        <w:rPr>
          <w:color w:val="000000" w:themeColor="text1"/>
        </w:rPr>
        <w:t>BunDLe</w:t>
      </w:r>
      <w:proofErr w:type="spellEnd"/>
      <w:r w:rsidRPr="00EB4E0C">
        <w:rPr>
          <w:color w:val="000000" w:themeColor="text1"/>
        </w:rPr>
        <w:t>-Net fully interpretable on a microscopic level, revealing exactly which individual neurons drive the model's decisions and at what specific moments in the time-series these activations occur.</w:t>
      </w:r>
    </w:p>
    <w:p w14:paraId="2F9DF7DD" w14:textId="507CBB12" w:rsidR="00433D18" w:rsidRDefault="00433D18" w:rsidP="00527681">
      <w:pPr>
        <w:ind w:firstLine="720"/>
        <w:rPr>
          <w:color w:val="000000" w:themeColor="text1"/>
        </w:rPr>
      </w:pPr>
    </w:p>
    <w:p w14:paraId="19FCE0A6" w14:textId="77777777" w:rsidR="00DF5816" w:rsidRDefault="00DF5816" w:rsidP="000B588D">
      <w:pPr>
        <w:rPr>
          <w:color w:val="000000" w:themeColor="text1"/>
        </w:rPr>
      </w:pPr>
    </w:p>
    <w:p w14:paraId="18A3120F" w14:textId="1CA01976" w:rsidR="009C1811" w:rsidRDefault="005A551C" w:rsidP="00487925">
      <w:pPr>
        <w:rPr>
          <w:color w:val="000000" w:themeColor="text1"/>
        </w:rPr>
      </w:pPr>
      <w:r>
        <w:rPr>
          <w:color w:val="000000" w:themeColor="text1"/>
        </w:rPr>
        <w:tab/>
      </w:r>
    </w:p>
    <w:p w14:paraId="53029494" w14:textId="77777777" w:rsidR="009C1811" w:rsidRDefault="009C1811" w:rsidP="007049C2">
      <w:pPr>
        <w:ind w:firstLine="360"/>
        <w:rPr>
          <w:color w:val="000000" w:themeColor="text1"/>
        </w:rPr>
      </w:pPr>
    </w:p>
    <w:p w14:paraId="2A5FC8EA" w14:textId="77777777" w:rsidR="009C1811" w:rsidRDefault="009C1811" w:rsidP="007049C2">
      <w:pPr>
        <w:ind w:firstLine="360"/>
        <w:rPr>
          <w:color w:val="000000" w:themeColor="text1"/>
        </w:rPr>
      </w:pPr>
    </w:p>
    <w:p w14:paraId="47FA50DF" w14:textId="77777777" w:rsidR="009C1811" w:rsidRDefault="009C1811" w:rsidP="007049C2">
      <w:pPr>
        <w:ind w:firstLine="360"/>
        <w:rPr>
          <w:color w:val="000000" w:themeColor="text1"/>
        </w:rPr>
      </w:pPr>
    </w:p>
    <w:p w14:paraId="5A9E7601" w14:textId="77777777" w:rsidR="009C1811" w:rsidRDefault="009C1811" w:rsidP="007049C2">
      <w:pPr>
        <w:ind w:firstLine="360"/>
        <w:rPr>
          <w:color w:val="000000" w:themeColor="text1"/>
        </w:rPr>
      </w:pPr>
    </w:p>
    <w:p w14:paraId="4DCAF325" w14:textId="77777777" w:rsidR="00875A68" w:rsidRPr="00875A68" w:rsidRDefault="00875A68" w:rsidP="00875A68"/>
    <w:p w14:paraId="29A3FFA0" w14:textId="11CF6FB6" w:rsidR="002B4F99" w:rsidRPr="00004BB0" w:rsidRDefault="002B4F99" w:rsidP="00004BB0">
      <w:pPr>
        <w:pStyle w:val="Heading1"/>
      </w:pPr>
      <w:r>
        <w:lastRenderedPageBreak/>
        <w:t>References</w:t>
      </w:r>
    </w:p>
    <w:p w14:paraId="2E5F288C" w14:textId="7B78F040" w:rsidR="002B4F99" w:rsidRDefault="002B4F99" w:rsidP="00664D5F">
      <w:pPr>
        <w:pStyle w:val="NoSpacing"/>
        <w:numPr>
          <w:ilvl w:val="0"/>
          <w:numId w:val="2"/>
        </w:numPr>
      </w:pPr>
      <w:bookmarkStart w:id="0" w:name="_Ref238637830"/>
      <w:r>
        <w:t>Krakauer, J. W., Ghazanfar, A. A., Gomez-Marin, A., MacIver, M. A. &amp; Poeppel, D. Neuroscience</w:t>
      </w:r>
      <w:r w:rsidR="00664D5F">
        <w:t xml:space="preserve"> </w:t>
      </w:r>
      <w:r>
        <w:t xml:space="preserve">needs </w:t>
      </w:r>
      <w:proofErr w:type="spellStart"/>
      <w:r>
        <w:t>behavior</w:t>
      </w:r>
      <w:proofErr w:type="spellEnd"/>
      <w:r>
        <w:t>: correcting a reductionist bias. Neuron 93, 480–490 (2017).</w:t>
      </w:r>
      <w:bookmarkEnd w:id="0"/>
    </w:p>
    <w:p w14:paraId="13A356EF" w14:textId="67E8D12A" w:rsidR="002B4F99" w:rsidRDefault="002B4F99" w:rsidP="00664D5F">
      <w:pPr>
        <w:pStyle w:val="NoSpacing"/>
        <w:numPr>
          <w:ilvl w:val="0"/>
          <w:numId w:val="2"/>
        </w:numPr>
      </w:pPr>
      <w:r>
        <w:t xml:space="preserve">Pereira, T. D., Shaevitz, J. W. &amp; Murthy, M. Quantifying </w:t>
      </w:r>
      <w:proofErr w:type="spellStart"/>
      <w:r>
        <w:t>behavior</w:t>
      </w:r>
      <w:proofErr w:type="spellEnd"/>
      <w:r>
        <w:t xml:space="preserve"> to understand the brain.</w:t>
      </w:r>
    </w:p>
    <w:p w14:paraId="5A11A7B7" w14:textId="53FCBB61" w:rsidR="00664D5F" w:rsidRDefault="002B4F99" w:rsidP="00664D5F">
      <w:pPr>
        <w:pStyle w:val="NoSpacing"/>
        <w:numPr>
          <w:ilvl w:val="0"/>
          <w:numId w:val="1"/>
        </w:numPr>
      </w:pPr>
      <w:r>
        <w:t>Nat. Neurosc</w:t>
      </w:r>
      <w:r w:rsidR="004524DA">
        <w:t>ience</w:t>
      </w:r>
      <w:r>
        <w:t xml:space="preserve"> 23, 1537–1549 (2020).</w:t>
      </w:r>
      <w:r w:rsidR="00664D5F">
        <w:t xml:space="preserve"> </w:t>
      </w:r>
      <w:r>
        <w:t>Mathis, M. W., Rotondo, A. P., Chang, E. F., Tolias, A. S. &amp; Mathis, A. Decoding the brain:</w:t>
      </w:r>
      <w:r w:rsidR="00664D5F">
        <w:t xml:space="preserve"> </w:t>
      </w:r>
      <w:r>
        <w:t>from neural representations to mechanistic models. Cell 187, 5814–5832 (2024).</w:t>
      </w:r>
    </w:p>
    <w:p w14:paraId="190E6BBB" w14:textId="77777777" w:rsidR="00664D5F" w:rsidRDefault="00664D5F" w:rsidP="00664D5F">
      <w:pPr>
        <w:pStyle w:val="NoSpacing"/>
        <w:numPr>
          <w:ilvl w:val="0"/>
          <w:numId w:val="1"/>
        </w:numPr>
      </w:pPr>
      <w:r w:rsidRPr="00A60BF3">
        <w:t xml:space="preserve">Vyas, S., Golub, M. D., </w:t>
      </w:r>
      <w:proofErr w:type="spellStart"/>
      <w:r w:rsidRPr="00A60BF3">
        <w:t>Sussillo</w:t>
      </w:r>
      <w:proofErr w:type="spellEnd"/>
      <w:r w:rsidRPr="00A60BF3">
        <w:t>, D., &amp; Shenoy, K. V. (2020). Computation through neural population dynamics. </w:t>
      </w:r>
      <w:r w:rsidRPr="00664D5F">
        <w:rPr>
          <w:i/>
          <w:iCs/>
        </w:rPr>
        <w:t>Annual review of neuroscience</w:t>
      </w:r>
      <w:r w:rsidRPr="00A60BF3">
        <w:t>, </w:t>
      </w:r>
      <w:r w:rsidRPr="00664D5F">
        <w:rPr>
          <w:i/>
          <w:iCs/>
        </w:rPr>
        <w:t>43</w:t>
      </w:r>
      <w:r w:rsidRPr="00A60BF3">
        <w:t>(1), 249-275</w:t>
      </w:r>
    </w:p>
    <w:p w14:paraId="7B495FB0" w14:textId="42823A96" w:rsidR="00664D5F" w:rsidRDefault="00664D5F" w:rsidP="00664D5F">
      <w:pPr>
        <w:pStyle w:val="NoSpacing"/>
        <w:numPr>
          <w:ilvl w:val="0"/>
          <w:numId w:val="1"/>
        </w:numPr>
      </w:pPr>
      <w:r w:rsidRPr="008B5BC0">
        <w:t>Hurwitz, C. L., Kudryashova, N. N., Onken, A. &amp; Hennig, M. H. Building population models</w:t>
      </w:r>
      <w:r>
        <w:t xml:space="preserve"> </w:t>
      </w:r>
      <w:r w:rsidRPr="008B5BC0">
        <w:t xml:space="preserve">for large-scale neural recordings: opportunities and pitfalls. </w:t>
      </w:r>
      <w:r w:rsidRPr="00664D5F">
        <w:rPr>
          <w:i/>
          <w:iCs/>
        </w:rPr>
        <w:t xml:space="preserve">Curr. </w:t>
      </w:r>
      <w:proofErr w:type="spellStart"/>
      <w:r w:rsidRPr="00664D5F">
        <w:rPr>
          <w:i/>
          <w:iCs/>
        </w:rPr>
        <w:t>Opin</w:t>
      </w:r>
      <w:proofErr w:type="spellEnd"/>
      <w:r w:rsidRPr="00664D5F">
        <w:rPr>
          <w:i/>
          <w:iCs/>
        </w:rPr>
        <w:t xml:space="preserve">. </w:t>
      </w:r>
      <w:proofErr w:type="spellStart"/>
      <w:r w:rsidRPr="00664D5F">
        <w:rPr>
          <w:i/>
          <w:iCs/>
        </w:rPr>
        <w:t>Neurobiol</w:t>
      </w:r>
      <w:proofErr w:type="spellEnd"/>
      <w:r w:rsidRPr="00664D5F">
        <w:rPr>
          <w:i/>
          <w:iCs/>
        </w:rPr>
        <w:t xml:space="preserve">. </w:t>
      </w:r>
      <w:r w:rsidRPr="008B5BC0">
        <w:t>70,</w:t>
      </w:r>
      <w:r>
        <w:t xml:space="preserve"> </w:t>
      </w:r>
      <w:r w:rsidRPr="008B5BC0">
        <w:t>64–73 (2021).</w:t>
      </w:r>
    </w:p>
    <w:p w14:paraId="5D16B2E9" w14:textId="307188F7" w:rsidR="00664D5F" w:rsidRDefault="00664D5F" w:rsidP="00664D5F">
      <w:pPr>
        <w:pStyle w:val="NoSpacing"/>
        <w:numPr>
          <w:ilvl w:val="0"/>
          <w:numId w:val="1"/>
        </w:numPr>
      </w:pPr>
      <w:r>
        <w:t>N. Wahlstrom, Scho</w:t>
      </w:r>
      <w:r w:rsidR="004524DA">
        <w:t>n</w:t>
      </w:r>
      <w:r>
        <w:t xml:space="preserve"> T. B., and M. P. Deisenroth. From pixels to torques: Policy learning with deep dynamical models. Deep Learning Workshop at the 32nd International Conference on Machine Learning ICML 2015, 2015.</w:t>
      </w:r>
    </w:p>
    <w:p w14:paraId="1625D4F5" w14:textId="268644DD" w:rsidR="00664D5F" w:rsidRDefault="00664D5F" w:rsidP="00664D5F">
      <w:pPr>
        <w:pStyle w:val="NoSpacing"/>
        <w:numPr>
          <w:ilvl w:val="0"/>
          <w:numId w:val="1"/>
        </w:numPr>
      </w:pPr>
      <w:r>
        <w:t>Manuel Watter, Jost Springenberg, Joschka Boedecker, and Martin Riedmiller. Embed to control: A locally linear latent dynamics model for control from raw im575 ages. In C. Cortes, N. Lawrence, D. Lee, M. Sugiyama, and R. Garnett, editors, Advances in Neural Information Processing Systems, volume 28. Curran Associates, Inc., 2015.</w:t>
      </w:r>
    </w:p>
    <w:p w14:paraId="4B813CB2" w14:textId="4E4B3270" w:rsidR="00664D5F" w:rsidRDefault="00664D5F" w:rsidP="00664D5F">
      <w:pPr>
        <w:pStyle w:val="NoSpacing"/>
        <w:numPr>
          <w:ilvl w:val="0"/>
          <w:numId w:val="1"/>
        </w:numPr>
      </w:pPr>
      <w:r>
        <w:t xml:space="preserve">Chethan Pandarinath, Daniel J. O’Shea, Jasmine Collins, Rafal Jozefowicz, Sergey </w:t>
      </w:r>
      <w:proofErr w:type="spellStart"/>
      <w:proofErr w:type="gramStart"/>
      <w:r>
        <w:t>D.Stavisky</w:t>
      </w:r>
      <w:proofErr w:type="spellEnd"/>
      <w:proofErr w:type="gramEnd"/>
      <w:r>
        <w:t>, Jonathan C. Kao, Eric M. Trautmann, Matthew T. Kaufman, Stephen I. Ryu,</w:t>
      </w:r>
      <w:r w:rsidR="004524DA">
        <w:t xml:space="preserve"> </w:t>
      </w:r>
      <w:r>
        <w:t xml:space="preserve">Leigh R. Hochberg, Jaimie M. Henderson, Krishna V. Shenoy, L. F. Abbott, and David Sussillo. Inferring single-trial neural population dynamics using sequential autoencoders. Nature Methods, 15(10):805–815, September 2018. </w:t>
      </w:r>
      <w:proofErr w:type="spellStart"/>
      <w:r>
        <w:t>doi</w:t>
      </w:r>
      <w:proofErr w:type="spellEnd"/>
      <w:r>
        <w:t>: 10.1038/s41592-018-0109-9.</w:t>
      </w:r>
    </w:p>
    <w:p w14:paraId="3737DC24" w14:textId="0BC6377B" w:rsidR="00EE2501" w:rsidRDefault="00EE2501" w:rsidP="00EE2501">
      <w:pPr>
        <w:pStyle w:val="NoSpacing"/>
        <w:numPr>
          <w:ilvl w:val="0"/>
          <w:numId w:val="1"/>
        </w:numPr>
      </w:pPr>
      <w:r>
        <w:t>Ste</w:t>
      </w:r>
      <w:r w:rsidR="004524DA">
        <w:rPr>
          <w:rFonts w:ascii="Cambria Math" w:hAnsi="Cambria Math" w:cs="Cambria Math"/>
        </w:rPr>
        <w:t>v</w:t>
      </w:r>
      <w:r>
        <w:t xml:space="preserve">en Schneider, Jin Hwa Lee, and Mackenzie Weygandt Mathis. Learnable latent embeddings for joint behavioural and neural analysis. Nature, 617(7960):360–368, May 2023. </w:t>
      </w:r>
      <w:proofErr w:type="spellStart"/>
      <w:r>
        <w:t>doi</w:t>
      </w:r>
      <w:proofErr w:type="spellEnd"/>
      <w:r>
        <w:t>: 10.1038/s41586-023-06031-6.</w:t>
      </w:r>
    </w:p>
    <w:p w14:paraId="7AF8CC2F" w14:textId="620F8350" w:rsidR="00E17068" w:rsidRDefault="00E17068" w:rsidP="00EE2501">
      <w:pPr>
        <w:pStyle w:val="NoSpacing"/>
        <w:numPr>
          <w:ilvl w:val="0"/>
          <w:numId w:val="1"/>
        </w:numPr>
      </w:pPr>
      <w:r w:rsidRPr="00E17068">
        <w:t>Mathis, M. W., &amp; Mathis, A. (2026). Joint modelling of brain and behaviour dynamics with artificial intelligence. </w:t>
      </w:r>
      <w:r w:rsidRPr="00E17068">
        <w:rPr>
          <w:i/>
          <w:iCs/>
        </w:rPr>
        <w:t>Nature Reviews Neuroscience</w:t>
      </w:r>
      <w:r w:rsidRPr="00E17068">
        <w:t>, </w:t>
      </w:r>
      <w:r w:rsidRPr="00E17068">
        <w:rPr>
          <w:i/>
          <w:iCs/>
        </w:rPr>
        <w:t>27</w:t>
      </w:r>
      <w:r w:rsidRPr="00E17068">
        <w:t>(2), 87-100.</w:t>
      </w:r>
    </w:p>
    <w:p w14:paraId="3A857C76" w14:textId="20FB1AFC" w:rsidR="00E17068" w:rsidRDefault="00E17068" w:rsidP="00E17068">
      <w:pPr>
        <w:pStyle w:val="NoSpacing"/>
        <w:numPr>
          <w:ilvl w:val="0"/>
          <w:numId w:val="1"/>
        </w:numPr>
      </w:pPr>
      <w:r>
        <w:t>Schneider, S., Lee, J. H. &amp; Mathis, M. W. Learnable latent embeddings for joint behavioural and neural analysis. Nature 617, 360–368 (2023).</w:t>
      </w:r>
    </w:p>
    <w:p w14:paraId="2B8358CE" w14:textId="77777777" w:rsidR="002837C5" w:rsidRDefault="002837C5" w:rsidP="002837C5">
      <w:pPr>
        <w:pStyle w:val="NoSpacing"/>
        <w:numPr>
          <w:ilvl w:val="0"/>
          <w:numId w:val="1"/>
        </w:numPr>
      </w:pPr>
      <w:r>
        <w:t>Hyvärinen, A. &amp; Pajunen, P. Nonlinear independent component analysis: Existence and</w:t>
      </w:r>
    </w:p>
    <w:p w14:paraId="01C1CDE0" w14:textId="5983C539" w:rsidR="002837C5" w:rsidRDefault="002837C5" w:rsidP="002837C5">
      <w:pPr>
        <w:pStyle w:val="NoSpacing"/>
        <w:ind w:left="720"/>
      </w:pPr>
      <w:r>
        <w:t xml:space="preserve">uniqueness results. Neural </w:t>
      </w:r>
      <w:proofErr w:type="spellStart"/>
      <w:r>
        <w:t>Netw</w:t>
      </w:r>
      <w:proofErr w:type="spellEnd"/>
      <w:r>
        <w:t>. 12, 429–439 (1999).</w:t>
      </w:r>
    </w:p>
    <w:p w14:paraId="27CF5AA3" w14:textId="18168136" w:rsidR="00360715" w:rsidRPr="00360715" w:rsidRDefault="002837C5" w:rsidP="00360715">
      <w:pPr>
        <w:pStyle w:val="NoSpacing"/>
        <w:numPr>
          <w:ilvl w:val="0"/>
          <w:numId w:val="1"/>
        </w:numPr>
      </w:pPr>
      <w:r>
        <w:t>Lipton, Z. C. The mythos of model interpretability: in machine learning, the concept of interpretability is both important and slippery. Queue 16, 31–57 (2018).</w:t>
      </w:r>
    </w:p>
    <w:p w14:paraId="59821B68" w14:textId="6E9C57F6" w:rsidR="00360715" w:rsidRDefault="00360715" w:rsidP="002837C5">
      <w:pPr>
        <w:pStyle w:val="NoSpacing"/>
        <w:numPr>
          <w:ilvl w:val="0"/>
          <w:numId w:val="1"/>
        </w:numPr>
      </w:pPr>
      <w:r w:rsidRPr="00360715">
        <w:t>Anderson, D. J., &amp; Perona, P. (2014). Toward a science of computational ethology. </w:t>
      </w:r>
      <w:r w:rsidRPr="00360715">
        <w:rPr>
          <w:i/>
          <w:iCs/>
        </w:rPr>
        <w:t>Neuron</w:t>
      </w:r>
      <w:r w:rsidRPr="00360715">
        <w:t>, </w:t>
      </w:r>
      <w:r w:rsidRPr="00360715">
        <w:rPr>
          <w:i/>
          <w:iCs/>
        </w:rPr>
        <w:t>84</w:t>
      </w:r>
      <w:r w:rsidRPr="00360715">
        <w:t>(1), 18-31.</w:t>
      </w:r>
    </w:p>
    <w:p w14:paraId="7367D423" w14:textId="39B391E1" w:rsidR="00360715" w:rsidRDefault="00360715" w:rsidP="002837C5">
      <w:pPr>
        <w:pStyle w:val="NoSpacing"/>
        <w:numPr>
          <w:ilvl w:val="0"/>
          <w:numId w:val="1"/>
        </w:numPr>
      </w:pPr>
      <w:r w:rsidRPr="00360715">
        <w:t>Briggman, K. L., Abarbanel, H. D., &amp; Kristan Jr, W. B. (2005). Optical imaging of neuronal populations during decision-making. </w:t>
      </w:r>
      <w:r w:rsidRPr="00360715">
        <w:rPr>
          <w:i/>
          <w:iCs/>
        </w:rPr>
        <w:t>Science</w:t>
      </w:r>
      <w:r w:rsidRPr="00360715">
        <w:t>, </w:t>
      </w:r>
      <w:r w:rsidRPr="00360715">
        <w:rPr>
          <w:i/>
          <w:iCs/>
        </w:rPr>
        <w:t>307</w:t>
      </w:r>
      <w:r w:rsidRPr="00360715">
        <w:t>(5711), 896-901.</w:t>
      </w:r>
    </w:p>
    <w:p w14:paraId="2B8E34B3" w14:textId="5D7DFAC0" w:rsidR="00360715" w:rsidRDefault="00360715" w:rsidP="002837C5">
      <w:pPr>
        <w:pStyle w:val="NoSpacing"/>
        <w:numPr>
          <w:ilvl w:val="0"/>
          <w:numId w:val="1"/>
        </w:numPr>
      </w:pPr>
      <w:r w:rsidRPr="00360715">
        <w:t xml:space="preserve">Churchland, M. M., Cunningham, J. P., Kaufman, M. T., Foster, J. D., </w:t>
      </w:r>
      <w:proofErr w:type="spellStart"/>
      <w:r w:rsidRPr="00360715">
        <w:t>Nuyujukian</w:t>
      </w:r>
      <w:proofErr w:type="spellEnd"/>
      <w:r w:rsidRPr="00360715">
        <w:t>, P., Ryu, S. I., &amp; Shenoy, K. V. (2012). Neural population dynamics during reaching. </w:t>
      </w:r>
      <w:r w:rsidRPr="00360715">
        <w:rPr>
          <w:i/>
          <w:iCs/>
        </w:rPr>
        <w:t>Nature</w:t>
      </w:r>
      <w:r w:rsidRPr="00360715">
        <w:t>, </w:t>
      </w:r>
      <w:r w:rsidRPr="00360715">
        <w:rPr>
          <w:i/>
          <w:iCs/>
        </w:rPr>
        <w:t>487</w:t>
      </w:r>
      <w:r w:rsidRPr="00360715">
        <w:t>(7405), 51-56.</w:t>
      </w:r>
    </w:p>
    <w:p w14:paraId="2184B6C3" w14:textId="1165EF99" w:rsidR="00360715" w:rsidRDefault="00360715" w:rsidP="002837C5">
      <w:pPr>
        <w:pStyle w:val="NoSpacing"/>
        <w:numPr>
          <w:ilvl w:val="0"/>
          <w:numId w:val="1"/>
        </w:numPr>
      </w:pPr>
      <w:r w:rsidRPr="00360715">
        <w:t>Mante, V., Sussillo, D., Shenoy, K. V., &amp; Newsome, W. T. (2013). Context-dependent computation by recurrent dynamics in prefrontal cortex. </w:t>
      </w:r>
      <w:r w:rsidRPr="00360715">
        <w:rPr>
          <w:i/>
          <w:iCs/>
        </w:rPr>
        <w:t>nature</w:t>
      </w:r>
      <w:r w:rsidRPr="00360715">
        <w:t>, </w:t>
      </w:r>
      <w:r w:rsidRPr="00360715">
        <w:rPr>
          <w:i/>
          <w:iCs/>
        </w:rPr>
        <w:t>503</w:t>
      </w:r>
      <w:r w:rsidRPr="00360715">
        <w:t>(7474), 78-84.</w:t>
      </w:r>
    </w:p>
    <w:p w14:paraId="6DB022F4" w14:textId="794DE7B1" w:rsidR="002837C5" w:rsidRDefault="00360715" w:rsidP="002837C5">
      <w:pPr>
        <w:pStyle w:val="NoSpacing"/>
        <w:numPr>
          <w:ilvl w:val="0"/>
          <w:numId w:val="1"/>
        </w:numPr>
      </w:pPr>
      <w:r>
        <w:t xml:space="preserve">Shenoy KV, Sahani M, Churchland MM. 2013. Cortical control of arm movements: a dynamical systems perspective. Annu. Rev. </w:t>
      </w:r>
      <w:proofErr w:type="spellStart"/>
      <w:r>
        <w:t>Neurosci</w:t>
      </w:r>
      <w:proofErr w:type="spellEnd"/>
      <w:r>
        <w:t>. 36:337–59</w:t>
      </w:r>
    </w:p>
    <w:p w14:paraId="6D216121" w14:textId="11731ACC" w:rsidR="00360715" w:rsidRDefault="00360715" w:rsidP="00360715">
      <w:pPr>
        <w:pStyle w:val="NoSpacing"/>
        <w:numPr>
          <w:ilvl w:val="0"/>
          <w:numId w:val="1"/>
        </w:numPr>
      </w:pPr>
      <w:r>
        <w:lastRenderedPageBreak/>
        <w:t xml:space="preserve">Kato S, Kaplan H, </w:t>
      </w:r>
      <w:proofErr w:type="spellStart"/>
      <w:r>
        <w:t>Schrödel</w:t>
      </w:r>
      <w:proofErr w:type="spellEnd"/>
      <w:r>
        <w:t xml:space="preserve"> T… Global Brain Dynamics Embed the Motor Command Sequence of Caenorhabditis elegans Cell, 2015; 163, 656-669</w:t>
      </w:r>
    </w:p>
    <w:p w14:paraId="619EA262" w14:textId="4199B6D7" w:rsidR="00664D5F" w:rsidRDefault="00A82411" w:rsidP="00664D5F">
      <w:pPr>
        <w:pStyle w:val="NoSpacing"/>
        <w:numPr>
          <w:ilvl w:val="0"/>
          <w:numId w:val="1"/>
        </w:numPr>
      </w:pPr>
      <w:r w:rsidRPr="00A82411">
        <w:t>Seung, H. S. (1996). How the brain keeps the eyes still. </w:t>
      </w:r>
      <w:r w:rsidRPr="00A82411">
        <w:rPr>
          <w:i/>
          <w:iCs/>
        </w:rPr>
        <w:t>Proceedings of the National Academy of Sciences</w:t>
      </w:r>
      <w:r w:rsidRPr="00A82411">
        <w:t>, </w:t>
      </w:r>
      <w:r w:rsidRPr="00A82411">
        <w:rPr>
          <w:i/>
          <w:iCs/>
        </w:rPr>
        <w:t>93</w:t>
      </w:r>
      <w:r w:rsidRPr="00A82411">
        <w:t>(23), 13339-13344.</w:t>
      </w:r>
    </w:p>
    <w:p w14:paraId="72242895" w14:textId="34FB43D6" w:rsidR="00953B3C" w:rsidRDefault="00953B3C" w:rsidP="00664D5F">
      <w:pPr>
        <w:pStyle w:val="NoSpacing"/>
        <w:numPr>
          <w:ilvl w:val="0"/>
          <w:numId w:val="1"/>
        </w:numPr>
      </w:pPr>
      <w:r w:rsidRPr="00953B3C">
        <w:t xml:space="preserve">Pang, R., Lansdell, B. J., &amp; </w:t>
      </w:r>
      <w:proofErr w:type="spellStart"/>
      <w:r w:rsidRPr="00953B3C">
        <w:t>Fairhall</w:t>
      </w:r>
      <w:proofErr w:type="spellEnd"/>
      <w:r w:rsidRPr="00953B3C">
        <w:t>, A. L. (2016). Dimensionality reduction in neuroscience. </w:t>
      </w:r>
      <w:r w:rsidRPr="00953B3C">
        <w:rPr>
          <w:i/>
          <w:iCs/>
        </w:rPr>
        <w:t>Current Biology</w:t>
      </w:r>
      <w:r w:rsidRPr="00953B3C">
        <w:t>, </w:t>
      </w:r>
      <w:r w:rsidRPr="00953B3C">
        <w:rPr>
          <w:i/>
          <w:iCs/>
        </w:rPr>
        <w:t>26</w:t>
      </w:r>
      <w:r w:rsidRPr="00953B3C">
        <w:t>(14), R656-R660.</w:t>
      </w:r>
    </w:p>
    <w:p w14:paraId="7C3C1664" w14:textId="42BD618E" w:rsidR="00363969" w:rsidRDefault="00973ABA" w:rsidP="00664D5F">
      <w:pPr>
        <w:pStyle w:val="NoSpacing"/>
        <w:numPr>
          <w:ilvl w:val="0"/>
          <w:numId w:val="1"/>
        </w:numPr>
      </w:pPr>
      <w:r w:rsidRPr="00973ABA">
        <w:t xml:space="preserve">Karl Pearson. </w:t>
      </w:r>
      <w:proofErr w:type="spellStart"/>
      <w:r w:rsidRPr="00973ABA">
        <w:t>Liii</w:t>
      </w:r>
      <w:proofErr w:type="spellEnd"/>
      <w:r w:rsidRPr="00973ABA">
        <w:t>. on lines and planes of closest fit to systems of points in space. The</w:t>
      </w:r>
      <w:r>
        <w:t xml:space="preserve"> </w:t>
      </w:r>
      <w:r w:rsidRPr="00973ABA">
        <w:t>London, Edinburgh, and Dublin Philosophical Magazine and Journal of Science, 2(11):</w:t>
      </w:r>
      <w:r w:rsidRPr="00973ABA">
        <w:rPr>
          <w:rFonts w:ascii="CMSS10" w:hAnsi="CMSS10" w:cs="CMSS10"/>
          <w:kern w:val="0"/>
          <w:sz w:val="20"/>
          <w:szCs w:val="20"/>
        </w:rPr>
        <w:t xml:space="preserve"> </w:t>
      </w:r>
      <w:r w:rsidRPr="00973ABA">
        <w:t xml:space="preserve">559–572, 1901. </w:t>
      </w:r>
      <w:proofErr w:type="spellStart"/>
      <w:r w:rsidRPr="00973ABA">
        <w:t>doi</w:t>
      </w:r>
      <w:proofErr w:type="spellEnd"/>
      <w:r w:rsidRPr="00973ABA">
        <w:t>: 10.1080/14786440109462720.</w:t>
      </w:r>
    </w:p>
    <w:p w14:paraId="4DC9560A" w14:textId="77777777" w:rsidR="00643E64" w:rsidRDefault="00291AB6" w:rsidP="00664D5F">
      <w:pPr>
        <w:pStyle w:val="NoSpacing"/>
        <w:numPr>
          <w:ilvl w:val="0"/>
          <w:numId w:val="1"/>
        </w:numPr>
      </w:pPr>
      <w:r w:rsidRPr="00291AB6">
        <w:t>Spearman, C. (1904). 'General intelligence,' objectively determined and measured. </w:t>
      </w:r>
      <w:r w:rsidRPr="00291AB6">
        <w:rPr>
          <w:i/>
          <w:iCs/>
        </w:rPr>
        <w:t>The American Journal of Psychology, 15</w:t>
      </w:r>
      <w:r w:rsidRPr="00291AB6">
        <w:t>(2), 201–293.</w:t>
      </w:r>
    </w:p>
    <w:p w14:paraId="1F7E22F9" w14:textId="328BE987" w:rsidR="00291AB6" w:rsidRDefault="00643E64" w:rsidP="00664D5F">
      <w:pPr>
        <w:pStyle w:val="NoSpacing"/>
        <w:numPr>
          <w:ilvl w:val="0"/>
          <w:numId w:val="1"/>
        </w:numPr>
      </w:pPr>
      <w:r w:rsidRPr="00643E64">
        <w:t xml:space="preserve">Kruskal, J. B. (1964). Multidimensional scaling by optimizing goodness of fit to a nonmetric hypothesis. </w:t>
      </w:r>
      <w:r w:rsidRPr="00643E64">
        <w:rPr>
          <w:i/>
          <w:iCs/>
        </w:rPr>
        <w:t>Psychometrika</w:t>
      </w:r>
      <w:r w:rsidRPr="00643E64">
        <w:t>, 29(1), 1–27.</w:t>
      </w:r>
      <w:r w:rsidR="00291AB6" w:rsidRPr="00291AB6">
        <w:t> </w:t>
      </w:r>
      <w:r w:rsidR="007B2F5F">
        <w:t xml:space="preserve"> </w:t>
      </w:r>
    </w:p>
    <w:p w14:paraId="63587E9E" w14:textId="1CD5A169" w:rsidR="005F3316" w:rsidRDefault="005F3316" w:rsidP="00664D5F">
      <w:pPr>
        <w:pStyle w:val="NoSpacing"/>
        <w:numPr>
          <w:ilvl w:val="0"/>
          <w:numId w:val="1"/>
        </w:numPr>
      </w:pPr>
      <w:r w:rsidRPr="005F3316">
        <w:t xml:space="preserve">Ahrens, M. B., Li, J. M., </w:t>
      </w:r>
      <w:proofErr w:type="spellStart"/>
      <w:r w:rsidRPr="005F3316">
        <w:t>Orger</w:t>
      </w:r>
      <w:proofErr w:type="spellEnd"/>
      <w:r w:rsidRPr="005F3316">
        <w:t xml:space="preserve">, M. B., Robson, D. N., Schier, A. F., Engert, F., &amp; Portugues, R. (2012). Brain-wide neuronal dynamics during motor adaptation in zebrafish. </w:t>
      </w:r>
      <w:r w:rsidRPr="005F3316">
        <w:rPr>
          <w:i/>
          <w:iCs/>
        </w:rPr>
        <w:t>Nature</w:t>
      </w:r>
      <w:r w:rsidRPr="005F3316">
        <w:t xml:space="preserve">, </w:t>
      </w:r>
      <w:r w:rsidRPr="005F3316">
        <w:rPr>
          <w:i/>
          <w:iCs/>
        </w:rPr>
        <w:t>485</w:t>
      </w:r>
      <w:r w:rsidRPr="005F3316">
        <w:t>(7399), 471–477.</w:t>
      </w:r>
    </w:p>
    <w:p w14:paraId="77958989" w14:textId="2E06FEF6" w:rsidR="00482DD7" w:rsidRDefault="00482DD7" w:rsidP="00664D5F">
      <w:pPr>
        <w:pStyle w:val="NoSpacing"/>
        <w:numPr>
          <w:ilvl w:val="0"/>
          <w:numId w:val="1"/>
        </w:numPr>
      </w:pPr>
      <w:r w:rsidRPr="00482DD7">
        <w:t xml:space="preserve">Cunningham, J. P., &amp; Yu, B. M. (2014). Dimensionality reduction for large-scale neural recordings. </w:t>
      </w:r>
      <w:r w:rsidRPr="00482DD7">
        <w:rPr>
          <w:i/>
          <w:iCs/>
        </w:rPr>
        <w:t>Nature Neuroscience</w:t>
      </w:r>
      <w:r w:rsidRPr="00482DD7">
        <w:t xml:space="preserve">, </w:t>
      </w:r>
      <w:r w:rsidRPr="00482DD7">
        <w:rPr>
          <w:i/>
          <w:iCs/>
        </w:rPr>
        <w:t>17</w:t>
      </w:r>
      <w:r w:rsidRPr="00482DD7">
        <w:t>(11), 1500–1509.</w:t>
      </w:r>
    </w:p>
    <w:p w14:paraId="3E08BA63" w14:textId="77777777" w:rsidR="00DC1FE9" w:rsidRDefault="00DC1FE9" w:rsidP="00DC1FE9">
      <w:pPr>
        <w:pStyle w:val="NoSpacing"/>
        <w:numPr>
          <w:ilvl w:val="0"/>
          <w:numId w:val="1"/>
        </w:numPr>
      </w:pPr>
      <w:r w:rsidRPr="00A60BF3">
        <w:t xml:space="preserve">Kumar, A., </w:t>
      </w:r>
      <w:proofErr w:type="spellStart"/>
      <w:r w:rsidRPr="00A60BF3">
        <w:t>Gilra</w:t>
      </w:r>
      <w:proofErr w:type="spellEnd"/>
      <w:r w:rsidRPr="00A60BF3">
        <w:t xml:space="preserve">, A., Gonzalez-Soto, M., Meunier, A., &amp; Grosse-Wentrup, M. (2023). </w:t>
      </w:r>
      <w:proofErr w:type="spellStart"/>
      <w:r w:rsidRPr="00A60BF3">
        <w:t>Bunddle</w:t>
      </w:r>
      <w:proofErr w:type="spellEnd"/>
      <w:r w:rsidRPr="00A60BF3">
        <w:t>-net: Neuronal manifold learning meets behaviour. </w:t>
      </w:r>
      <w:r w:rsidRPr="00A60BF3">
        <w:rPr>
          <w:i/>
          <w:iCs/>
        </w:rPr>
        <w:t>bioRxiv</w:t>
      </w:r>
      <w:r w:rsidRPr="00A60BF3">
        <w:t>, 2023-08.</w:t>
      </w:r>
      <w:r>
        <w:t xml:space="preserve"> </w:t>
      </w:r>
    </w:p>
    <w:p w14:paraId="449D0E8E" w14:textId="77777777" w:rsidR="00BC42AC" w:rsidRDefault="00D35E94" w:rsidP="00DC1FE9">
      <w:pPr>
        <w:pStyle w:val="NoSpacing"/>
        <w:numPr>
          <w:ilvl w:val="0"/>
          <w:numId w:val="1"/>
        </w:numPr>
      </w:pPr>
      <w:r w:rsidRPr="00D35E94">
        <w:t xml:space="preserve">Tenenbaum, J.B. </w:t>
      </w:r>
      <w:r w:rsidRPr="00D35E94">
        <w:rPr>
          <w:i/>
          <w:iCs/>
        </w:rPr>
        <w:t xml:space="preserve">et al. </w:t>
      </w:r>
      <w:r w:rsidRPr="00D35E94">
        <w:t xml:space="preserve">A global geometric framework for nonlinear dimensionality reduction. </w:t>
      </w:r>
      <w:r w:rsidRPr="00D35E94">
        <w:rPr>
          <w:i/>
          <w:iCs/>
        </w:rPr>
        <w:t xml:space="preserve">Science </w:t>
      </w:r>
      <w:r w:rsidRPr="00D35E94">
        <w:rPr>
          <w:b/>
          <w:bCs/>
        </w:rPr>
        <w:t>290</w:t>
      </w:r>
      <w:r w:rsidRPr="00D35E94">
        <w:t>, 2319–2323 (2000).</w:t>
      </w:r>
    </w:p>
    <w:p w14:paraId="7C7FEC15" w14:textId="76F2330A" w:rsidR="00DC1FE9" w:rsidRDefault="00BC42AC" w:rsidP="00DC1FE9">
      <w:pPr>
        <w:pStyle w:val="NoSpacing"/>
        <w:numPr>
          <w:ilvl w:val="0"/>
          <w:numId w:val="1"/>
        </w:numPr>
      </w:pPr>
      <w:proofErr w:type="spellStart"/>
      <w:r w:rsidRPr="00BC42AC">
        <w:t>Roweis</w:t>
      </w:r>
      <w:proofErr w:type="spellEnd"/>
      <w:r w:rsidRPr="00BC42AC">
        <w:t xml:space="preserve">, S.T. &amp; Saul, L.K. Nonlinear dimensionality reduction by locally linear embedding. </w:t>
      </w:r>
      <w:r w:rsidRPr="00BC42AC">
        <w:rPr>
          <w:i/>
          <w:iCs/>
        </w:rPr>
        <w:t xml:space="preserve">Science </w:t>
      </w:r>
      <w:r w:rsidRPr="00BC42AC">
        <w:rPr>
          <w:b/>
          <w:bCs/>
        </w:rPr>
        <w:t>290</w:t>
      </w:r>
      <w:r w:rsidRPr="00BC42AC">
        <w:t>, 2323–2326 (2000).</w:t>
      </w:r>
    </w:p>
    <w:p w14:paraId="7D842C84" w14:textId="520B28BF" w:rsidR="00B2341B" w:rsidRDefault="00B2341B" w:rsidP="00B2341B">
      <w:pPr>
        <w:pStyle w:val="NoSpacing"/>
        <w:numPr>
          <w:ilvl w:val="0"/>
          <w:numId w:val="1"/>
        </w:numPr>
      </w:pPr>
      <w:r>
        <w:t>Kingma, D. P. &amp; Welling, M. Auto-encoding variational bayes. Preprint at https://doi.org/10.48550/arXiv.1312.6114 (2022).</w:t>
      </w:r>
    </w:p>
    <w:p w14:paraId="002C34C9" w14:textId="633F54BF" w:rsidR="00C17273" w:rsidRDefault="00C17273" w:rsidP="00C17273">
      <w:pPr>
        <w:pStyle w:val="NoSpacing"/>
        <w:numPr>
          <w:ilvl w:val="0"/>
          <w:numId w:val="1"/>
        </w:numPr>
      </w:pPr>
      <w:proofErr w:type="spellStart"/>
      <w:r>
        <w:t>Pandarinath</w:t>
      </w:r>
      <w:proofErr w:type="spellEnd"/>
      <w:r>
        <w:t>, C. et al. Inferring single-trial neural population dynamics using sequential</w:t>
      </w:r>
      <w:r>
        <w:t xml:space="preserve"> </w:t>
      </w:r>
      <w:proofErr w:type="gramStart"/>
      <w:r>
        <w:t>auto-encoders</w:t>
      </w:r>
      <w:proofErr w:type="gramEnd"/>
      <w:r>
        <w:t>. Nat. Methods 15, 805–815 (2018).</w:t>
      </w:r>
    </w:p>
    <w:p w14:paraId="7DFE4787" w14:textId="7E9FBF77" w:rsidR="00C17273" w:rsidRDefault="00C17273" w:rsidP="00C17273">
      <w:pPr>
        <w:pStyle w:val="NoSpacing"/>
        <w:numPr>
          <w:ilvl w:val="0"/>
          <w:numId w:val="1"/>
        </w:numPr>
      </w:pPr>
      <w:proofErr w:type="spellStart"/>
      <w:r>
        <w:t>Keshtkaran</w:t>
      </w:r>
      <w:proofErr w:type="spellEnd"/>
      <w:r>
        <w:t>, M. R. et al. A large-scale neural network training framework for generalized</w:t>
      </w:r>
      <w:r>
        <w:t xml:space="preserve"> </w:t>
      </w:r>
      <w:r>
        <w:t>estimation of single-trial population dynamics. Nat. Methods 19, 1572–1577 (2022).</w:t>
      </w:r>
    </w:p>
    <w:p w14:paraId="56E74E69" w14:textId="3E94F16B" w:rsidR="009B1278" w:rsidRDefault="009B1278" w:rsidP="009B1278">
      <w:pPr>
        <w:pStyle w:val="NoSpacing"/>
        <w:numPr>
          <w:ilvl w:val="0"/>
          <w:numId w:val="1"/>
        </w:numPr>
      </w:pPr>
      <w:r>
        <w:t>Floris Takens. Detecting strange attractors in turbulence. In David Rand and Lai-Sang</w:t>
      </w:r>
      <w:r>
        <w:t xml:space="preserve"> </w:t>
      </w:r>
      <w:r>
        <w:t xml:space="preserve">Young, editors, Dynamical Systems and Turbulence, volume 898 of Lecture Notes in Mathematics, pages 366–381. Springer-Verlag, 1981. </w:t>
      </w:r>
    </w:p>
    <w:p w14:paraId="4B2C869C" w14:textId="37DEED90" w:rsidR="00507C2C" w:rsidRDefault="00507C2C" w:rsidP="009B1278">
      <w:pPr>
        <w:pStyle w:val="NoSpacing"/>
        <w:numPr>
          <w:ilvl w:val="0"/>
          <w:numId w:val="1"/>
        </w:numPr>
      </w:pPr>
      <w:proofErr w:type="spellStart"/>
      <w:r w:rsidRPr="00507C2C">
        <w:t>Puthanveettil</w:t>
      </w:r>
      <w:proofErr w:type="spellEnd"/>
      <w:r w:rsidRPr="00507C2C">
        <w:t xml:space="preserve"> Madathil, A., Luo, X., Liu, Q., Walker, C., Madarkar, R., &amp; Qin, Y. (2025). A review of explainable artificial intelligence in smart manufacturing. </w:t>
      </w:r>
      <w:r w:rsidRPr="00507C2C">
        <w:rPr>
          <w:i/>
          <w:iCs/>
        </w:rPr>
        <w:t>International Journal of Production Research</w:t>
      </w:r>
      <w:r w:rsidRPr="00507C2C">
        <w:t>, </w:t>
      </w:r>
      <w:r w:rsidRPr="00507C2C">
        <w:rPr>
          <w:i/>
          <w:iCs/>
        </w:rPr>
        <w:t>63</w:t>
      </w:r>
      <w:r w:rsidRPr="00507C2C">
        <w:t xml:space="preserve">(23), 8654–8697. </w:t>
      </w:r>
      <w:hyperlink r:id="rId6" w:history="1">
        <w:r w:rsidR="00212D72" w:rsidRPr="007C6765">
          <w:rPr>
            <w:rStyle w:val="Hyperlink"/>
          </w:rPr>
          <w:t>https://doi.org/10.1080/00207543.2025.2513574</w:t>
        </w:r>
      </w:hyperlink>
    </w:p>
    <w:p w14:paraId="0C6B8BCB" w14:textId="0A464F17" w:rsidR="00212D72" w:rsidRDefault="00212D72" w:rsidP="009B1278">
      <w:pPr>
        <w:pStyle w:val="NoSpacing"/>
        <w:numPr>
          <w:ilvl w:val="0"/>
          <w:numId w:val="1"/>
        </w:numPr>
      </w:pPr>
      <w:r w:rsidRPr="00212D72">
        <w:t xml:space="preserve">Alharthi, A. S., </w:t>
      </w:r>
      <w:proofErr w:type="spellStart"/>
      <w:r w:rsidRPr="00212D72">
        <w:t>Alqurashi</w:t>
      </w:r>
      <w:proofErr w:type="spellEnd"/>
      <w:r w:rsidRPr="00212D72">
        <w:t xml:space="preserve">, A., Alharbi, T. E., </w:t>
      </w:r>
      <w:proofErr w:type="spellStart"/>
      <w:r w:rsidRPr="00212D72">
        <w:t>Alammar</w:t>
      </w:r>
      <w:proofErr w:type="spellEnd"/>
      <w:r w:rsidRPr="00212D72">
        <w:t xml:space="preserve">, M. M., Aldosari, N., </w:t>
      </w:r>
      <w:proofErr w:type="spellStart"/>
      <w:r w:rsidRPr="00212D72">
        <w:t>Bouchekara</w:t>
      </w:r>
      <w:proofErr w:type="spellEnd"/>
      <w:r w:rsidRPr="00212D72">
        <w:t xml:space="preserve">, H. R. E. H., </w:t>
      </w:r>
      <w:proofErr w:type="spellStart"/>
      <w:r w:rsidRPr="00212D72">
        <w:t>Sha’aban</w:t>
      </w:r>
      <w:proofErr w:type="spellEnd"/>
      <w:r w:rsidRPr="00212D72">
        <w:t xml:space="preserve">, Y. A., Shahriar, M. S., &amp; Al Ayidh, A. (2025). Explainable AI for sensor signal interpretation to revolutionize human health monitoring: A review. IEEE Access, 13, 115990–116024. </w:t>
      </w:r>
      <w:hyperlink r:id="rId7" w:history="1">
        <w:r w:rsidR="0058270B" w:rsidRPr="007C6765">
          <w:rPr>
            <w:rStyle w:val="Hyperlink"/>
          </w:rPr>
          <w:t>https://doi.org/10.1109/ACCESS.2025.3585764</w:t>
        </w:r>
      </w:hyperlink>
    </w:p>
    <w:p w14:paraId="0DE4BE4A" w14:textId="16BEBD20" w:rsidR="00E67540" w:rsidRDefault="00E67540" w:rsidP="009B1278">
      <w:pPr>
        <w:pStyle w:val="NoSpacing"/>
        <w:numPr>
          <w:ilvl w:val="0"/>
          <w:numId w:val="1"/>
        </w:numPr>
      </w:pPr>
      <w:r w:rsidRPr="00E67540">
        <w:t>Schneider, S., Laiz, R. G., Filippova, A., Frey, M., &amp; Mathis, M. W. (2025). Time-series attribution maps with regularized contrastive learning. </w:t>
      </w:r>
      <w:proofErr w:type="spellStart"/>
      <w:r w:rsidRPr="00E67540">
        <w:rPr>
          <w:i/>
          <w:iCs/>
        </w:rPr>
        <w:t>ArXiv</w:t>
      </w:r>
      <w:proofErr w:type="spellEnd"/>
      <w:r w:rsidRPr="00E67540">
        <w:t>, arXiv-2502.</w:t>
      </w:r>
    </w:p>
    <w:p w14:paraId="6751ACB4" w14:textId="59A91926" w:rsidR="00275DAC" w:rsidRDefault="00275DAC" w:rsidP="009B1278">
      <w:pPr>
        <w:pStyle w:val="NoSpacing"/>
        <w:numPr>
          <w:ilvl w:val="0"/>
          <w:numId w:val="1"/>
        </w:numPr>
      </w:pPr>
      <w:r w:rsidRPr="00275DAC">
        <w:t>Sundararajan, M., Taly, A., &amp; Yan, Q. (2017, July). Axiomatic attribution for deep networks. In </w:t>
      </w:r>
      <w:r w:rsidRPr="00275DAC">
        <w:rPr>
          <w:i/>
          <w:iCs/>
        </w:rPr>
        <w:t>International conference on machine learning</w:t>
      </w:r>
      <w:r w:rsidRPr="00275DAC">
        <w:t> (pp. 3319-3328). PMLR.</w:t>
      </w:r>
    </w:p>
    <w:p w14:paraId="378718AD" w14:textId="1844F3FA" w:rsidR="00E77733" w:rsidRDefault="00E77733" w:rsidP="009B1278">
      <w:pPr>
        <w:pStyle w:val="NoSpacing"/>
        <w:numPr>
          <w:ilvl w:val="0"/>
          <w:numId w:val="1"/>
        </w:numPr>
      </w:pPr>
      <w:r w:rsidRPr="00E77733">
        <w:t>Lundberg, S. M., &amp; Lee, S. I. (2017). A unified approach to interpreting model predictions. </w:t>
      </w:r>
      <w:r w:rsidRPr="00E77733">
        <w:rPr>
          <w:i/>
          <w:iCs/>
        </w:rPr>
        <w:t>Advances in neural information processing systems</w:t>
      </w:r>
      <w:r w:rsidRPr="00E77733">
        <w:t>, </w:t>
      </w:r>
      <w:r w:rsidRPr="00E77733">
        <w:rPr>
          <w:i/>
          <w:iCs/>
        </w:rPr>
        <w:t>30</w:t>
      </w:r>
      <w:r w:rsidRPr="00E77733">
        <w:t>.</w:t>
      </w:r>
    </w:p>
    <w:p w14:paraId="2F37675F" w14:textId="35F7F733" w:rsidR="0058270B" w:rsidRDefault="0058270B" w:rsidP="009B1278">
      <w:pPr>
        <w:pStyle w:val="NoSpacing"/>
        <w:numPr>
          <w:ilvl w:val="0"/>
          <w:numId w:val="1"/>
        </w:numPr>
      </w:pPr>
      <w:r w:rsidRPr="0058270B">
        <w:lastRenderedPageBreak/>
        <w:t xml:space="preserve">Rahman, M. M., Mahmood, U., Lewis, N., </w:t>
      </w:r>
      <w:proofErr w:type="spellStart"/>
      <w:r w:rsidRPr="0058270B">
        <w:t>Gazula</w:t>
      </w:r>
      <w:proofErr w:type="spellEnd"/>
      <w:r w:rsidRPr="0058270B">
        <w:t xml:space="preserve">, H., Fedorov, A., Fu, Z., Calhoun, V. D., &amp; </w:t>
      </w:r>
      <w:proofErr w:type="spellStart"/>
      <w:r w:rsidRPr="0058270B">
        <w:t>Plis</w:t>
      </w:r>
      <w:proofErr w:type="spellEnd"/>
      <w:r w:rsidRPr="0058270B">
        <w:t xml:space="preserve">, S. M. (2022). Interpreting models interpreting brain dynamics. Scientific Reports, 12, 12023. </w:t>
      </w:r>
      <w:hyperlink r:id="rId8" w:history="1">
        <w:r w:rsidR="00CA0061" w:rsidRPr="007C6765">
          <w:rPr>
            <w:rStyle w:val="Hyperlink"/>
          </w:rPr>
          <w:t>https://doi.org/10.1038/s41598-022-15539-2</w:t>
        </w:r>
      </w:hyperlink>
    </w:p>
    <w:p w14:paraId="5E1B0401" w14:textId="417302EC" w:rsidR="009323B4" w:rsidRDefault="009323B4" w:rsidP="009B1278">
      <w:pPr>
        <w:pStyle w:val="NoSpacing"/>
        <w:numPr>
          <w:ilvl w:val="0"/>
          <w:numId w:val="1"/>
        </w:numPr>
      </w:pPr>
      <w:r w:rsidRPr="009323B4">
        <w:t>Zhang, Z., Xie, C., Dong, L. </w:t>
      </w:r>
      <w:r w:rsidRPr="009323B4">
        <w:rPr>
          <w:i/>
          <w:iCs/>
        </w:rPr>
        <w:t>et al.</w:t>
      </w:r>
      <w:r w:rsidRPr="009323B4">
        <w:t> Unveiling state-specific neural dynamics in migraine with and without depressive symptom: a hidden Markov model and interpretable machine learning approach. </w:t>
      </w:r>
      <w:r w:rsidRPr="009323B4">
        <w:rPr>
          <w:i/>
          <w:iCs/>
        </w:rPr>
        <w:t>J Headache Pain</w:t>
      </w:r>
      <w:r w:rsidRPr="009323B4">
        <w:t> </w:t>
      </w:r>
      <w:r w:rsidRPr="009323B4">
        <w:rPr>
          <w:b/>
          <w:bCs/>
        </w:rPr>
        <w:t>27</w:t>
      </w:r>
      <w:r w:rsidRPr="009323B4">
        <w:t xml:space="preserve">, 103 (2026). </w:t>
      </w:r>
      <w:hyperlink r:id="rId9" w:history="1">
        <w:r w:rsidR="00820739" w:rsidRPr="007C6765">
          <w:rPr>
            <w:rStyle w:val="Hyperlink"/>
          </w:rPr>
          <w:t>https://doi.org/10.1186/s10194-026-02320-3</w:t>
        </w:r>
      </w:hyperlink>
    </w:p>
    <w:p w14:paraId="7067A8EA" w14:textId="38D126B3" w:rsidR="00820739" w:rsidRDefault="0011308B" w:rsidP="009B1278">
      <w:pPr>
        <w:pStyle w:val="NoSpacing"/>
        <w:numPr>
          <w:ilvl w:val="0"/>
          <w:numId w:val="1"/>
        </w:numPr>
      </w:pPr>
      <w:r w:rsidRPr="0011308B">
        <w:t>Šarčević, A., &amp; Frid, N. (2026). Comparing Post-Hoc Explainable AI Methods for Interpreting Black-Box EEG Models in Depression Detection. </w:t>
      </w:r>
      <w:proofErr w:type="spellStart"/>
      <w:r w:rsidRPr="0011308B">
        <w:rPr>
          <w:i/>
          <w:iCs/>
        </w:rPr>
        <w:t>arXiv</w:t>
      </w:r>
      <w:proofErr w:type="spellEnd"/>
      <w:r w:rsidRPr="0011308B">
        <w:rPr>
          <w:i/>
          <w:iCs/>
        </w:rPr>
        <w:t xml:space="preserve"> preprint arXiv:2605.28977</w:t>
      </w:r>
      <w:r w:rsidRPr="0011308B">
        <w:t>.</w:t>
      </w:r>
    </w:p>
    <w:p w14:paraId="05B192BD" w14:textId="77777777" w:rsidR="00C17273" w:rsidRDefault="00C17273" w:rsidP="00C17273">
      <w:pPr>
        <w:pStyle w:val="NoSpacing"/>
        <w:ind w:left="720"/>
      </w:pPr>
    </w:p>
    <w:p w14:paraId="1A1AC6CD" w14:textId="77777777" w:rsidR="00DC1FE9" w:rsidRDefault="00DC1FE9" w:rsidP="00DC1FE9">
      <w:pPr>
        <w:pStyle w:val="NoSpacing"/>
      </w:pPr>
    </w:p>
    <w:p w14:paraId="1F252680" w14:textId="77777777" w:rsidR="00DC1FE9" w:rsidRDefault="00DC1FE9" w:rsidP="00DC1FE9">
      <w:pPr>
        <w:pStyle w:val="NoSpacing"/>
      </w:pPr>
    </w:p>
    <w:p w14:paraId="16E3449E" w14:textId="77777777" w:rsidR="00664D5F" w:rsidRDefault="00664D5F" w:rsidP="00664D5F">
      <w:pPr>
        <w:pStyle w:val="NoSpacing"/>
      </w:pPr>
    </w:p>
    <w:p w14:paraId="2D99998F" w14:textId="77777777" w:rsidR="00DC1FE9" w:rsidRDefault="00DC1FE9" w:rsidP="00C87AFC">
      <w:pPr>
        <w:pStyle w:val="NoSpacing"/>
      </w:pPr>
    </w:p>
    <w:p w14:paraId="5955C856" w14:textId="2F338CD1" w:rsidR="008B5BC0" w:rsidRPr="002B4F99" w:rsidRDefault="008B5BC0" w:rsidP="008B5BC0">
      <w:pPr>
        <w:pStyle w:val="NoSpacing"/>
      </w:pPr>
    </w:p>
    <w:sectPr w:rsidR="008B5BC0" w:rsidRPr="002B4F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MSS10">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D0A5B"/>
    <w:multiLevelType w:val="multilevel"/>
    <w:tmpl w:val="CD8C0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D66907"/>
    <w:multiLevelType w:val="hybridMultilevel"/>
    <w:tmpl w:val="F04C19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CB01CF"/>
    <w:multiLevelType w:val="hybridMultilevel"/>
    <w:tmpl w:val="2DEE59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1C1DEB"/>
    <w:multiLevelType w:val="hybridMultilevel"/>
    <w:tmpl w:val="2DEE59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53815480">
    <w:abstractNumId w:val="3"/>
  </w:num>
  <w:num w:numId="2" w16cid:durableId="1315642992">
    <w:abstractNumId w:val="1"/>
  </w:num>
  <w:num w:numId="3" w16cid:durableId="430779017">
    <w:abstractNumId w:val="0"/>
  </w:num>
  <w:num w:numId="4" w16cid:durableId="208806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622"/>
    <w:rsid w:val="00002EDE"/>
    <w:rsid w:val="00004BB0"/>
    <w:rsid w:val="00006932"/>
    <w:rsid w:val="00011A4D"/>
    <w:rsid w:val="00017E38"/>
    <w:rsid w:val="000212EA"/>
    <w:rsid w:val="00027055"/>
    <w:rsid w:val="0002739B"/>
    <w:rsid w:val="00027656"/>
    <w:rsid w:val="00027E15"/>
    <w:rsid w:val="000320B5"/>
    <w:rsid w:val="00032CC4"/>
    <w:rsid w:val="00041E3C"/>
    <w:rsid w:val="00053302"/>
    <w:rsid w:val="00054266"/>
    <w:rsid w:val="00056F3E"/>
    <w:rsid w:val="000629AD"/>
    <w:rsid w:val="0006744B"/>
    <w:rsid w:val="00071A00"/>
    <w:rsid w:val="0007767E"/>
    <w:rsid w:val="000776E4"/>
    <w:rsid w:val="00087651"/>
    <w:rsid w:val="000902DE"/>
    <w:rsid w:val="00093DAA"/>
    <w:rsid w:val="000A1DC6"/>
    <w:rsid w:val="000A4FF0"/>
    <w:rsid w:val="000A63BE"/>
    <w:rsid w:val="000A7139"/>
    <w:rsid w:val="000B0372"/>
    <w:rsid w:val="000B3CDA"/>
    <w:rsid w:val="000B4466"/>
    <w:rsid w:val="000B5848"/>
    <w:rsid w:val="000B588D"/>
    <w:rsid w:val="000C410B"/>
    <w:rsid w:val="000C6932"/>
    <w:rsid w:val="000D33AE"/>
    <w:rsid w:val="000D42F7"/>
    <w:rsid w:val="000D4EDF"/>
    <w:rsid w:val="000E7879"/>
    <w:rsid w:val="00100BCD"/>
    <w:rsid w:val="001108E4"/>
    <w:rsid w:val="0011308B"/>
    <w:rsid w:val="00120558"/>
    <w:rsid w:val="001240E6"/>
    <w:rsid w:val="001319B6"/>
    <w:rsid w:val="0014192C"/>
    <w:rsid w:val="00146762"/>
    <w:rsid w:val="001471E2"/>
    <w:rsid w:val="001578C6"/>
    <w:rsid w:val="00165E0A"/>
    <w:rsid w:val="001663F9"/>
    <w:rsid w:val="001741AF"/>
    <w:rsid w:val="00177C16"/>
    <w:rsid w:val="0018260C"/>
    <w:rsid w:val="001860CA"/>
    <w:rsid w:val="001A1507"/>
    <w:rsid w:val="001A254C"/>
    <w:rsid w:val="001A3815"/>
    <w:rsid w:val="001B0D7F"/>
    <w:rsid w:val="001B1345"/>
    <w:rsid w:val="001B48A8"/>
    <w:rsid w:val="001B7A81"/>
    <w:rsid w:val="001C0138"/>
    <w:rsid w:val="001C11D7"/>
    <w:rsid w:val="001C5A02"/>
    <w:rsid w:val="001D1F71"/>
    <w:rsid w:val="001D26B6"/>
    <w:rsid w:val="001D302F"/>
    <w:rsid w:val="001E4408"/>
    <w:rsid w:val="001E539E"/>
    <w:rsid w:val="001E695B"/>
    <w:rsid w:val="001F0939"/>
    <w:rsid w:val="001F3C02"/>
    <w:rsid w:val="00210FCA"/>
    <w:rsid w:val="00212D72"/>
    <w:rsid w:val="0022440D"/>
    <w:rsid w:val="00224B6C"/>
    <w:rsid w:val="00226428"/>
    <w:rsid w:val="00231467"/>
    <w:rsid w:val="002357F7"/>
    <w:rsid w:val="00236BF7"/>
    <w:rsid w:val="002451A2"/>
    <w:rsid w:val="002472E0"/>
    <w:rsid w:val="002510FE"/>
    <w:rsid w:val="00251258"/>
    <w:rsid w:val="0025442D"/>
    <w:rsid w:val="00254A3F"/>
    <w:rsid w:val="0026302E"/>
    <w:rsid w:val="00264125"/>
    <w:rsid w:val="00272091"/>
    <w:rsid w:val="00275DAC"/>
    <w:rsid w:val="00280B29"/>
    <w:rsid w:val="0028122D"/>
    <w:rsid w:val="00282C54"/>
    <w:rsid w:val="002837C5"/>
    <w:rsid w:val="00291AB6"/>
    <w:rsid w:val="002B1253"/>
    <w:rsid w:val="002B4F99"/>
    <w:rsid w:val="002C0F4E"/>
    <w:rsid w:val="002C237F"/>
    <w:rsid w:val="002D0239"/>
    <w:rsid w:val="002D2B27"/>
    <w:rsid w:val="002E6CC4"/>
    <w:rsid w:val="002F0B97"/>
    <w:rsid w:val="002F13C2"/>
    <w:rsid w:val="002F1890"/>
    <w:rsid w:val="002F3600"/>
    <w:rsid w:val="002F56A3"/>
    <w:rsid w:val="002F70EB"/>
    <w:rsid w:val="00301C90"/>
    <w:rsid w:val="00311704"/>
    <w:rsid w:val="00314DC9"/>
    <w:rsid w:val="00315329"/>
    <w:rsid w:val="00320971"/>
    <w:rsid w:val="003220D5"/>
    <w:rsid w:val="0033269B"/>
    <w:rsid w:val="0035664E"/>
    <w:rsid w:val="00360715"/>
    <w:rsid w:val="00363969"/>
    <w:rsid w:val="0036598E"/>
    <w:rsid w:val="00366622"/>
    <w:rsid w:val="003735D0"/>
    <w:rsid w:val="003743AD"/>
    <w:rsid w:val="00384172"/>
    <w:rsid w:val="00385A75"/>
    <w:rsid w:val="003938D4"/>
    <w:rsid w:val="003B449E"/>
    <w:rsid w:val="003C0559"/>
    <w:rsid w:val="003C0F2E"/>
    <w:rsid w:val="003D063E"/>
    <w:rsid w:val="003D5042"/>
    <w:rsid w:val="003D6328"/>
    <w:rsid w:val="003D773A"/>
    <w:rsid w:val="003E033E"/>
    <w:rsid w:val="003E05B4"/>
    <w:rsid w:val="003E475B"/>
    <w:rsid w:val="003E5728"/>
    <w:rsid w:val="003E582B"/>
    <w:rsid w:val="003E5F1E"/>
    <w:rsid w:val="003F21A5"/>
    <w:rsid w:val="003F63BD"/>
    <w:rsid w:val="004014D7"/>
    <w:rsid w:val="00401DA2"/>
    <w:rsid w:val="00402844"/>
    <w:rsid w:val="004060D3"/>
    <w:rsid w:val="0042127E"/>
    <w:rsid w:val="0042199A"/>
    <w:rsid w:val="00433D18"/>
    <w:rsid w:val="00440A26"/>
    <w:rsid w:val="00451F6E"/>
    <w:rsid w:val="004524DA"/>
    <w:rsid w:val="00463D33"/>
    <w:rsid w:val="00470EC6"/>
    <w:rsid w:val="0047234F"/>
    <w:rsid w:val="00474C8A"/>
    <w:rsid w:val="0047680D"/>
    <w:rsid w:val="00482DD7"/>
    <w:rsid w:val="004836F4"/>
    <w:rsid w:val="00485677"/>
    <w:rsid w:val="00485FF1"/>
    <w:rsid w:val="00487925"/>
    <w:rsid w:val="00496E2E"/>
    <w:rsid w:val="00497802"/>
    <w:rsid w:val="004A1FF7"/>
    <w:rsid w:val="004A3283"/>
    <w:rsid w:val="004A6131"/>
    <w:rsid w:val="004B1D42"/>
    <w:rsid w:val="004B39F7"/>
    <w:rsid w:val="004C6923"/>
    <w:rsid w:val="004D0C54"/>
    <w:rsid w:val="004D525D"/>
    <w:rsid w:val="004E0401"/>
    <w:rsid w:val="004E05E7"/>
    <w:rsid w:val="004F07CB"/>
    <w:rsid w:val="004F592F"/>
    <w:rsid w:val="004F5BCD"/>
    <w:rsid w:val="004F6414"/>
    <w:rsid w:val="00507C2C"/>
    <w:rsid w:val="0051143F"/>
    <w:rsid w:val="00511D66"/>
    <w:rsid w:val="005135DA"/>
    <w:rsid w:val="005143AB"/>
    <w:rsid w:val="00526BDC"/>
    <w:rsid w:val="00526CD5"/>
    <w:rsid w:val="00527681"/>
    <w:rsid w:val="0053695C"/>
    <w:rsid w:val="00554153"/>
    <w:rsid w:val="0055421C"/>
    <w:rsid w:val="00560DC5"/>
    <w:rsid w:val="00560EE0"/>
    <w:rsid w:val="005622A8"/>
    <w:rsid w:val="0056269D"/>
    <w:rsid w:val="00562D68"/>
    <w:rsid w:val="005632A5"/>
    <w:rsid w:val="00564DB0"/>
    <w:rsid w:val="00565188"/>
    <w:rsid w:val="00566BFB"/>
    <w:rsid w:val="00580AB2"/>
    <w:rsid w:val="00582637"/>
    <w:rsid w:val="0058270B"/>
    <w:rsid w:val="0058519F"/>
    <w:rsid w:val="0059147F"/>
    <w:rsid w:val="00594BCD"/>
    <w:rsid w:val="005A551C"/>
    <w:rsid w:val="005A603F"/>
    <w:rsid w:val="005A6333"/>
    <w:rsid w:val="005C3EBC"/>
    <w:rsid w:val="005C4BCA"/>
    <w:rsid w:val="005D2315"/>
    <w:rsid w:val="005E2FD5"/>
    <w:rsid w:val="005E4006"/>
    <w:rsid w:val="005F21F0"/>
    <w:rsid w:val="005F280A"/>
    <w:rsid w:val="005F3316"/>
    <w:rsid w:val="005F60C2"/>
    <w:rsid w:val="0060088C"/>
    <w:rsid w:val="00600E22"/>
    <w:rsid w:val="00607690"/>
    <w:rsid w:val="0061723D"/>
    <w:rsid w:val="006201F2"/>
    <w:rsid w:val="006252B7"/>
    <w:rsid w:val="00632BBE"/>
    <w:rsid w:val="00640267"/>
    <w:rsid w:val="0064186F"/>
    <w:rsid w:val="00643E64"/>
    <w:rsid w:val="00644A2E"/>
    <w:rsid w:val="00653CB8"/>
    <w:rsid w:val="00656B82"/>
    <w:rsid w:val="00661DA0"/>
    <w:rsid w:val="006629C2"/>
    <w:rsid w:val="00664D5F"/>
    <w:rsid w:val="00667CD5"/>
    <w:rsid w:val="0067032B"/>
    <w:rsid w:val="00672388"/>
    <w:rsid w:val="0067686C"/>
    <w:rsid w:val="00681365"/>
    <w:rsid w:val="00685AD5"/>
    <w:rsid w:val="00692D6F"/>
    <w:rsid w:val="006A52C7"/>
    <w:rsid w:val="006B36A7"/>
    <w:rsid w:val="006B61C8"/>
    <w:rsid w:val="006B775A"/>
    <w:rsid w:val="006C7542"/>
    <w:rsid w:val="006D07B9"/>
    <w:rsid w:val="006D21BC"/>
    <w:rsid w:val="006D55EB"/>
    <w:rsid w:val="006D6BBB"/>
    <w:rsid w:val="006E4483"/>
    <w:rsid w:val="006E53BA"/>
    <w:rsid w:val="006E53FC"/>
    <w:rsid w:val="006E5AFF"/>
    <w:rsid w:val="006F6899"/>
    <w:rsid w:val="007049C2"/>
    <w:rsid w:val="007062D4"/>
    <w:rsid w:val="00714F45"/>
    <w:rsid w:val="007165EA"/>
    <w:rsid w:val="007267D4"/>
    <w:rsid w:val="0073041E"/>
    <w:rsid w:val="00731A56"/>
    <w:rsid w:val="007321E5"/>
    <w:rsid w:val="00732D43"/>
    <w:rsid w:val="00740E9B"/>
    <w:rsid w:val="00742C58"/>
    <w:rsid w:val="00745068"/>
    <w:rsid w:val="00754BD5"/>
    <w:rsid w:val="00756DBA"/>
    <w:rsid w:val="00772D82"/>
    <w:rsid w:val="0077484E"/>
    <w:rsid w:val="00775220"/>
    <w:rsid w:val="00775B0B"/>
    <w:rsid w:val="00782353"/>
    <w:rsid w:val="0079227A"/>
    <w:rsid w:val="007922D5"/>
    <w:rsid w:val="007A7141"/>
    <w:rsid w:val="007A7C30"/>
    <w:rsid w:val="007B02C2"/>
    <w:rsid w:val="007B1FBB"/>
    <w:rsid w:val="007B2F5F"/>
    <w:rsid w:val="007B3296"/>
    <w:rsid w:val="007B4525"/>
    <w:rsid w:val="007D1141"/>
    <w:rsid w:val="007D22CB"/>
    <w:rsid w:val="007E119A"/>
    <w:rsid w:val="007F24DA"/>
    <w:rsid w:val="00803330"/>
    <w:rsid w:val="008059EF"/>
    <w:rsid w:val="00812C24"/>
    <w:rsid w:val="0081440E"/>
    <w:rsid w:val="008179C6"/>
    <w:rsid w:val="00820739"/>
    <w:rsid w:val="00820C3B"/>
    <w:rsid w:val="008519F3"/>
    <w:rsid w:val="00855B98"/>
    <w:rsid w:val="008624FB"/>
    <w:rsid w:val="00871A9F"/>
    <w:rsid w:val="00875A68"/>
    <w:rsid w:val="00884E10"/>
    <w:rsid w:val="00886C6E"/>
    <w:rsid w:val="008964EE"/>
    <w:rsid w:val="008A021A"/>
    <w:rsid w:val="008A63E9"/>
    <w:rsid w:val="008A76E3"/>
    <w:rsid w:val="008B5BC0"/>
    <w:rsid w:val="008C12C8"/>
    <w:rsid w:val="008C7AA9"/>
    <w:rsid w:val="008D06CD"/>
    <w:rsid w:val="008D6BA7"/>
    <w:rsid w:val="008E5C3F"/>
    <w:rsid w:val="008E5C83"/>
    <w:rsid w:val="008F306B"/>
    <w:rsid w:val="008F79FE"/>
    <w:rsid w:val="00902346"/>
    <w:rsid w:val="00903D54"/>
    <w:rsid w:val="00910D0C"/>
    <w:rsid w:val="00920580"/>
    <w:rsid w:val="00921DA3"/>
    <w:rsid w:val="00924463"/>
    <w:rsid w:val="00926815"/>
    <w:rsid w:val="00930C0A"/>
    <w:rsid w:val="009323B4"/>
    <w:rsid w:val="00933082"/>
    <w:rsid w:val="0094173B"/>
    <w:rsid w:val="00945F48"/>
    <w:rsid w:val="00953B3C"/>
    <w:rsid w:val="009617F6"/>
    <w:rsid w:val="00972CFF"/>
    <w:rsid w:val="00973A40"/>
    <w:rsid w:val="00973ABA"/>
    <w:rsid w:val="009750F6"/>
    <w:rsid w:val="00976DD1"/>
    <w:rsid w:val="00980682"/>
    <w:rsid w:val="00983596"/>
    <w:rsid w:val="00986D44"/>
    <w:rsid w:val="00992D5C"/>
    <w:rsid w:val="0099551C"/>
    <w:rsid w:val="009A033E"/>
    <w:rsid w:val="009A415E"/>
    <w:rsid w:val="009B1278"/>
    <w:rsid w:val="009B5016"/>
    <w:rsid w:val="009B6ACD"/>
    <w:rsid w:val="009C0241"/>
    <w:rsid w:val="009C1811"/>
    <w:rsid w:val="009D07C2"/>
    <w:rsid w:val="009D08EA"/>
    <w:rsid w:val="009D65F3"/>
    <w:rsid w:val="009E0B69"/>
    <w:rsid w:val="009E147C"/>
    <w:rsid w:val="00A02255"/>
    <w:rsid w:val="00A0354C"/>
    <w:rsid w:val="00A03E4C"/>
    <w:rsid w:val="00A13CDB"/>
    <w:rsid w:val="00A37A01"/>
    <w:rsid w:val="00A440BC"/>
    <w:rsid w:val="00A4736E"/>
    <w:rsid w:val="00A5036F"/>
    <w:rsid w:val="00A60BF3"/>
    <w:rsid w:val="00A74E27"/>
    <w:rsid w:val="00A7744C"/>
    <w:rsid w:val="00A776C8"/>
    <w:rsid w:val="00A82411"/>
    <w:rsid w:val="00A876C3"/>
    <w:rsid w:val="00A91DC6"/>
    <w:rsid w:val="00A95831"/>
    <w:rsid w:val="00AA2BF7"/>
    <w:rsid w:val="00AA3A1E"/>
    <w:rsid w:val="00AB0AF2"/>
    <w:rsid w:val="00AB4335"/>
    <w:rsid w:val="00AD7AB4"/>
    <w:rsid w:val="00AE0B78"/>
    <w:rsid w:val="00AE2F90"/>
    <w:rsid w:val="00AF4897"/>
    <w:rsid w:val="00B04D68"/>
    <w:rsid w:val="00B06AB4"/>
    <w:rsid w:val="00B10B5F"/>
    <w:rsid w:val="00B16326"/>
    <w:rsid w:val="00B2341B"/>
    <w:rsid w:val="00B279A4"/>
    <w:rsid w:val="00B27B4E"/>
    <w:rsid w:val="00B56AF9"/>
    <w:rsid w:val="00B579EF"/>
    <w:rsid w:val="00B57B12"/>
    <w:rsid w:val="00B6603C"/>
    <w:rsid w:val="00B661FC"/>
    <w:rsid w:val="00B755AE"/>
    <w:rsid w:val="00B86486"/>
    <w:rsid w:val="00B90A57"/>
    <w:rsid w:val="00BA531E"/>
    <w:rsid w:val="00BA751E"/>
    <w:rsid w:val="00BB07EF"/>
    <w:rsid w:val="00BC0C74"/>
    <w:rsid w:val="00BC42AC"/>
    <w:rsid w:val="00BC7646"/>
    <w:rsid w:val="00BE3087"/>
    <w:rsid w:val="00BE39DF"/>
    <w:rsid w:val="00BE4A50"/>
    <w:rsid w:val="00BF09D1"/>
    <w:rsid w:val="00BF4C4E"/>
    <w:rsid w:val="00BF648B"/>
    <w:rsid w:val="00C07160"/>
    <w:rsid w:val="00C17273"/>
    <w:rsid w:val="00C17616"/>
    <w:rsid w:val="00C239CF"/>
    <w:rsid w:val="00C27F83"/>
    <w:rsid w:val="00C31FA8"/>
    <w:rsid w:val="00C33C23"/>
    <w:rsid w:val="00C40DAF"/>
    <w:rsid w:val="00C56DEE"/>
    <w:rsid w:val="00C6730D"/>
    <w:rsid w:val="00C711DD"/>
    <w:rsid w:val="00C81A86"/>
    <w:rsid w:val="00C821B2"/>
    <w:rsid w:val="00C86CF6"/>
    <w:rsid w:val="00C8775B"/>
    <w:rsid w:val="00C87AFC"/>
    <w:rsid w:val="00C951E5"/>
    <w:rsid w:val="00C973AE"/>
    <w:rsid w:val="00CA0061"/>
    <w:rsid w:val="00CA0A0D"/>
    <w:rsid w:val="00CB1C6F"/>
    <w:rsid w:val="00CB4795"/>
    <w:rsid w:val="00CB49AA"/>
    <w:rsid w:val="00CC5D91"/>
    <w:rsid w:val="00CC71DE"/>
    <w:rsid w:val="00CD33B1"/>
    <w:rsid w:val="00CE343C"/>
    <w:rsid w:val="00CE67F3"/>
    <w:rsid w:val="00CE7A15"/>
    <w:rsid w:val="00CF13D5"/>
    <w:rsid w:val="00D10E00"/>
    <w:rsid w:val="00D118AA"/>
    <w:rsid w:val="00D14DF0"/>
    <w:rsid w:val="00D1769A"/>
    <w:rsid w:val="00D217E5"/>
    <w:rsid w:val="00D27BB1"/>
    <w:rsid w:val="00D33F9B"/>
    <w:rsid w:val="00D35E94"/>
    <w:rsid w:val="00D41088"/>
    <w:rsid w:val="00D435AB"/>
    <w:rsid w:val="00D44369"/>
    <w:rsid w:val="00D448EA"/>
    <w:rsid w:val="00D52005"/>
    <w:rsid w:val="00D522C9"/>
    <w:rsid w:val="00D539B6"/>
    <w:rsid w:val="00D56804"/>
    <w:rsid w:val="00D56A05"/>
    <w:rsid w:val="00D714FC"/>
    <w:rsid w:val="00D71C0A"/>
    <w:rsid w:val="00D7548D"/>
    <w:rsid w:val="00D804F8"/>
    <w:rsid w:val="00D8223B"/>
    <w:rsid w:val="00D87CE6"/>
    <w:rsid w:val="00D967F7"/>
    <w:rsid w:val="00DB0AD2"/>
    <w:rsid w:val="00DB2CE3"/>
    <w:rsid w:val="00DB2F45"/>
    <w:rsid w:val="00DB3E15"/>
    <w:rsid w:val="00DB423D"/>
    <w:rsid w:val="00DB5821"/>
    <w:rsid w:val="00DB64E8"/>
    <w:rsid w:val="00DC1FE9"/>
    <w:rsid w:val="00DC42DC"/>
    <w:rsid w:val="00DD0AC0"/>
    <w:rsid w:val="00DD671D"/>
    <w:rsid w:val="00DF5816"/>
    <w:rsid w:val="00E10ED0"/>
    <w:rsid w:val="00E1203D"/>
    <w:rsid w:val="00E17068"/>
    <w:rsid w:val="00E22546"/>
    <w:rsid w:val="00E22F58"/>
    <w:rsid w:val="00E442D4"/>
    <w:rsid w:val="00E50D04"/>
    <w:rsid w:val="00E56293"/>
    <w:rsid w:val="00E56C68"/>
    <w:rsid w:val="00E66E13"/>
    <w:rsid w:val="00E67237"/>
    <w:rsid w:val="00E67540"/>
    <w:rsid w:val="00E77733"/>
    <w:rsid w:val="00E80241"/>
    <w:rsid w:val="00E80CAE"/>
    <w:rsid w:val="00E8516D"/>
    <w:rsid w:val="00E93576"/>
    <w:rsid w:val="00E97B90"/>
    <w:rsid w:val="00EA1193"/>
    <w:rsid w:val="00EA757C"/>
    <w:rsid w:val="00EB4E0C"/>
    <w:rsid w:val="00EC0236"/>
    <w:rsid w:val="00EC2B63"/>
    <w:rsid w:val="00ED106D"/>
    <w:rsid w:val="00ED33F3"/>
    <w:rsid w:val="00ED3544"/>
    <w:rsid w:val="00EE09AC"/>
    <w:rsid w:val="00EE2501"/>
    <w:rsid w:val="00EE658C"/>
    <w:rsid w:val="00EF22BE"/>
    <w:rsid w:val="00EF7904"/>
    <w:rsid w:val="00F02253"/>
    <w:rsid w:val="00F06BE6"/>
    <w:rsid w:val="00F13E9C"/>
    <w:rsid w:val="00F162AC"/>
    <w:rsid w:val="00F20DD3"/>
    <w:rsid w:val="00F21CDD"/>
    <w:rsid w:val="00F22343"/>
    <w:rsid w:val="00F23456"/>
    <w:rsid w:val="00F23EA7"/>
    <w:rsid w:val="00F34C16"/>
    <w:rsid w:val="00F36C4D"/>
    <w:rsid w:val="00F37AA4"/>
    <w:rsid w:val="00F40423"/>
    <w:rsid w:val="00F41267"/>
    <w:rsid w:val="00F458CD"/>
    <w:rsid w:val="00F539E7"/>
    <w:rsid w:val="00F5453D"/>
    <w:rsid w:val="00F561BA"/>
    <w:rsid w:val="00F56944"/>
    <w:rsid w:val="00F60D4F"/>
    <w:rsid w:val="00F637B0"/>
    <w:rsid w:val="00F66B9F"/>
    <w:rsid w:val="00F673EE"/>
    <w:rsid w:val="00F7666B"/>
    <w:rsid w:val="00F85E44"/>
    <w:rsid w:val="00F86C55"/>
    <w:rsid w:val="00F91C0B"/>
    <w:rsid w:val="00F94CF7"/>
    <w:rsid w:val="00FA4E30"/>
    <w:rsid w:val="00FA6541"/>
    <w:rsid w:val="00FB4284"/>
    <w:rsid w:val="00FC1C42"/>
    <w:rsid w:val="00FC38C5"/>
    <w:rsid w:val="00FD56CF"/>
    <w:rsid w:val="00FE10CA"/>
    <w:rsid w:val="00FE2756"/>
    <w:rsid w:val="00FE445F"/>
    <w:rsid w:val="00FF2A0E"/>
    <w:rsid w:val="00FF5D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CE142"/>
  <w15:chartTrackingRefBased/>
  <w15:docId w15:val="{0E893936-A89F-4907-8FD2-80E68FD2B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815"/>
    <w:pPr>
      <w:jc w:val="both"/>
    </w:pPr>
    <w:rPr>
      <w:rFonts w:ascii="Times New Roman" w:hAnsi="Times New Roman"/>
    </w:rPr>
  </w:style>
  <w:style w:type="paragraph" w:styleId="Heading1">
    <w:name w:val="heading 1"/>
    <w:basedOn w:val="Normal"/>
    <w:next w:val="Normal"/>
    <w:link w:val="Heading1Char"/>
    <w:uiPriority w:val="9"/>
    <w:qFormat/>
    <w:rsid w:val="001A3815"/>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semiHidden/>
    <w:unhideWhenUsed/>
    <w:qFormat/>
    <w:rsid w:val="00366622"/>
    <w:pPr>
      <w:keepNext/>
      <w:keepLines/>
      <w:spacing w:before="160" w:after="80"/>
      <w:outlineLvl w:val="1"/>
    </w:pPr>
    <w:rPr>
      <w:rFonts w:asciiTheme="majorHAnsi" w:eastAsiaTheme="majorEastAsia" w:hAnsiTheme="majorHAnsi" w:cstheme="majorBidi"/>
      <w:color w:val="B3186D" w:themeColor="accent1" w:themeShade="BF"/>
      <w:sz w:val="32"/>
      <w:szCs w:val="32"/>
    </w:rPr>
  </w:style>
  <w:style w:type="paragraph" w:styleId="Heading3">
    <w:name w:val="heading 3"/>
    <w:basedOn w:val="Normal"/>
    <w:next w:val="Normal"/>
    <w:link w:val="Heading3Char"/>
    <w:uiPriority w:val="9"/>
    <w:semiHidden/>
    <w:unhideWhenUsed/>
    <w:qFormat/>
    <w:rsid w:val="00366622"/>
    <w:pPr>
      <w:keepNext/>
      <w:keepLines/>
      <w:spacing w:before="160" w:after="80"/>
      <w:outlineLvl w:val="2"/>
    </w:pPr>
    <w:rPr>
      <w:rFonts w:eastAsiaTheme="majorEastAsia" w:cstheme="majorBidi"/>
      <w:color w:val="B3186D" w:themeColor="accent1" w:themeShade="BF"/>
      <w:sz w:val="28"/>
      <w:szCs w:val="28"/>
    </w:rPr>
  </w:style>
  <w:style w:type="paragraph" w:styleId="Heading4">
    <w:name w:val="heading 4"/>
    <w:basedOn w:val="Normal"/>
    <w:next w:val="Normal"/>
    <w:link w:val="Heading4Char"/>
    <w:uiPriority w:val="9"/>
    <w:semiHidden/>
    <w:unhideWhenUsed/>
    <w:qFormat/>
    <w:rsid w:val="00366622"/>
    <w:pPr>
      <w:keepNext/>
      <w:keepLines/>
      <w:spacing w:before="80" w:after="40"/>
      <w:outlineLvl w:val="3"/>
    </w:pPr>
    <w:rPr>
      <w:rFonts w:eastAsiaTheme="majorEastAsia" w:cstheme="majorBidi"/>
      <w:i/>
      <w:iCs/>
      <w:color w:val="B3186D" w:themeColor="accent1" w:themeShade="BF"/>
    </w:rPr>
  </w:style>
  <w:style w:type="paragraph" w:styleId="Heading5">
    <w:name w:val="heading 5"/>
    <w:basedOn w:val="Normal"/>
    <w:next w:val="Normal"/>
    <w:link w:val="Heading5Char"/>
    <w:uiPriority w:val="9"/>
    <w:semiHidden/>
    <w:unhideWhenUsed/>
    <w:qFormat/>
    <w:rsid w:val="00366622"/>
    <w:pPr>
      <w:keepNext/>
      <w:keepLines/>
      <w:spacing w:before="80" w:after="40"/>
      <w:outlineLvl w:val="4"/>
    </w:pPr>
    <w:rPr>
      <w:rFonts w:eastAsiaTheme="majorEastAsia" w:cstheme="majorBidi"/>
      <w:color w:val="B3186D" w:themeColor="accent1" w:themeShade="BF"/>
    </w:rPr>
  </w:style>
  <w:style w:type="paragraph" w:styleId="Heading6">
    <w:name w:val="heading 6"/>
    <w:basedOn w:val="Normal"/>
    <w:next w:val="Normal"/>
    <w:link w:val="Heading6Char"/>
    <w:uiPriority w:val="9"/>
    <w:semiHidden/>
    <w:unhideWhenUsed/>
    <w:qFormat/>
    <w:rsid w:val="00366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815"/>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semiHidden/>
    <w:rsid w:val="00366622"/>
    <w:rPr>
      <w:rFonts w:asciiTheme="majorHAnsi" w:eastAsiaTheme="majorEastAsia" w:hAnsiTheme="majorHAnsi" w:cstheme="majorBidi"/>
      <w:color w:val="B3186D" w:themeColor="accent1" w:themeShade="BF"/>
      <w:sz w:val="32"/>
      <w:szCs w:val="32"/>
    </w:rPr>
  </w:style>
  <w:style w:type="character" w:customStyle="1" w:styleId="Heading3Char">
    <w:name w:val="Heading 3 Char"/>
    <w:basedOn w:val="DefaultParagraphFont"/>
    <w:link w:val="Heading3"/>
    <w:uiPriority w:val="9"/>
    <w:semiHidden/>
    <w:rsid w:val="00366622"/>
    <w:rPr>
      <w:rFonts w:eastAsiaTheme="majorEastAsia" w:cstheme="majorBidi"/>
      <w:color w:val="B3186D" w:themeColor="accent1" w:themeShade="BF"/>
      <w:sz w:val="28"/>
      <w:szCs w:val="28"/>
    </w:rPr>
  </w:style>
  <w:style w:type="character" w:customStyle="1" w:styleId="Heading4Char">
    <w:name w:val="Heading 4 Char"/>
    <w:basedOn w:val="DefaultParagraphFont"/>
    <w:link w:val="Heading4"/>
    <w:uiPriority w:val="9"/>
    <w:semiHidden/>
    <w:rsid w:val="00366622"/>
    <w:rPr>
      <w:rFonts w:eastAsiaTheme="majorEastAsia" w:cstheme="majorBidi"/>
      <w:i/>
      <w:iCs/>
      <w:color w:val="B3186D" w:themeColor="accent1" w:themeShade="BF"/>
    </w:rPr>
  </w:style>
  <w:style w:type="character" w:customStyle="1" w:styleId="Heading5Char">
    <w:name w:val="Heading 5 Char"/>
    <w:basedOn w:val="DefaultParagraphFont"/>
    <w:link w:val="Heading5"/>
    <w:uiPriority w:val="9"/>
    <w:semiHidden/>
    <w:rsid w:val="00366622"/>
    <w:rPr>
      <w:rFonts w:eastAsiaTheme="majorEastAsia" w:cstheme="majorBidi"/>
      <w:color w:val="B3186D" w:themeColor="accent1" w:themeShade="BF"/>
    </w:rPr>
  </w:style>
  <w:style w:type="character" w:customStyle="1" w:styleId="Heading6Char">
    <w:name w:val="Heading 6 Char"/>
    <w:basedOn w:val="DefaultParagraphFont"/>
    <w:link w:val="Heading6"/>
    <w:uiPriority w:val="9"/>
    <w:semiHidden/>
    <w:rsid w:val="00366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622"/>
    <w:rPr>
      <w:rFonts w:eastAsiaTheme="majorEastAsia" w:cstheme="majorBidi"/>
      <w:color w:val="272727" w:themeColor="text1" w:themeTint="D8"/>
    </w:rPr>
  </w:style>
  <w:style w:type="paragraph" w:styleId="Title">
    <w:name w:val="Title"/>
    <w:basedOn w:val="Normal"/>
    <w:next w:val="Normal"/>
    <w:link w:val="TitleChar"/>
    <w:uiPriority w:val="10"/>
    <w:qFormat/>
    <w:rsid w:val="00366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622"/>
    <w:pPr>
      <w:spacing w:before="160"/>
      <w:jc w:val="center"/>
    </w:pPr>
    <w:rPr>
      <w:i/>
      <w:iCs/>
      <w:color w:val="404040" w:themeColor="text1" w:themeTint="BF"/>
    </w:rPr>
  </w:style>
  <w:style w:type="character" w:customStyle="1" w:styleId="QuoteChar">
    <w:name w:val="Quote Char"/>
    <w:basedOn w:val="DefaultParagraphFont"/>
    <w:link w:val="Quote"/>
    <w:uiPriority w:val="29"/>
    <w:rsid w:val="00366622"/>
    <w:rPr>
      <w:i/>
      <w:iCs/>
      <w:color w:val="404040" w:themeColor="text1" w:themeTint="BF"/>
    </w:rPr>
  </w:style>
  <w:style w:type="paragraph" w:styleId="ListParagraph">
    <w:name w:val="List Paragraph"/>
    <w:basedOn w:val="Normal"/>
    <w:uiPriority w:val="34"/>
    <w:qFormat/>
    <w:rsid w:val="00366622"/>
    <w:pPr>
      <w:ind w:left="720"/>
      <w:contextualSpacing/>
    </w:pPr>
  </w:style>
  <w:style w:type="character" w:styleId="IntenseEmphasis">
    <w:name w:val="Intense Emphasis"/>
    <w:basedOn w:val="DefaultParagraphFont"/>
    <w:uiPriority w:val="21"/>
    <w:qFormat/>
    <w:rsid w:val="00366622"/>
    <w:rPr>
      <w:i/>
      <w:iCs/>
      <w:color w:val="B3186D" w:themeColor="accent1" w:themeShade="BF"/>
    </w:rPr>
  </w:style>
  <w:style w:type="paragraph" w:styleId="IntenseQuote">
    <w:name w:val="Intense Quote"/>
    <w:basedOn w:val="Normal"/>
    <w:next w:val="Normal"/>
    <w:link w:val="IntenseQuoteChar"/>
    <w:uiPriority w:val="30"/>
    <w:qFormat/>
    <w:rsid w:val="00366622"/>
    <w:pPr>
      <w:pBdr>
        <w:top w:val="single" w:sz="4" w:space="10" w:color="B3186D" w:themeColor="accent1" w:themeShade="BF"/>
        <w:bottom w:val="single" w:sz="4" w:space="10" w:color="B3186D" w:themeColor="accent1" w:themeShade="BF"/>
      </w:pBdr>
      <w:spacing w:before="360" w:after="360"/>
      <w:ind w:left="864" w:right="864"/>
      <w:jc w:val="center"/>
    </w:pPr>
    <w:rPr>
      <w:i/>
      <w:iCs/>
      <w:color w:val="B3186D" w:themeColor="accent1" w:themeShade="BF"/>
    </w:rPr>
  </w:style>
  <w:style w:type="character" w:customStyle="1" w:styleId="IntenseQuoteChar">
    <w:name w:val="Intense Quote Char"/>
    <w:basedOn w:val="DefaultParagraphFont"/>
    <w:link w:val="IntenseQuote"/>
    <w:uiPriority w:val="30"/>
    <w:rsid w:val="00366622"/>
    <w:rPr>
      <w:i/>
      <w:iCs/>
      <w:color w:val="B3186D" w:themeColor="accent1" w:themeShade="BF"/>
    </w:rPr>
  </w:style>
  <w:style w:type="character" w:styleId="IntenseReference">
    <w:name w:val="Intense Reference"/>
    <w:basedOn w:val="DefaultParagraphFont"/>
    <w:uiPriority w:val="32"/>
    <w:qFormat/>
    <w:rsid w:val="00366622"/>
    <w:rPr>
      <w:b/>
      <w:bCs/>
      <w:smallCaps/>
      <w:color w:val="B3186D" w:themeColor="accent1" w:themeShade="BF"/>
      <w:spacing w:val="5"/>
    </w:rPr>
  </w:style>
  <w:style w:type="paragraph" w:styleId="NoSpacing">
    <w:name w:val="No Spacing"/>
    <w:uiPriority w:val="1"/>
    <w:qFormat/>
    <w:rsid w:val="002B4F99"/>
    <w:pPr>
      <w:spacing w:after="0" w:line="240" w:lineRule="auto"/>
      <w:jc w:val="both"/>
    </w:pPr>
    <w:rPr>
      <w:rFonts w:ascii="Times New Roman" w:hAnsi="Times New Roman"/>
    </w:rPr>
  </w:style>
  <w:style w:type="paragraph" w:customStyle="1" w:styleId="export-citationslist-item">
    <w:name w:val="export-citations__list-item"/>
    <w:basedOn w:val="Normal"/>
    <w:rsid w:val="00360715"/>
    <w:pPr>
      <w:spacing w:before="100" w:beforeAutospacing="1" w:after="100" w:afterAutospacing="1" w:line="240" w:lineRule="auto"/>
      <w:jc w:val="left"/>
    </w:pPr>
    <w:rPr>
      <w:rFonts w:eastAsia="Times New Roman" w:cs="Times New Roman"/>
      <w:kern w:val="0"/>
      <w:lang w:eastAsia="en-GB"/>
      <w14:ligatures w14:val="none"/>
    </w:rPr>
  </w:style>
  <w:style w:type="character" w:styleId="Hyperlink">
    <w:name w:val="Hyperlink"/>
    <w:basedOn w:val="DefaultParagraphFont"/>
    <w:uiPriority w:val="99"/>
    <w:unhideWhenUsed/>
    <w:rsid w:val="00291AB6"/>
    <w:rPr>
      <w:color w:val="6B9F25" w:themeColor="hyperlink"/>
      <w:u w:val="single"/>
    </w:rPr>
  </w:style>
  <w:style w:type="character" w:styleId="UnresolvedMention">
    <w:name w:val="Unresolved Mention"/>
    <w:basedOn w:val="DefaultParagraphFont"/>
    <w:uiPriority w:val="99"/>
    <w:semiHidden/>
    <w:unhideWhenUsed/>
    <w:rsid w:val="00291AB6"/>
    <w:rPr>
      <w:color w:val="605E5C"/>
      <w:shd w:val="clear" w:color="auto" w:fill="E1DFDD"/>
    </w:rPr>
  </w:style>
  <w:style w:type="paragraph" w:styleId="NormalWeb">
    <w:name w:val="Normal (Web)"/>
    <w:basedOn w:val="Normal"/>
    <w:uiPriority w:val="99"/>
    <w:semiHidden/>
    <w:unhideWhenUsed/>
    <w:rsid w:val="00BA751E"/>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98-022-15539-2" TargetMode="External"/><Relationship Id="rId3" Type="http://schemas.openxmlformats.org/officeDocument/2006/relationships/styles" Target="styles.xml"/><Relationship Id="rId7" Type="http://schemas.openxmlformats.org/officeDocument/2006/relationships/hyperlink" Target="https://doi.org/10.1109/ACCESS.2025.358576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80/00207543.2025.2513574"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86/s10194-026-02320-3" TargetMode="Externa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5BCE6-EF0C-4566-A8A7-7C0368D38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29966</TotalTime>
  <Pages>9</Pages>
  <Words>3934</Words>
  <Characters>22425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Redko</dc:creator>
  <cp:keywords/>
  <dc:description/>
  <cp:lastModifiedBy>Igor Redko</cp:lastModifiedBy>
  <cp:revision>511</cp:revision>
  <dcterms:created xsi:type="dcterms:W3CDTF">2026-08-05T10:39:00Z</dcterms:created>
  <dcterms:modified xsi:type="dcterms:W3CDTF">2026-08-26T09:57:00Z</dcterms:modified>
</cp:coreProperties>
</file>