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185B6" w14:textId="0C690310" w:rsidR="008F3F1A" w:rsidRDefault="0031387B" w:rsidP="007A3DB6">
      <w:pPr>
        <w:pStyle w:val="Autor"/>
        <w:spacing w:before="1701"/>
      </w:pPr>
      <w:r>
        <w:t>Olga Sieradzan</w:t>
      </w:r>
      <w:r w:rsidR="002868D4">
        <w:rPr>
          <w:rStyle w:val="Odwoanieprzypisudolnego"/>
        </w:rPr>
        <w:footnoteReference w:id="1"/>
      </w:r>
      <w:r w:rsidR="00BD2D1D">
        <w:t>, Jacek Wolak</w:t>
      </w:r>
      <w:r w:rsidR="00BD2D1D">
        <w:rPr>
          <w:rStyle w:val="Odwoanieprzypisudolnego"/>
        </w:rPr>
        <w:footnoteReference w:id="2"/>
      </w:r>
    </w:p>
    <w:p w14:paraId="198381AB" w14:textId="3DE06B1A" w:rsidR="004F068F" w:rsidRDefault="008F3F1A" w:rsidP="008F3F1A">
      <w:pPr>
        <w:pStyle w:val="Nagwek1"/>
      </w:pPr>
      <w:r>
        <w:t>1</w:t>
      </w:r>
      <w:r w:rsidR="00097609">
        <w:t>3</w:t>
      </w:r>
      <w:r w:rsidR="00241F4E">
        <w:t>.</w:t>
      </w:r>
      <w:r w:rsidR="007A3DB6">
        <w:t xml:space="preserve"> </w:t>
      </w:r>
      <w:r w:rsidR="0031387B">
        <w:t>Ryzyko rynkowe na wybranych giełdach</w:t>
      </w:r>
    </w:p>
    <w:p w14:paraId="07941B9A" w14:textId="6EE4294F" w:rsidR="008F3F1A" w:rsidRDefault="00097609" w:rsidP="008F3F1A">
      <w:pPr>
        <w:pStyle w:val="Nagwek2"/>
      </w:pPr>
      <w:r>
        <w:t>13.</w:t>
      </w:r>
      <w:r w:rsidR="008F3F1A">
        <w:t xml:space="preserve">1. </w:t>
      </w:r>
      <w:r w:rsidR="0031387B">
        <w:t>Wprowadzenie</w:t>
      </w:r>
    </w:p>
    <w:p w14:paraId="412947D4" w14:textId="1AF23011" w:rsidR="0031387B" w:rsidRDefault="0031387B" w:rsidP="0031387B">
      <w:r>
        <w:t xml:space="preserve">W ostatnich latach miały miejsce znaczące wydarzenia, które w istotny sposób wpłynęły na zachowanie rynków finansowych w różnych krajach całego globu. Zarówno pandemia COVID-19, jak i wybuch wojny w Ukrainie, znacząco wpłynęły na poczucie bezpieczeństwa inwestorów giełdowych, a konsekwencją była zauważalnie wyższa zmienność indeksów giełdowych. </w:t>
      </w:r>
    </w:p>
    <w:p w14:paraId="6D4381DC" w14:textId="77777777" w:rsidR="0031387B" w:rsidRDefault="0031387B" w:rsidP="0031387B">
      <w:r>
        <w:t>Celem niniejszego opracowania jest sprawdzenie, na ile wspomniane wyżej wydarzenia zmieniły poziom ryzyka rynkowego mierzonego indeksami pięciu wybranych giełd (tj. S&amp;P 500</w:t>
      </w:r>
      <w:r>
        <w:t xml:space="preserve"> </w:t>
      </w:r>
      <w:r>
        <w:t xml:space="preserve">– USA, DAX – Niemcy, WIG20 – Polska, RTSI – Rosja i SS100 – Chiny). Ocena poziomu ryzyka nastąpi na podstawie analizy Value </w:t>
      </w:r>
      <w:proofErr w:type="spellStart"/>
      <w:r>
        <w:t>at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) i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Shortfall</w:t>
      </w:r>
      <w:proofErr w:type="spellEnd"/>
      <w:r>
        <w:t xml:space="preserve"> (ES), które są szeroko stosowanymi miarami ryzyka rynkowego.</w:t>
      </w:r>
    </w:p>
    <w:p w14:paraId="28BAFFA2" w14:textId="425427AD" w:rsidR="0031387B" w:rsidRDefault="0031387B" w:rsidP="0031387B">
      <w:pPr>
        <w:pStyle w:val="Nagwek2"/>
      </w:pPr>
      <w:r>
        <w:t>13.</w:t>
      </w:r>
      <w:r>
        <w:t>2</w:t>
      </w:r>
      <w:r>
        <w:t>. Wprowadzenie</w:t>
      </w:r>
    </w:p>
    <w:p w14:paraId="2B08CC10" w14:textId="0B8955BC" w:rsidR="0031387B" w:rsidRPr="0031387B" w:rsidRDefault="0031387B" w:rsidP="0031387B">
      <w:pPr>
        <w:pStyle w:val="Nagwek3"/>
      </w:pPr>
      <w:r>
        <w:t>Wartość narażona na ryzyko i niedobór oczekiwany</w:t>
      </w:r>
    </w:p>
    <w:p w14:paraId="33463DBB" w14:textId="77777777" w:rsidR="0031387B" w:rsidRDefault="0031387B" w:rsidP="0031387B"/>
    <w:p w14:paraId="08CD4656" w14:textId="63B45A49" w:rsidR="0031387B" w:rsidRDefault="0031387B" w:rsidP="0031387B">
      <w:r>
        <w:t xml:space="preserve">Ryzyko rynkowe odnosi się do potencjalnego wystąpienia strat, które są skutkiem ruchów cenowych na rynkach finansowych i innych rynkach związanych z finansami. Szeroko stosowaną miarą </w:t>
      </w:r>
      <w:r w:rsidR="007A23F8">
        <w:t>[</w:t>
      </w:r>
      <w:r>
        <w:t>Morgan J.P, 1995</w:t>
      </w:r>
      <w:r w:rsidR="007A23F8">
        <w:t>]</w:t>
      </w:r>
      <w:r>
        <w:t xml:space="preserve"> do oszacowania poziomu tego ryzyka jest wartość narażona na ryzyko (</w:t>
      </w:r>
      <w:proofErr w:type="spellStart"/>
      <w:r>
        <w:t>VaR</w:t>
      </w:r>
      <w:proofErr w:type="spellEnd"/>
      <w:r>
        <w:t>), która w języku stóp zwrotu może być zdefiniowana za pomocą wzoru</w:t>
      </w:r>
    </w:p>
    <w:p w14:paraId="4610168D" w14:textId="50A8BBBD" w:rsidR="0031387B" w:rsidRDefault="0031387B" w:rsidP="0031387B">
      <w:pPr>
        <w:pStyle w:val="Wzr"/>
        <w:ind w:left="0"/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P(X≤VaR)=1-α</m:t>
        </m:r>
      </m:oMath>
      <w:r>
        <w:tab/>
        <w:t>(1)</w:t>
      </w:r>
    </w:p>
    <w:p w14:paraId="723DF9BC" w14:textId="4DA015AD" w:rsidR="0031387B" w:rsidRDefault="0031387B" w:rsidP="0031387B">
      <w:pPr>
        <w:ind w:firstLine="0"/>
      </w:pPr>
      <w:r>
        <w:t xml:space="preserve">w którym </w:t>
      </w:r>
      <m:oMath>
        <m:r>
          <w:rPr>
            <w:rFonts w:ascii="Cambria Math" w:hAnsi="Cambria Math"/>
          </w:rPr>
          <m:t>X</m:t>
        </m:r>
      </m:oMath>
      <w:r>
        <w:t xml:space="preserve"> jest zmienną losową opisującą rozkład strat (ujemnych stóp zwrotu), a α jest odpowiednim poziomem pewności (najczęściej </w:t>
      </w:r>
      <m:oMath>
        <m:r>
          <w:rPr>
            <w:rFonts w:ascii="Cambria Math" w:hAnsi="Cambria Math"/>
          </w:rPr>
          <m:t>α=0,01</m:t>
        </m:r>
      </m:oMath>
      <w:r>
        <w:t xml:space="preserve"> lub </w:t>
      </w:r>
      <m:oMath>
        <m:r>
          <w:rPr>
            <w:rFonts w:ascii="Cambria Math" w:hAnsi="Cambria Math"/>
          </w:rPr>
          <m:t>α=0,05</m:t>
        </m:r>
      </m:oMath>
      <w:r>
        <w:t xml:space="preserve">). </w:t>
      </w:r>
    </w:p>
    <w:p w14:paraId="4EA28B52" w14:textId="77777777" w:rsidR="0031387B" w:rsidRDefault="0031387B" w:rsidP="0031387B">
      <w:r>
        <w:t xml:space="preserve">Obok </w:t>
      </w:r>
      <w:proofErr w:type="spellStart"/>
      <w:r>
        <w:t>VaR</w:t>
      </w:r>
      <w:proofErr w:type="spellEnd"/>
      <w:r>
        <w:t xml:space="preserve"> w zarządzaniu ryzykiem rozważa się również niedobór oczekiwany (ES), który nazywany jest również warunkowym </w:t>
      </w:r>
      <w:proofErr w:type="spellStart"/>
      <w:r>
        <w:t>VaR</w:t>
      </w:r>
      <w:proofErr w:type="spellEnd"/>
      <w:r>
        <w:t xml:space="preserve"> (</w:t>
      </w:r>
      <w:proofErr w:type="spellStart"/>
      <w:r>
        <w:t>CVaR</w:t>
      </w:r>
      <w:proofErr w:type="spellEnd"/>
      <w:r>
        <w:t xml:space="preserve">). Ideą tej </w:t>
      </w:r>
      <w:r>
        <w:lastRenderedPageBreak/>
        <w:t xml:space="preserve">miary jest dopełnienie informacji jaką niesie wartość narażona na ryzyko i określenie przeciętnej straty na portfelu w sytuacji, gdy </w:t>
      </w:r>
      <w:proofErr w:type="spellStart"/>
      <w:r>
        <w:t>VaR</w:t>
      </w:r>
      <w:proofErr w:type="spellEnd"/>
      <w:r>
        <w:t xml:space="preserve"> jest przekroczony. Niedobór oczekiwany jest definiowany jako</w:t>
      </w:r>
    </w:p>
    <w:p w14:paraId="21F979E3" w14:textId="5F81AD6E" w:rsidR="0031387B" w:rsidRDefault="0031387B" w:rsidP="0031387B">
      <w:pPr>
        <w:pStyle w:val="Wzr"/>
        <w:rPr>
          <w:rFonts w:eastAsiaTheme="minorEastAsia"/>
        </w:rPr>
      </w:pPr>
      <w:r>
        <w:rPr>
          <w:rFonts w:eastAsiaTheme="minorEastAsia"/>
          <w:iCs/>
        </w:rPr>
        <w:tab/>
      </w:r>
      <m:oMath>
        <m:r>
          <w:rPr>
            <w:rFonts w:ascii="Cambria Math" w:hAnsi="Cambria Math"/>
          </w:rPr>
          <m:t>ES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&gt;</m:t>
            </m:r>
            <m:r>
              <w:rPr>
                <w:rFonts w:ascii="Cambria Math" w:hAnsi="Cambria Math"/>
              </w:rPr>
              <m:t>VaR</m:t>
            </m:r>
          </m:e>
        </m:d>
      </m:oMath>
      <w:r>
        <w:rPr>
          <w:rFonts w:eastAsiaTheme="minorEastAsia"/>
        </w:rPr>
        <w:tab/>
        <w:t>(2)</w:t>
      </w:r>
    </w:p>
    <w:p w14:paraId="1EB2F7DA" w14:textId="77714923" w:rsidR="0031387B" w:rsidRDefault="0031387B" w:rsidP="0031387B">
      <w:pPr>
        <w:pStyle w:val="Nagwek3"/>
      </w:pPr>
      <w:r>
        <w:t xml:space="preserve">Techniki wyznaczania </w:t>
      </w:r>
      <w:proofErr w:type="spellStart"/>
      <w:r>
        <w:t>VaR</w:t>
      </w:r>
      <w:proofErr w:type="spellEnd"/>
    </w:p>
    <w:p w14:paraId="7FC1752D" w14:textId="42C4B029" w:rsidR="0031387B" w:rsidRDefault="0031387B" w:rsidP="0031387B">
      <w:r>
        <w:t xml:space="preserve">W literaturze przedmiotu (m.in., </w:t>
      </w:r>
      <w:r w:rsidR="007A23F8">
        <w:t>[</w:t>
      </w:r>
      <w:proofErr w:type="spellStart"/>
      <w:r>
        <w:t>Kuziak</w:t>
      </w:r>
      <w:proofErr w:type="spellEnd"/>
      <w:r w:rsidR="007A23F8">
        <w:t xml:space="preserve">, </w:t>
      </w:r>
      <w:r>
        <w:t>2003</w:t>
      </w:r>
      <w:r w:rsidR="007A23F8">
        <w:t>]</w:t>
      </w:r>
      <w:r>
        <w:t xml:space="preserve">, </w:t>
      </w:r>
      <w:r w:rsidR="007A23F8">
        <w:t>[</w:t>
      </w:r>
      <w:proofErr w:type="spellStart"/>
      <w:r>
        <w:t>Lutszyn</w:t>
      </w:r>
      <w:proofErr w:type="spellEnd"/>
      <w:r w:rsidR="007A23F8">
        <w:t xml:space="preserve">, </w:t>
      </w:r>
      <w:r>
        <w:t>2013</w:t>
      </w:r>
      <w:r w:rsidR="007A23F8">
        <w:t xml:space="preserve">], </w:t>
      </w:r>
      <w:r w:rsidR="007A23F8">
        <w:t>[Hull, 2022]</w:t>
      </w:r>
      <w:r>
        <w:t xml:space="preserve">) można znaleźć wiele sposobów na wyznaczenie </w:t>
      </w:r>
      <w:proofErr w:type="spellStart"/>
      <w:r>
        <w:t>VaR</w:t>
      </w:r>
      <w:proofErr w:type="spellEnd"/>
      <w:r>
        <w:t xml:space="preserve"> na podstawie danych historycznych. W niniejszej pracy wzięto pod uwagę dwie techniki bazujące na metodzie symulacji historycznych: klasyczną metodę historyczną oraz metodę historyczną z wagami. </w:t>
      </w:r>
    </w:p>
    <w:p w14:paraId="04F25784" w14:textId="5C73304B" w:rsidR="0031387B" w:rsidRDefault="0031387B" w:rsidP="0031387B">
      <w:pPr>
        <w:rPr>
          <w:rFonts w:cs="Times New Roman"/>
        </w:rPr>
      </w:pPr>
      <w:r>
        <w:t xml:space="preserve">Klasyczna metoda bazuje na założeniu, że w momencie wyznaczania </w:t>
      </w:r>
      <w:proofErr w:type="spellStart"/>
      <w:r>
        <w:t>VaR</w:t>
      </w:r>
      <w:proofErr w:type="spellEnd"/>
      <w:r>
        <w:t xml:space="preserve"> na rozważanym rynku, z równym prawdopodobieństwem powtórzy się jeden ze scenariuszy, jaki zaistniał w rozważanym oknie horyzontu czasowego (w najbardziej typowej sytuacji horyzont czasowy to </w:t>
      </w:r>
      <m:oMath>
        <m:r>
          <w:rPr>
            <w:rFonts w:ascii="Cambria Math" w:hAnsi="Cambria Math"/>
          </w:rPr>
          <m:t>T=250</m:t>
        </m:r>
      </m:oMath>
      <w:r>
        <w:t xml:space="preserve"> notowań). Inaczej mówiąc poszukiwany </w:t>
      </w:r>
      <w:r w:rsidRPr="0031387B">
        <w:rPr>
          <w:rFonts w:cs="Times New Roman"/>
        </w:rPr>
        <w:t xml:space="preserve">rozkład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</m:oMath>
      <w:r w:rsidRPr="0031387B">
        <w:rPr>
          <w:rFonts w:cs="Times New Roman"/>
        </w:rPr>
        <w:t xml:space="preserve"> ma postać</w:t>
      </w:r>
    </w:p>
    <w:p w14:paraId="3A79A9E8" w14:textId="010A8204" w:rsidR="0031387B" w:rsidRDefault="0031387B" w:rsidP="0031387B">
      <w:pPr>
        <w:pStyle w:val="Wzr"/>
        <w:rPr>
          <w:rFonts w:eastAsiaTheme="minorEastAsia"/>
          <w:iCs/>
        </w:rPr>
      </w:pPr>
      <w:r>
        <w:rPr>
          <w:rFonts w:eastAsiaTheme="minorEastAsia" w:cs="Times New Roman"/>
          <w:iCs/>
        </w:rPr>
        <w:tab/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 &amp;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,025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 &amp;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,025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-250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 &amp;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,025</m:t>
                </m:r>
              </m:e>
            </m:eqArr>
          </m:e>
        </m:d>
      </m:oMath>
      <w:r w:rsidRPr="0031387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ab/>
      </w:r>
      <w:r w:rsidRPr="0031387B">
        <w:rPr>
          <w:rFonts w:eastAsiaTheme="minorEastAsia"/>
          <w:iCs/>
        </w:rPr>
        <w:t>(3)</w:t>
      </w:r>
    </w:p>
    <w:p w14:paraId="4652C201" w14:textId="77777777" w:rsidR="0031387B" w:rsidRDefault="0031387B" w:rsidP="0031387B">
      <w:r w:rsidRPr="0031387B">
        <w:t xml:space="preserve">gdzie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-250</m:t>
            </m:r>
          </m:sub>
        </m:sSub>
      </m:oMath>
      <w:r w:rsidRPr="0031387B">
        <w:t xml:space="preserve"> są faktycznymi stratami procentowymi zaobserwowanymi w rozważanym horyzoncie czasowym.</w:t>
      </w:r>
      <w:r>
        <w:t xml:space="preserve"> </w:t>
      </w:r>
    </w:p>
    <w:p w14:paraId="61B52885" w14:textId="69CF072A" w:rsidR="0031387B" w:rsidRDefault="0031387B" w:rsidP="0031387B">
      <w:r w:rsidRPr="0031387B">
        <w:t xml:space="preserve">W przypadku metody historycznej z wagami odrzuca się założenie mówiące o równości wag obserwacji. Zamiast tego zakłada, że nowsze obserwacje mają większe prawdopodobieństwo realizacji, a jego zmiany maleją z czasem wykładniczo. To oznacza, że zmienna losowa </w:t>
      </w:r>
      <m:oMath>
        <m:r>
          <w:rPr>
            <w:rFonts w:ascii="Cambria Math" w:hAnsi="Cambria Math"/>
          </w:rPr>
          <m:t>X</m:t>
        </m:r>
      </m:oMath>
      <w:r w:rsidRPr="0031387B">
        <w:t xml:space="preserve"> jest opisana zależnością </w:t>
      </w:r>
    </w:p>
    <w:p w14:paraId="46C3E8DF" w14:textId="05BE010A" w:rsidR="00A55E21" w:rsidRPr="00A55E21" w:rsidRDefault="00A55E21" w:rsidP="00A55E21">
      <w:pPr>
        <w:pStyle w:val="Wzr"/>
        <w:ind w:left="2124"/>
      </w:pPr>
      <w:r>
        <w:tab/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 &amp;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 &amp;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-250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 &amp;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250</m:t>
                    </m:r>
                  </m:sub>
                </m:sSub>
              </m:e>
            </m:eqArr>
          </m:e>
        </m:d>
      </m:oMath>
      <w:r w:rsidRPr="00A55E21">
        <w:tab/>
        <w:t>(4)</w:t>
      </w:r>
    </w:p>
    <w:p w14:paraId="7A830ABA" w14:textId="77777777" w:rsidR="00A55E21" w:rsidRDefault="00A55E21" w:rsidP="00A55E21">
      <w:r>
        <w:t xml:space="preserve">gdzie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t-250</m:t>
            </m:r>
          </m:sub>
        </m:sSub>
      </m:oMath>
      <w:r>
        <w:t xml:space="preserve"> są faktycznymi stratami procentowymi zaobserwowanymi w rozważanym horyzoncie czasowym, a dla pewnej wartości </w:t>
      </w:r>
      <m:oMath>
        <m:r>
          <w:rPr>
            <w:rFonts w:ascii="Cambria Math" w:hAnsi="Cambria Math"/>
          </w:rPr>
          <m:t>w≈1</m:t>
        </m:r>
      </m:oMath>
      <w:r>
        <w:t xml:space="preserve"> (w pracy przyjęto </w:t>
      </w:r>
      <m:oMath>
        <m:r>
          <w:rPr>
            <w:rFonts w:ascii="Cambria Math" w:hAnsi="Cambria Math"/>
          </w:rPr>
          <m:t>w=0,995</m:t>
        </m:r>
      </m:oMath>
      <w:r>
        <w:t xml:space="preserve">) prawdopodobieństwa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opisuje zależność</w:t>
      </w:r>
    </w:p>
    <w:p w14:paraId="0B38A5C8" w14:textId="5B373D1E" w:rsidR="00A55E21" w:rsidRDefault="00A55E21" w:rsidP="00A55E21">
      <w:pPr>
        <w:pStyle w:val="Wzr"/>
        <w:ind w:left="2124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w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250-</m:t>
                </m:r>
                <m:r>
                  <w:rPr>
                    <w:rFonts w:ascii="Cambria Math" w:hAnsi="Cambria Math"/>
                  </w:rPr>
                  <m:t>i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250</m:t>
                </m:r>
              </m:sup>
            </m:sSup>
          </m:den>
        </m:f>
      </m:oMath>
      <w:r>
        <w:rPr>
          <w:rFonts w:eastAsiaTheme="minorEastAsia"/>
        </w:rPr>
        <w:tab/>
        <w:t>(5)</w:t>
      </w:r>
    </w:p>
    <w:p w14:paraId="3454E9C2" w14:textId="2272DE0B" w:rsidR="0031387B" w:rsidRDefault="00A55E21" w:rsidP="00A55E21">
      <w:pPr>
        <w:pStyle w:val="Nagwek3"/>
      </w:pPr>
      <w:r>
        <w:t>Testy wsteczne</w:t>
      </w:r>
    </w:p>
    <w:p w14:paraId="325CE54A" w14:textId="489A974D" w:rsidR="00A55E21" w:rsidRDefault="00A55E21" w:rsidP="00A55E21">
      <w:r>
        <w:t xml:space="preserve">Z uwagi na mnogość technik, którymi można estymować </w:t>
      </w:r>
      <w:proofErr w:type="spellStart"/>
      <w:r>
        <w:t>VaR</w:t>
      </w:r>
      <w:proofErr w:type="spellEnd"/>
      <w:r>
        <w:t xml:space="preserve"> i ES, istotne jest stosowanie narzędzi, które pozwalają </w:t>
      </w:r>
      <w:r w:rsidRPr="00075DAB">
        <w:t xml:space="preserve">Ważną częścią procesu wyliczania </w:t>
      </w:r>
      <w:proofErr w:type="spellStart"/>
      <w:r w:rsidRPr="00075DAB">
        <w:t>VaR</w:t>
      </w:r>
      <w:proofErr w:type="spellEnd"/>
      <w:r w:rsidRPr="00075DAB">
        <w:t xml:space="preserve"> jest weryfikacja metod jakie używamy oraz wyników jakie otrzymujemy, następnie wybrania możliwie najlepszej. Do tego służą testy wsteczne, które umożliwiają estymacje dokładności poszczególnych metod</w:t>
      </w:r>
      <w:r>
        <w:t xml:space="preserve"> i pozwalają na</w:t>
      </w:r>
      <w:r w:rsidRPr="00075DAB">
        <w:t xml:space="preserve"> określ</w:t>
      </w:r>
      <w:r>
        <w:t>enie</w:t>
      </w:r>
      <w:r w:rsidRPr="00075DAB">
        <w:t xml:space="preserve"> czy wyznaczan</w:t>
      </w:r>
      <w:r>
        <w:t>e</w:t>
      </w:r>
      <w:r w:rsidRPr="00075DAB">
        <w:t xml:space="preserve"> </w:t>
      </w:r>
      <w:r>
        <w:t xml:space="preserve">oszacowania </w:t>
      </w:r>
      <w:r w:rsidRPr="00075DAB">
        <w:t>adekwatnie oddaj</w:t>
      </w:r>
      <w:r>
        <w:t>ą</w:t>
      </w:r>
      <w:r w:rsidRPr="00075DAB">
        <w:t xml:space="preserve"> rzeczywistość. </w:t>
      </w:r>
      <w:r>
        <w:t xml:space="preserve">Wśród licznych konstrukcji testów wstecznych (m.in. </w:t>
      </w:r>
      <w:r w:rsidR="007A23F8">
        <w:t>[</w:t>
      </w:r>
      <w:proofErr w:type="spellStart"/>
      <w:r>
        <w:t>Holton</w:t>
      </w:r>
      <w:proofErr w:type="spellEnd"/>
      <w:r w:rsidR="007A23F8">
        <w:t xml:space="preserve">, </w:t>
      </w:r>
      <w:r>
        <w:t>2004</w:t>
      </w:r>
      <w:r w:rsidR="007A23F8">
        <w:t>]</w:t>
      </w:r>
      <w:r>
        <w:t xml:space="preserve">, </w:t>
      </w:r>
      <w:r w:rsidR="007A23F8">
        <w:t>[</w:t>
      </w:r>
      <w:proofErr w:type="spellStart"/>
      <w:r>
        <w:t>Lutszyn</w:t>
      </w:r>
      <w:proofErr w:type="spellEnd"/>
      <w:r w:rsidR="007A23F8">
        <w:t xml:space="preserve">, </w:t>
      </w:r>
      <w:r>
        <w:t>2013</w:t>
      </w:r>
      <w:r w:rsidR="007A23F8">
        <w:t>]</w:t>
      </w:r>
      <w:r>
        <w:t xml:space="preserve">) </w:t>
      </w:r>
      <w:r>
        <w:lastRenderedPageBreak/>
        <w:t xml:space="preserve">w pracy wybrano test Kupca </w:t>
      </w:r>
      <w:r w:rsidR="007A23F8">
        <w:t>[</w:t>
      </w:r>
      <w:r>
        <w:t>Kupiec, 1995</w:t>
      </w:r>
      <w:r w:rsidR="007A23F8">
        <w:t>]</w:t>
      </w:r>
      <w:r>
        <w:t xml:space="preserve"> oraz test „świateł” </w:t>
      </w:r>
      <w:r w:rsidR="007A23F8">
        <w:t>[</w:t>
      </w:r>
      <w:r>
        <w:t>Morgan J.P., 1995</w:t>
      </w:r>
      <w:r w:rsidR="007A23F8">
        <w:t>]</w:t>
      </w:r>
      <w:r>
        <w:t>.</w:t>
      </w:r>
    </w:p>
    <w:p w14:paraId="30D5167C" w14:textId="77777777" w:rsidR="00A55E21" w:rsidRDefault="00A55E21" w:rsidP="00A55E21">
      <w:r>
        <w:t xml:space="preserve">Test Kupca jest jednym z najpopularniejszych testów pokrycia, którego głównym celem jest odpowiedź na pytanie, czy w rozważanym horyzoncie czasowym obserwuje się odpowiednią liczbę wyjątków (tj. sytuacji, w których wartość scenariusza przekracza </w:t>
      </w:r>
      <w:proofErr w:type="spellStart"/>
      <w:r>
        <w:t>VaR</w:t>
      </w:r>
      <w:proofErr w:type="spellEnd"/>
      <w:r>
        <w:t xml:space="preserve">). </w:t>
      </w:r>
    </w:p>
    <w:p w14:paraId="79CC5B46" w14:textId="151CF19C" w:rsidR="00A55E21" w:rsidRDefault="00A55E21" w:rsidP="00A55E21">
      <w:r>
        <w:t>Hipoteza zerowa testu zakłada, że liczba wyjątków odpowiada wybranemu poziomowi pewności, a jej ewentualne odrzucenie jest badane na podstawie statystyki testowej</w:t>
      </w:r>
    </w:p>
    <w:p w14:paraId="20D8A5C9" w14:textId="42B31CB4" w:rsidR="00A55E21" w:rsidRDefault="00A55E21" w:rsidP="00A55E21">
      <w:pPr>
        <w:pStyle w:val="Wzr"/>
        <w:rPr>
          <w:rFonts w:eastAsiaTheme="minorEastAsia"/>
          <w:sz w:val="24"/>
          <w:szCs w:val="24"/>
        </w:rPr>
      </w:pPr>
      <w:r>
        <w:rPr>
          <w:rStyle w:val="WzrZnak"/>
          <w:rFonts w:eastAsiaTheme="minorEastAsia"/>
        </w:rPr>
        <w:tab/>
      </w:r>
      <m:oMath>
        <m:r>
          <w:rPr>
            <w:rStyle w:val="WzrZnak"/>
            <w:rFonts w:ascii="Cambria Math" w:hAnsi="Cambria Math"/>
          </w:rPr>
          <m:t>L</m:t>
        </m:r>
        <m:sSub>
          <m:sSubPr>
            <m:ctrlPr>
              <w:rPr>
                <w:rStyle w:val="WzrZnak"/>
                <w:rFonts w:ascii="Cambria Math" w:hAnsi="Cambria Math"/>
              </w:rPr>
            </m:ctrlPr>
          </m:sSubPr>
          <m:e>
            <m:r>
              <w:rPr>
                <w:rStyle w:val="WzrZnak"/>
                <w:rFonts w:ascii="Cambria Math" w:hAnsi="Cambria Math"/>
              </w:rPr>
              <m:t>R</m:t>
            </m:r>
          </m:e>
          <m:sub>
            <m:r>
              <w:rPr>
                <w:rStyle w:val="WzrZnak"/>
                <w:rFonts w:ascii="Cambria Math" w:hAnsi="Cambria Math"/>
              </w:rPr>
              <m:t>POF</m:t>
            </m:r>
          </m:sub>
        </m:sSub>
        <m:r>
          <w:rPr>
            <w:rStyle w:val="WzrZnak"/>
            <w:rFonts w:ascii="Cambria Math" w:hAnsi="Cambria Math"/>
          </w:rPr>
          <m:t>=2</m:t>
        </m:r>
        <m:d>
          <m:dPr>
            <m:ctrlPr>
              <w:rPr>
                <w:rStyle w:val="WzrZnak"/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Style w:val="WzrZnak"/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WzrZnak"/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Style w:val="WzrZnak"/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Style w:val="WzrZnak"/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Style w:val="WzrZnak"/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Style w:val="WzrZnak"/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Style w:val="WzrZnak"/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WzrZnak"/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Style w:val="WzrZnak"/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Style w:val="WzrZnak"/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WzrZnak"/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Style w:val="WzrZnak"/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Style w:val="WzrZnak"/>
                                    <w:rFonts w:ascii="Cambria Math" w:hAnsi="Cambria Math"/>
                                  </w:rPr>
                                  <m:t>+T1</m:t>
                                </m:r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Style w:val="WzrZnak"/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Style w:val="WzrZnak"/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Style w:val="WzrZnak"/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</m:sSup>
                    <m:sSup>
                      <m:sSupPr>
                        <m:ctrlPr>
                          <w:rPr>
                            <w:rStyle w:val="WzrZnak"/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Style w:val="WzrZnak"/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Style w:val="WzrZnak"/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Style w:val="WzrZnak"/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Style w:val="WzrZnak"/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WzrZnak"/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Style w:val="WzrZnak"/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Style w:val="WzrZnak"/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WzrZnak"/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Style w:val="WzrZnak"/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Style w:val="WzrZnak"/>
                                    <w:rFonts w:ascii="Cambria Math" w:hAnsi="Cambria Math"/>
                                  </w:rPr>
                                  <m:t>+T1</m:t>
                                </m:r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Style w:val="WzrZnak"/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Style w:val="WzrZnak"/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Style w:val="WzrZnak"/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sup>
                    </m:sSup>
                  </m:e>
                </m:d>
              </m:e>
            </m:func>
            <m:r>
              <w:rPr>
                <w:rStyle w:val="WzrZnak"/>
                <w:rFonts w:ascii="Cambria Math" w:hAnsi="Cambria Math"/>
              </w:rPr>
              <m:t>-</m:t>
            </m:r>
            <m:func>
              <m:funcPr>
                <m:ctrlPr>
                  <w:rPr>
                    <w:rStyle w:val="WzrZnak"/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WzrZnak"/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Style w:val="WzrZnak"/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Style w:val="WzrZnak"/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Style w:val="WzrZnak"/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Style w:val="WzrZnak"/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Style w:val="WzrZnak"/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Style w:val="WzrZnak"/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</m:sSup>
                    <m:sSup>
                      <m:sSupPr>
                        <m:ctrlPr>
                          <w:rPr>
                            <w:rStyle w:val="WzrZnak"/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Style w:val="WzrZnak"/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Style w:val="WzrZnak"/>
                                <w:rFonts w:ascii="Cambria Math" w:hAnsi="Cambria Math"/>
                              </w:rPr>
                              <m:t>1-α</m:t>
                            </m:r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Style w:val="WzrZnak"/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Style w:val="WzrZnak"/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Style w:val="WzrZnak"/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sup>
                    </m:sSup>
                  </m:e>
                </m:d>
              </m:e>
            </m:func>
          </m:e>
        </m:d>
      </m:oMath>
      <w:r>
        <w:rPr>
          <w:rFonts w:eastAsiaTheme="minorEastAsia"/>
          <w:sz w:val="24"/>
          <w:szCs w:val="24"/>
        </w:rPr>
        <w:tab/>
        <w:t>(6)</w:t>
      </w:r>
    </w:p>
    <w:p w14:paraId="3D190C95" w14:textId="495CB622" w:rsidR="00CF7594" w:rsidRDefault="00CF7594" w:rsidP="00CF7594">
      <w:r>
        <w:t xml:space="preserve">Test świateł </w:t>
      </w:r>
      <w:r w:rsidR="007A23F8">
        <w:t>[</w:t>
      </w:r>
      <w:proofErr w:type="spellStart"/>
      <w:r>
        <w:t>Holton</w:t>
      </w:r>
      <w:proofErr w:type="spellEnd"/>
      <w:r>
        <w:t>, 2004</w:t>
      </w:r>
      <w:r w:rsidR="007A23F8">
        <w:t>]</w:t>
      </w:r>
      <w:r>
        <w:t xml:space="preserve"> jest zaproponowaną przez Komitet Bazylejski procedurą, którą wykorzystuje się do oceny modeli wewnętrznych tworzonych przez banki do wyznaczenia poziomu kapitału regulacyjnego na pokrycie ryzyka rynkowego. Zakłada on, że w zależności od liczby wyjątków w 250-dniowym horyzoncie czasowym, dane oszacowanie może znaleźć się w strefie „zielonej” (zanotowano 0-4 wyjątki), „żółtej” (zanotowano 5-9 wyjątków) i</w:t>
      </w:r>
      <w:r>
        <w:t> </w:t>
      </w:r>
      <w:r>
        <w:t xml:space="preserve">„czerwonej” (zanotowano więcej niż 9 wyjątków). </w:t>
      </w:r>
    </w:p>
    <w:p w14:paraId="11EBCA91" w14:textId="7A096FE0" w:rsidR="00A55E21" w:rsidRDefault="00CF7594" w:rsidP="00CF7594">
      <w:r>
        <w:t>W zależności od strefy, w której znajduje się oszacowanie, można mówić o</w:t>
      </w:r>
      <w:r>
        <w:t> </w:t>
      </w:r>
      <w:r>
        <w:t>lepszym (zielona strefa) lub gorszym (żółta lub czerwona strefa) oszacowaniu wartości narażonej na ryzyko.</w:t>
      </w:r>
    </w:p>
    <w:p w14:paraId="7B3CF28C" w14:textId="38C4AB1A" w:rsidR="00CF7594" w:rsidRDefault="00CF7594" w:rsidP="00CF7594">
      <w:pPr>
        <w:pStyle w:val="Nagwek2"/>
      </w:pPr>
      <w:r>
        <w:t xml:space="preserve">13.3. </w:t>
      </w:r>
      <w:r w:rsidR="00503AD9">
        <w:t>Badanie empiryczne i jego wyniki</w:t>
      </w:r>
    </w:p>
    <w:p w14:paraId="466CC57A" w14:textId="54425656" w:rsidR="00503AD9" w:rsidRPr="00503AD9" w:rsidRDefault="00503AD9" w:rsidP="00503AD9">
      <w:pPr>
        <w:pStyle w:val="Nagwek3"/>
      </w:pPr>
      <w:r>
        <w:t>Dane wykorzystane w badaniu</w:t>
      </w:r>
    </w:p>
    <w:p w14:paraId="73699215" w14:textId="2A580C71" w:rsidR="00CF7594" w:rsidRDefault="00CF7594" w:rsidP="00CF7594">
      <w:r>
        <w:t>Dla realizacji założonego celu badawczego, użyto dziennych kursów zamknięcia wybranych indeksów giełdowych DAX, RTSI</w:t>
      </w:r>
      <w:r>
        <w:t>,</w:t>
      </w:r>
      <w:r>
        <w:t xml:space="preserve"> </w:t>
      </w:r>
      <w:r>
        <w:t>S&amp;P500, SSE100 oraz WIG20</w:t>
      </w:r>
      <w:r w:rsidRPr="00075DAB">
        <w:t xml:space="preserve"> z okresu od </w:t>
      </w:r>
      <w:r w:rsidRPr="0076710B">
        <w:rPr>
          <w:b/>
          <w:bCs/>
          <w:color w:val="FF0000"/>
        </w:rPr>
        <w:t>11 lutego 20</w:t>
      </w:r>
      <w:r w:rsidR="000F61B9" w:rsidRPr="0076710B">
        <w:rPr>
          <w:b/>
          <w:bCs/>
          <w:color w:val="FF0000"/>
        </w:rPr>
        <w:t>19</w:t>
      </w:r>
      <w:r w:rsidRPr="0076710B">
        <w:rPr>
          <w:color w:val="FF0000"/>
        </w:rPr>
        <w:t xml:space="preserve"> </w:t>
      </w:r>
      <w:r w:rsidRPr="00075DAB">
        <w:t>r</w:t>
      </w:r>
      <w:r>
        <w:t xml:space="preserve">oku </w:t>
      </w:r>
      <w:r w:rsidRPr="00075DAB">
        <w:t>do 31</w:t>
      </w:r>
      <w:r>
        <w:t xml:space="preserve"> marca </w:t>
      </w:r>
      <w:r w:rsidRPr="00075DAB">
        <w:t>2023</w:t>
      </w:r>
      <w:r>
        <w:t xml:space="preserve"> </w:t>
      </w:r>
      <w:r w:rsidRPr="00075DAB">
        <w:t>r</w:t>
      </w:r>
      <w:r>
        <w:t>oku</w:t>
      </w:r>
      <w:r w:rsidRPr="00075DAB">
        <w:t>. Na ich podstawie</w:t>
      </w:r>
      <w:r>
        <w:t xml:space="preserve">, z wykorzystaniem wzoru (7) wyznaczono dzienne straty dla każdego indeksu. </w:t>
      </w:r>
    </w:p>
    <w:p w14:paraId="2D676A66" w14:textId="606307EA" w:rsidR="00CF7594" w:rsidRDefault="00CF7594" w:rsidP="00CF7594">
      <w:pPr>
        <w:pStyle w:val="Wzr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=-100∙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den>
                </m:f>
              </m:e>
            </m:d>
          </m:e>
        </m:func>
      </m:oMath>
      <w:r>
        <w:rPr>
          <w:rFonts w:eastAsiaTheme="minorEastAsia"/>
        </w:rPr>
        <w:tab/>
        <w:t>(7)</w:t>
      </w:r>
    </w:p>
    <w:p w14:paraId="1C81A8E4" w14:textId="7915DBC0" w:rsidR="00CF7594" w:rsidRPr="00CF7594" w:rsidRDefault="00CF7594" w:rsidP="00CF7594">
      <w:pPr>
        <w:pStyle w:val="Wzr"/>
      </w:pPr>
      <w:r>
        <w:t>Odpowiednie statystyki opisowe dziennych strat zamieszczono w Tab. 13.1.</w:t>
      </w:r>
    </w:p>
    <w:p w14:paraId="450FD203" w14:textId="1B03C72B" w:rsidR="008F3F1A" w:rsidRDefault="00975314" w:rsidP="00975314">
      <w:pPr>
        <w:pStyle w:val="Nrtabeli"/>
      </w:pPr>
      <w:r>
        <w:t>Tab. 13.</w:t>
      </w:r>
      <w:r w:rsidR="00CF7594">
        <w:t>1</w:t>
      </w:r>
      <w:r>
        <w:t xml:space="preserve">. </w:t>
      </w:r>
      <w:r w:rsidR="00CF7594">
        <w:t>Statystyki opisowe strat dziennych dla poszczególnych indeksów giełdowych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1928"/>
        <w:gridCol w:w="1053"/>
        <w:gridCol w:w="1053"/>
        <w:gridCol w:w="1054"/>
        <w:gridCol w:w="1053"/>
        <w:gridCol w:w="1054"/>
      </w:tblGrid>
      <w:tr w:rsidR="00CF7594" w14:paraId="3B3E28E5" w14:textId="50694807" w:rsidTr="00CF7594">
        <w:trPr>
          <w:trHeight w:val="283"/>
        </w:trPr>
        <w:tc>
          <w:tcPr>
            <w:tcW w:w="1928" w:type="dxa"/>
            <w:shd w:val="clear" w:color="auto" w:fill="auto"/>
            <w:vAlign w:val="center"/>
          </w:tcPr>
          <w:p w14:paraId="483585E3" w14:textId="46A93079" w:rsidR="00CF7594" w:rsidRPr="00CF7594" w:rsidRDefault="00CF7594" w:rsidP="00CF7594">
            <w:pPr>
              <w:pStyle w:val="Nagwektabeli"/>
            </w:pPr>
            <w:r w:rsidRPr="00CF7594">
              <w:t>Indeks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485E25DD" w14:textId="63B56EF1" w:rsidR="00CF7594" w:rsidRPr="00CF7594" w:rsidRDefault="00CF7594" w:rsidP="00CF7594">
            <w:pPr>
              <w:pStyle w:val="Nagwektabeli"/>
            </w:pPr>
            <w:r w:rsidRPr="00CF7594">
              <w:t>S&amp;P500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5EDF654D" w14:textId="426DFD5A" w:rsidR="00CF7594" w:rsidRPr="00CF7594" w:rsidRDefault="00CF7594" w:rsidP="00CF7594">
            <w:pPr>
              <w:pStyle w:val="Nagwektabeli"/>
            </w:pPr>
            <w:r w:rsidRPr="00CF7594">
              <w:t>SSE100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30F0687B" w14:textId="109D2B75" w:rsidR="00CF7594" w:rsidRPr="00CF7594" w:rsidRDefault="00CF7594" w:rsidP="00CF7594">
            <w:pPr>
              <w:pStyle w:val="Nagwektabeli"/>
            </w:pPr>
            <w:r w:rsidRPr="00CF7594">
              <w:t>DAX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71FD211D" w14:textId="7898DF19" w:rsidR="00CF7594" w:rsidRPr="00CF7594" w:rsidRDefault="00CF7594" w:rsidP="00CF7594">
            <w:pPr>
              <w:pStyle w:val="Nagwektabeli"/>
            </w:pPr>
            <w:r w:rsidRPr="00CF7594">
              <w:t>RTSI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16EC36F2" w14:textId="1BB3B9BF" w:rsidR="00CF7594" w:rsidRPr="00CF7594" w:rsidRDefault="00CF7594" w:rsidP="00CF7594">
            <w:pPr>
              <w:pStyle w:val="Nagwektabeli"/>
            </w:pPr>
            <w:r w:rsidRPr="00CF7594">
              <w:t>WIG20</w:t>
            </w:r>
          </w:p>
        </w:tc>
      </w:tr>
      <w:tr w:rsidR="00CF7594" w14:paraId="78B2F90E" w14:textId="77777777" w:rsidTr="00CF7594">
        <w:trPr>
          <w:trHeight w:val="283"/>
        </w:trPr>
        <w:tc>
          <w:tcPr>
            <w:tcW w:w="1928" w:type="dxa"/>
            <w:shd w:val="clear" w:color="auto" w:fill="auto"/>
            <w:vAlign w:val="center"/>
          </w:tcPr>
          <w:p w14:paraId="4C7AABED" w14:textId="0C68C140" w:rsidR="00CF7594" w:rsidRPr="00CF7594" w:rsidRDefault="00CF7594" w:rsidP="00CF7594">
            <w:pPr>
              <w:pStyle w:val="Tretabeli"/>
            </w:pPr>
            <w:r w:rsidRPr="00CF7594">
              <w:t>M</w:t>
            </w:r>
            <w:r>
              <w:t>inimum</w:t>
            </w:r>
          </w:p>
        </w:tc>
        <w:tc>
          <w:tcPr>
            <w:tcW w:w="1053" w:type="dxa"/>
            <w:shd w:val="clear" w:color="auto" w:fill="auto"/>
            <w:vAlign w:val="bottom"/>
          </w:tcPr>
          <w:p w14:paraId="192285DB" w14:textId="1286B587" w:rsidR="00CF7594" w:rsidRPr="00CF7594" w:rsidRDefault="00CF7594" w:rsidP="00CF7594">
            <w:pPr>
              <w:pStyle w:val="Tretabeli"/>
            </w:pPr>
            <w:r w:rsidRPr="00CF7594">
              <w:t>-8,97</w:t>
            </w:r>
          </w:p>
        </w:tc>
        <w:tc>
          <w:tcPr>
            <w:tcW w:w="1053" w:type="dxa"/>
            <w:shd w:val="clear" w:color="auto" w:fill="auto"/>
            <w:vAlign w:val="bottom"/>
          </w:tcPr>
          <w:p w14:paraId="5C75E578" w14:textId="54EEC1CD" w:rsidR="00CF7594" w:rsidRPr="00CF7594" w:rsidRDefault="00CF7594" w:rsidP="00CF7594">
            <w:pPr>
              <w:pStyle w:val="Tretabeli"/>
            </w:pPr>
            <w:r w:rsidRPr="00CF7594">
              <w:t>-4,24</w:t>
            </w:r>
          </w:p>
        </w:tc>
        <w:tc>
          <w:tcPr>
            <w:tcW w:w="1054" w:type="dxa"/>
            <w:shd w:val="clear" w:color="auto" w:fill="auto"/>
            <w:vAlign w:val="bottom"/>
          </w:tcPr>
          <w:p w14:paraId="31F10E4D" w14:textId="668DB36E" w:rsidR="00CF7594" w:rsidRPr="00CF7594" w:rsidRDefault="00CF7594" w:rsidP="00CF7594">
            <w:pPr>
              <w:pStyle w:val="Tretabeli"/>
            </w:pPr>
            <w:r w:rsidRPr="00CF7594">
              <w:t>-10,41</w:t>
            </w:r>
          </w:p>
        </w:tc>
        <w:tc>
          <w:tcPr>
            <w:tcW w:w="1053" w:type="dxa"/>
            <w:shd w:val="clear" w:color="auto" w:fill="auto"/>
            <w:vAlign w:val="bottom"/>
          </w:tcPr>
          <w:p w14:paraId="07BE746C" w14:textId="65297A9F" w:rsidR="00CF7594" w:rsidRPr="00CF7594" w:rsidRDefault="00CF7594" w:rsidP="00CF7594">
            <w:pPr>
              <w:pStyle w:val="Tretabeli"/>
            </w:pPr>
            <w:r w:rsidRPr="00CF7594">
              <w:t>-24,17</w:t>
            </w:r>
          </w:p>
        </w:tc>
        <w:tc>
          <w:tcPr>
            <w:tcW w:w="1054" w:type="dxa"/>
            <w:shd w:val="clear" w:color="auto" w:fill="auto"/>
            <w:vAlign w:val="bottom"/>
          </w:tcPr>
          <w:p w14:paraId="3084FB8C" w14:textId="035202AD" w:rsidR="00CF7594" w:rsidRPr="00CF7594" w:rsidRDefault="00CF7594" w:rsidP="00CF7594">
            <w:pPr>
              <w:pStyle w:val="Tretabeli"/>
            </w:pPr>
            <w:r w:rsidRPr="00CF7594">
              <w:t>-8,10</w:t>
            </w:r>
          </w:p>
        </w:tc>
      </w:tr>
      <w:tr w:rsidR="00CF7594" w14:paraId="6091CD02" w14:textId="77777777" w:rsidTr="00CF7594">
        <w:trPr>
          <w:trHeight w:val="283"/>
        </w:trPr>
        <w:tc>
          <w:tcPr>
            <w:tcW w:w="1928" w:type="dxa"/>
            <w:shd w:val="clear" w:color="auto" w:fill="auto"/>
            <w:vAlign w:val="center"/>
          </w:tcPr>
          <w:p w14:paraId="05098E11" w14:textId="7C3D6350" w:rsidR="00CF7594" w:rsidRPr="00CF7594" w:rsidRDefault="00CF7594" w:rsidP="00CF7594">
            <w:pPr>
              <w:pStyle w:val="Tretabeli"/>
            </w:pPr>
            <w:r w:rsidRPr="00CF7594">
              <w:t>Q1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5A9BDEF1" w14:textId="5A17E44E" w:rsidR="00CF7594" w:rsidRPr="00CF7594" w:rsidRDefault="00CF7594" w:rsidP="00CF7594">
            <w:pPr>
              <w:pStyle w:val="Tretabeli"/>
            </w:pPr>
            <w:r w:rsidRPr="00CF7594">
              <w:t>-0,40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28C4A94E" w14:textId="619E78FF" w:rsidR="00CF7594" w:rsidRPr="00CF7594" w:rsidRDefault="00CF7594" w:rsidP="00CF7594">
            <w:pPr>
              <w:pStyle w:val="Tretabeli"/>
            </w:pPr>
            <w:r w:rsidRPr="00CF7594">
              <w:t>-0,44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1B9FE271" w14:textId="1794C7B9" w:rsidR="00CF7594" w:rsidRPr="00CF7594" w:rsidRDefault="00CF7594" w:rsidP="00CF7594">
            <w:pPr>
              <w:pStyle w:val="Tretabeli"/>
            </w:pPr>
            <w:r w:rsidRPr="00CF7594">
              <w:t>-0,43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5FBEB901" w14:textId="41BECC10" w:rsidR="00CF7594" w:rsidRPr="00CF7594" w:rsidRDefault="00CF7594" w:rsidP="00CF7594">
            <w:pPr>
              <w:pStyle w:val="Tretabeli"/>
            </w:pPr>
            <w:r w:rsidRPr="00CF7594">
              <w:t>-0,66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32CC3ECB" w14:textId="4FA76312" w:rsidR="00CF7594" w:rsidRPr="00CF7594" w:rsidRDefault="00CF7594" w:rsidP="00CF7594">
            <w:pPr>
              <w:pStyle w:val="Tretabeli"/>
            </w:pPr>
            <w:r w:rsidRPr="00CF7594">
              <w:t>-0,55</w:t>
            </w:r>
          </w:p>
        </w:tc>
      </w:tr>
      <w:tr w:rsidR="00CF7594" w14:paraId="783C2931" w14:textId="77777777" w:rsidTr="00CF7594">
        <w:trPr>
          <w:trHeight w:val="283"/>
        </w:trPr>
        <w:tc>
          <w:tcPr>
            <w:tcW w:w="1928" w:type="dxa"/>
            <w:shd w:val="clear" w:color="auto" w:fill="auto"/>
            <w:vAlign w:val="center"/>
          </w:tcPr>
          <w:p w14:paraId="3D596464" w14:textId="63907A89" w:rsidR="00CF7594" w:rsidRPr="00CF7594" w:rsidRDefault="00CF7594" w:rsidP="00CF7594">
            <w:pPr>
              <w:pStyle w:val="Tretabeli"/>
            </w:pPr>
            <w:r w:rsidRPr="00CF7594">
              <w:t>Średnia arytmetyczna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296D1B98" w14:textId="38B9C12C" w:rsidR="00CF7594" w:rsidRPr="00CF7594" w:rsidRDefault="00CF7594" w:rsidP="00CF7594">
            <w:pPr>
              <w:pStyle w:val="Tretabeli"/>
            </w:pPr>
            <w:r w:rsidRPr="00CF7594">
              <w:t>-0,03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59C86E7C" w14:textId="493481EF" w:rsidR="00CF7594" w:rsidRPr="00CF7594" w:rsidRDefault="00CF7594" w:rsidP="00CF7594">
            <w:pPr>
              <w:pStyle w:val="Tretabeli"/>
            </w:pPr>
            <w:r w:rsidRPr="00CF7594">
              <w:t>-0,02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794363D5" w14:textId="7E699C91" w:rsidR="00CF7594" w:rsidRPr="00CF7594" w:rsidRDefault="00CF7594" w:rsidP="00CF7594">
            <w:pPr>
              <w:pStyle w:val="Tretabeli"/>
            </w:pPr>
            <w:r w:rsidRPr="00CF7594">
              <w:t>-0,02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2959EBF3" w14:textId="34A85259" w:rsidR="00CF7594" w:rsidRPr="00CF7594" w:rsidRDefault="00CF7594" w:rsidP="00CF7594">
            <w:pPr>
              <w:pStyle w:val="Tretabeli"/>
            </w:pPr>
            <w:r w:rsidRPr="00CF7594">
              <w:t>0,03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79BD8FA2" w14:textId="386BFAEC" w:rsidR="00CF7594" w:rsidRPr="00CF7594" w:rsidRDefault="00CF7594" w:rsidP="00CF7594">
            <w:pPr>
              <w:pStyle w:val="Tretabeli"/>
            </w:pPr>
            <w:r w:rsidRPr="00CF7594">
              <w:t>0,02</w:t>
            </w:r>
          </w:p>
        </w:tc>
      </w:tr>
      <w:tr w:rsidR="00CF7594" w14:paraId="57940A12" w14:textId="77777777" w:rsidTr="00CF7594">
        <w:trPr>
          <w:trHeight w:val="283"/>
        </w:trPr>
        <w:tc>
          <w:tcPr>
            <w:tcW w:w="1928" w:type="dxa"/>
            <w:shd w:val="clear" w:color="auto" w:fill="auto"/>
            <w:vAlign w:val="center"/>
          </w:tcPr>
          <w:p w14:paraId="37053A02" w14:textId="2185FA5D" w:rsidR="00CF7594" w:rsidRPr="00CF7594" w:rsidRDefault="00CF7594" w:rsidP="00CF7594">
            <w:pPr>
              <w:pStyle w:val="Tretabeli"/>
            </w:pPr>
            <w:r w:rsidRPr="00CF7594">
              <w:t>Mediana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5E8F2648" w14:textId="2BE29854" w:rsidR="00CF7594" w:rsidRPr="00CF7594" w:rsidRDefault="00CF7594" w:rsidP="00CF7594">
            <w:pPr>
              <w:pStyle w:val="Tretabeli"/>
            </w:pPr>
            <w:r w:rsidRPr="00CF7594">
              <w:t>-0,04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34BC83E7" w14:textId="2EFAA07D" w:rsidR="00CF7594" w:rsidRPr="00CF7594" w:rsidRDefault="00CF7594" w:rsidP="00CF7594">
            <w:pPr>
              <w:pStyle w:val="Tretabeli"/>
            </w:pPr>
            <w:r w:rsidRPr="00CF7594">
              <w:t>-0,04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3F1D1666" w14:textId="5FEBAA4F" w:rsidR="00CF7594" w:rsidRPr="00CF7594" w:rsidRDefault="00CF7594" w:rsidP="00CF7594">
            <w:pPr>
              <w:pStyle w:val="Tretabeli"/>
            </w:pPr>
            <w:r w:rsidRPr="00CF7594">
              <w:t>-0,05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59F12CF5" w14:textId="6EF17CCD" w:rsidR="00CF7594" w:rsidRPr="00CF7594" w:rsidRDefault="00CF7594" w:rsidP="00CF7594">
            <w:pPr>
              <w:pStyle w:val="Tretabeli"/>
            </w:pPr>
            <w:r w:rsidRPr="00CF7594">
              <w:t>-0,10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14568E0B" w14:textId="414DB816" w:rsidR="00CF7594" w:rsidRPr="00CF7594" w:rsidRDefault="00CF7594" w:rsidP="00CF7594">
            <w:pPr>
              <w:pStyle w:val="Tretabeli"/>
            </w:pPr>
            <w:r w:rsidRPr="00CF7594">
              <w:t>-0,01</w:t>
            </w:r>
          </w:p>
        </w:tc>
      </w:tr>
      <w:tr w:rsidR="00CF7594" w14:paraId="6435F508" w14:textId="77777777" w:rsidTr="00CF7594">
        <w:trPr>
          <w:trHeight w:val="283"/>
        </w:trPr>
        <w:tc>
          <w:tcPr>
            <w:tcW w:w="1928" w:type="dxa"/>
            <w:shd w:val="clear" w:color="auto" w:fill="auto"/>
            <w:vAlign w:val="center"/>
          </w:tcPr>
          <w:p w14:paraId="655338B7" w14:textId="5D9C0852" w:rsidR="00CF7594" w:rsidRPr="00CF7594" w:rsidRDefault="00CF7594" w:rsidP="00CF7594">
            <w:pPr>
              <w:pStyle w:val="Tretabeli"/>
            </w:pPr>
            <w:r w:rsidRPr="00CF7594">
              <w:t>Q3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44B3BF10" w14:textId="45F813F2" w:rsidR="00CF7594" w:rsidRPr="00CF7594" w:rsidRDefault="00CF7594" w:rsidP="00CF7594">
            <w:pPr>
              <w:pStyle w:val="Tretabeli"/>
            </w:pPr>
            <w:r w:rsidRPr="00CF7594">
              <w:t>0,32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3EB5A8F2" w14:textId="592202CE" w:rsidR="00CF7594" w:rsidRPr="00CF7594" w:rsidRDefault="00CF7594" w:rsidP="00CF7594">
            <w:pPr>
              <w:pStyle w:val="Tretabeli"/>
            </w:pPr>
            <w:r w:rsidRPr="00CF7594">
              <w:t>0,37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5A1F277A" w14:textId="08D27527" w:rsidR="00CF7594" w:rsidRPr="00CF7594" w:rsidRDefault="00CF7594" w:rsidP="00CF7594">
            <w:pPr>
              <w:pStyle w:val="Tretabeli"/>
            </w:pPr>
            <w:r w:rsidRPr="00CF7594">
              <w:t>0,34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783A4BCF" w14:textId="0CE50441" w:rsidR="00CF7594" w:rsidRPr="00CF7594" w:rsidRDefault="00CF7594" w:rsidP="00CF7594">
            <w:pPr>
              <w:pStyle w:val="Tretabeli"/>
            </w:pPr>
            <w:r w:rsidRPr="00CF7594">
              <w:t>0,53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6F7B31E4" w14:textId="48E0F619" w:rsidR="00CF7594" w:rsidRPr="00CF7594" w:rsidRDefault="00CF7594" w:rsidP="00CF7594">
            <w:pPr>
              <w:pStyle w:val="Tretabeli"/>
            </w:pPr>
            <w:r w:rsidRPr="00CF7594">
              <w:t>0,57</w:t>
            </w:r>
          </w:p>
        </w:tc>
      </w:tr>
      <w:tr w:rsidR="00CF7594" w14:paraId="4689B94B" w14:textId="77777777" w:rsidTr="00CF7594">
        <w:trPr>
          <w:trHeight w:val="283"/>
        </w:trPr>
        <w:tc>
          <w:tcPr>
            <w:tcW w:w="1928" w:type="dxa"/>
            <w:shd w:val="clear" w:color="auto" w:fill="auto"/>
            <w:vAlign w:val="center"/>
          </w:tcPr>
          <w:p w14:paraId="050621D4" w14:textId="128174B2" w:rsidR="00CF7594" w:rsidRPr="00CF7594" w:rsidRDefault="00CF7594" w:rsidP="00CF7594">
            <w:pPr>
              <w:pStyle w:val="Tretabeli"/>
            </w:pPr>
            <w:r w:rsidRPr="00CF7594">
              <w:t>M</w:t>
            </w:r>
            <w:r>
              <w:t>aximum</w:t>
            </w:r>
          </w:p>
        </w:tc>
        <w:tc>
          <w:tcPr>
            <w:tcW w:w="1053" w:type="dxa"/>
            <w:shd w:val="clear" w:color="auto" w:fill="auto"/>
            <w:vAlign w:val="bottom"/>
          </w:tcPr>
          <w:p w14:paraId="574C8766" w14:textId="3F234C1D" w:rsidR="00CF7594" w:rsidRPr="00CF7594" w:rsidRDefault="00CF7594" w:rsidP="00CF7594">
            <w:pPr>
              <w:pStyle w:val="Tretabeli"/>
            </w:pPr>
            <w:r w:rsidRPr="00CF7594">
              <w:t>9,99</w:t>
            </w:r>
          </w:p>
        </w:tc>
        <w:tc>
          <w:tcPr>
            <w:tcW w:w="1053" w:type="dxa"/>
            <w:shd w:val="clear" w:color="auto" w:fill="auto"/>
            <w:vAlign w:val="bottom"/>
          </w:tcPr>
          <w:p w14:paraId="2DF3358A" w14:textId="482BCB14" w:rsidR="00CF7594" w:rsidRPr="00CF7594" w:rsidRDefault="00CF7594" w:rsidP="00CF7594">
            <w:pPr>
              <w:pStyle w:val="Tretabeli"/>
            </w:pPr>
            <w:r w:rsidRPr="00CF7594">
              <w:t>6,07</w:t>
            </w:r>
          </w:p>
        </w:tc>
        <w:tc>
          <w:tcPr>
            <w:tcW w:w="1054" w:type="dxa"/>
            <w:shd w:val="clear" w:color="auto" w:fill="auto"/>
            <w:vAlign w:val="bottom"/>
          </w:tcPr>
          <w:p w14:paraId="6659AEAC" w14:textId="531A903D" w:rsidR="00CF7594" w:rsidRPr="00CF7594" w:rsidRDefault="00CF7594" w:rsidP="00CF7594">
            <w:pPr>
              <w:pStyle w:val="Tretabeli"/>
            </w:pPr>
            <w:r w:rsidRPr="00CF7594">
              <w:t>13,05</w:t>
            </w:r>
          </w:p>
        </w:tc>
        <w:tc>
          <w:tcPr>
            <w:tcW w:w="1053" w:type="dxa"/>
            <w:shd w:val="clear" w:color="auto" w:fill="auto"/>
            <w:vAlign w:val="bottom"/>
          </w:tcPr>
          <w:p w14:paraId="198ED786" w14:textId="3D1C430F" w:rsidR="00CF7594" w:rsidRPr="00CF7594" w:rsidRDefault="00CF7594" w:rsidP="00CF7594">
            <w:pPr>
              <w:pStyle w:val="Tretabeli"/>
            </w:pPr>
            <w:r w:rsidRPr="00CF7594">
              <w:t>43,75</w:t>
            </w:r>
          </w:p>
        </w:tc>
        <w:tc>
          <w:tcPr>
            <w:tcW w:w="1054" w:type="dxa"/>
            <w:shd w:val="clear" w:color="auto" w:fill="auto"/>
            <w:vAlign w:val="bottom"/>
          </w:tcPr>
          <w:p w14:paraId="17EEFDC2" w14:textId="00457A8F" w:rsidR="00CF7594" w:rsidRPr="00CF7594" w:rsidRDefault="00CF7594" w:rsidP="00CF7594">
            <w:pPr>
              <w:pStyle w:val="Tretabeli"/>
            </w:pPr>
            <w:r w:rsidRPr="00CF7594">
              <w:t>14,25</w:t>
            </w:r>
          </w:p>
        </w:tc>
      </w:tr>
    </w:tbl>
    <w:p w14:paraId="3A038BC2" w14:textId="3511CC82" w:rsidR="00241F4E" w:rsidRDefault="008F3F1A" w:rsidP="00975314">
      <w:pPr>
        <w:pStyle w:val="rdo"/>
      </w:pPr>
      <w:r>
        <w:t xml:space="preserve">Źródło: </w:t>
      </w:r>
      <w:r w:rsidR="00CF7594">
        <w:t>Opracowanie własne</w:t>
      </w:r>
    </w:p>
    <w:p w14:paraId="123EB877" w14:textId="7B65CDDC" w:rsidR="00503AD9" w:rsidRDefault="00503AD9" w:rsidP="00503AD9">
      <w:pPr>
        <w:pStyle w:val="Nagwek3"/>
      </w:pPr>
      <w:r>
        <w:lastRenderedPageBreak/>
        <w:t xml:space="preserve">Przebieg </w:t>
      </w:r>
      <w:r w:rsidR="00D41DB1">
        <w:t xml:space="preserve">i wyniki </w:t>
      </w:r>
      <w:r>
        <w:t>badania</w:t>
      </w:r>
    </w:p>
    <w:p w14:paraId="419A396E" w14:textId="0C5D3588" w:rsidR="00503AD9" w:rsidRDefault="007D3A51" w:rsidP="007D3A51">
      <w:r>
        <w:t xml:space="preserve">Na podstawie danych historycznych </w:t>
      </w:r>
      <w:r>
        <w:t>dotyczących dziennych strat każdego rozważanego indeksu, na podstawie 250-dniowej historii, z wykorzystaniem metody historycznej i metody historycznej z wagami</w:t>
      </w:r>
      <w:r w:rsidR="00503AD9">
        <w:t>,</w:t>
      </w:r>
      <w:r>
        <w:t xml:space="preserve"> </w:t>
      </w:r>
      <w:r w:rsidR="00503AD9">
        <w:t>uzyskano</w:t>
      </w:r>
      <w:r>
        <w:t xml:space="preserve"> oszacowania 99% wartości narażonej na ryzyko i 99% niedoboru oczekiwanego</w:t>
      </w:r>
      <w:r w:rsidR="00503AD9">
        <w:t xml:space="preserve"> w okresie od </w:t>
      </w:r>
      <w:r w:rsidR="00503AD9">
        <w:t>19</w:t>
      </w:r>
      <w:r w:rsidR="00503AD9">
        <w:t xml:space="preserve"> października </w:t>
      </w:r>
      <w:r w:rsidR="00503AD9">
        <w:t>20</w:t>
      </w:r>
      <w:r w:rsidR="000F61B9">
        <w:t>19</w:t>
      </w:r>
      <w:r w:rsidR="00503AD9">
        <w:t xml:space="preserve"> </w:t>
      </w:r>
      <w:r w:rsidR="00503AD9">
        <w:t>r</w:t>
      </w:r>
      <w:r w:rsidR="00503AD9">
        <w:t>oku</w:t>
      </w:r>
      <w:r w:rsidR="00503AD9">
        <w:t xml:space="preserve"> do 31</w:t>
      </w:r>
      <w:r w:rsidR="00503AD9">
        <w:t xml:space="preserve"> marca </w:t>
      </w:r>
      <w:r w:rsidR="00503AD9">
        <w:t>2023</w:t>
      </w:r>
      <w:r w:rsidR="00503AD9">
        <w:t xml:space="preserve"> roku</w:t>
      </w:r>
      <w:r w:rsidR="000F61B9">
        <w:t xml:space="preserve"> (łącznie 1260 oszacowań w tym okresie)</w:t>
      </w:r>
      <w:r w:rsidR="00503AD9">
        <w:t>.</w:t>
      </w:r>
    </w:p>
    <w:p w14:paraId="203D2FDC" w14:textId="35D35321" w:rsidR="007A23F8" w:rsidRDefault="007D3A51" w:rsidP="007D3A51">
      <w:pPr>
        <w:rPr>
          <w:rFonts w:eastAsiaTheme="minorEastAsia"/>
        </w:rPr>
      </w:pPr>
      <w:r>
        <w:t xml:space="preserve">Następnie, wykorzystując test Kupca (przyjęto poziom istotności </w:t>
      </w:r>
      <m:oMath>
        <m:r>
          <w:rPr>
            <w:rFonts w:ascii="Cambria Math" w:hAnsi="Cambria Math"/>
          </w:rPr>
          <m:t>α=0,05</m:t>
        </m:r>
      </m:oMath>
      <w:r>
        <w:rPr>
          <w:rFonts w:eastAsiaTheme="minorEastAsia"/>
        </w:rPr>
        <w:t>) i test świateł dokonano oceny jakości wyników dla metody historycznej z wagami.</w:t>
      </w:r>
      <w:r w:rsidR="00D41DB1">
        <w:rPr>
          <w:rFonts w:eastAsiaTheme="minorEastAsia"/>
        </w:rPr>
        <w:t xml:space="preserve"> </w:t>
      </w:r>
      <w:r w:rsidR="0007600C">
        <w:rPr>
          <w:rFonts w:eastAsiaTheme="minorEastAsia"/>
        </w:rPr>
        <w:t>O ile w przypadku metody historycznej testy pokrycia nie były przeprowadzone (są one spełnione z definicji), to dla metody z wagami uzyskano</w:t>
      </w:r>
      <w:r w:rsidR="0007600C">
        <w:rPr>
          <w:rFonts w:eastAsiaTheme="minorEastAsia"/>
        </w:rPr>
        <w:t xml:space="preserve"> wyniki potwierdzające poprawność uzyskanych oszacowań. Na poziome istotności </w:t>
      </w:r>
      <m:oMath>
        <m:r>
          <w:rPr>
            <w:rFonts w:ascii="Cambria Math" w:hAnsi="Cambria Math"/>
          </w:rPr>
          <m:t>α=0,05</m:t>
        </m:r>
      </m:oMath>
      <w:r w:rsidR="0007600C">
        <w:t xml:space="preserve"> t</w:t>
      </w:r>
      <w:r w:rsidR="0007600C">
        <w:rPr>
          <w:rFonts w:eastAsiaTheme="minorEastAsia"/>
        </w:rPr>
        <w:t xml:space="preserve">est Kupca </w:t>
      </w:r>
      <w:r w:rsidR="000F61B9">
        <w:rPr>
          <w:rFonts w:eastAsiaTheme="minorEastAsia"/>
        </w:rPr>
        <w:t>w ponad 99,6% przypadków</w:t>
      </w:r>
      <w:r w:rsidR="0007600C">
        <w:rPr>
          <w:rFonts w:eastAsiaTheme="minorEastAsia"/>
        </w:rPr>
        <w:t xml:space="preserve"> nie odrzucił hipotezy zerowej o właściwej liczbie wyjątków. </w:t>
      </w:r>
    </w:p>
    <w:p w14:paraId="6853D439" w14:textId="577AFED3" w:rsidR="0007600C" w:rsidRDefault="0007600C" w:rsidP="007D3A51">
      <w:pPr>
        <w:rPr>
          <w:rFonts w:eastAsiaTheme="minorEastAsia"/>
        </w:rPr>
      </w:pPr>
      <w:r>
        <w:rPr>
          <w:rFonts w:eastAsiaTheme="minorEastAsia"/>
        </w:rPr>
        <w:t>Wyniki testu świateł przedstawiono w</w:t>
      </w:r>
      <w:r w:rsidR="000F61B9">
        <w:rPr>
          <w:rFonts w:eastAsiaTheme="minorEastAsia"/>
        </w:rPr>
        <w:t> </w:t>
      </w:r>
      <w:r>
        <w:rPr>
          <w:rFonts w:eastAsiaTheme="minorEastAsia"/>
        </w:rPr>
        <w:t>Tab. 13.2.</w:t>
      </w:r>
      <w:r w:rsidR="007A23F8">
        <w:rPr>
          <w:rFonts w:eastAsiaTheme="minorEastAsia"/>
        </w:rPr>
        <w:t xml:space="preserve"> Świadczą one o tym, że w 85-95% przypadków liczba wyjątków w testowaniu wstecznym pozwala na znalezienie się w zielonej strefie. W żółtej strefie najrzadziej pojawiały się oszacowania </w:t>
      </w:r>
      <w:proofErr w:type="spellStart"/>
      <w:r w:rsidR="007A23F8">
        <w:rPr>
          <w:rFonts w:eastAsiaTheme="minorEastAsia"/>
        </w:rPr>
        <w:t>VaR</w:t>
      </w:r>
      <w:proofErr w:type="spellEnd"/>
      <w:r w:rsidR="007A23F8">
        <w:rPr>
          <w:rFonts w:eastAsiaTheme="minorEastAsia"/>
        </w:rPr>
        <w:t xml:space="preserve"> dla indeksu DAX (5,8% przypadków). Najczęściej ta sytuacja miała miejsce dla indeksu RTSI (14,5% przypadków). </w:t>
      </w:r>
    </w:p>
    <w:p w14:paraId="247E98BC" w14:textId="2659EE31" w:rsidR="0007600C" w:rsidRDefault="0007600C" w:rsidP="0007600C">
      <w:pPr>
        <w:pStyle w:val="Nrtabeli"/>
      </w:pPr>
      <w:r>
        <w:rPr>
          <w:rFonts w:eastAsiaTheme="minorEastAsia"/>
        </w:rPr>
        <w:t xml:space="preserve"> </w:t>
      </w:r>
      <w:r>
        <w:t>Tab. 13.</w:t>
      </w:r>
      <w:r w:rsidR="000F61B9">
        <w:t>2</w:t>
      </w:r>
      <w:r>
        <w:t xml:space="preserve">. </w:t>
      </w:r>
      <w:r>
        <w:t>Wyniki testu świateł dla odpowiednich indeksów giełdowych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1928"/>
        <w:gridCol w:w="1053"/>
        <w:gridCol w:w="1053"/>
        <w:gridCol w:w="1054"/>
        <w:gridCol w:w="1053"/>
        <w:gridCol w:w="1054"/>
      </w:tblGrid>
      <w:tr w:rsidR="0007600C" w14:paraId="6C1C8C57" w14:textId="77777777" w:rsidTr="003F4F22">
        <w:trPr>
          <w:trHeight w:val="283"/>
        </w:trPr>
        <w:tc>
          <w:tcPr>
            <w:tcW w:w="1928" w:type="dxa"/>
            <w:shd w:val="clear" w:color="auto" w:fill="auto"/>
            <w:vAlign w:val="center"/>
          </w:tcPr>
          <w:p w14:paraId="27B62064" w14:textId="04347ABF" w:rsidR="0007600C" w:rsidRPr="00CF7594" w:rsidRDefault="0007600C" w:rsidP="003F4F22">
            <w:pPr>
              <w:pStyle w:val="Nagwektabeli"/>
            </w:pPr>
            <w:r>
              <w:t>Liczba wyjątków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110569BB" w14:textId="77777777" w:rsidR="0007600C" w:rsidRPr="00CF7594" w:rsidRDefault="0007600C" w:rsidP="003F4F22">
            <w:pPr>
              <w:pStyle w:val="Nagwektabeli"/>
            </w:pPr>
            <w:r w:rsidRPr="00CF7594">
              <w:t>S&amp;P500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17B5F6C4" w14:textId="77777777" w:rsidR="0007600C" w:rsidRPr="00CF7594" w:rsidRDefault="0007600C" w:rsidP="003F4F22">
            <w:pPr>
              <w:pStyle w:val="Nagwektabeli"/>
            </w:pPr>
            <w:r w:rsidRPr="00CF7594">
              <w:t>SSE100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3AC869C9" w14:textId="77777777" w:rsidR="0007600C" w:rsidRPr="00CF7594" w:rsidRDefault="0007600C" w:rsidP="003F4F22">
            <w:pPr>
              <w:pStyle w:val="Nagwektabeli"/>
            </w:pPr>
            <w:r w:rsidRPr="00CF7594">
              <w:t>DAX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358F20C8" w14:textId="77777777" w:rsidR="0007600C" w:rsidRPr="00CF7594" w:rsidRDefault="0007600C" w:rsidP="003F4F22">
            <w:pPr>
              <w:pStyle w:val="Nagwektabeli"/>
            </w:pPr>
            <w:r w:rsidRPr="00CF7594">
              <w:t>RTSI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4EE96D8D" w14:textId="77777777" w:rsidR="0007600C" w:rsidRPr="00CF7594" w:rsidRDefault="0007600C" w:rsidP="003F4F22">
            <w:pPr>
              <w:pStyle w:val="Nagwektabeli"/>
            </w:pPr>
            <w:r w:rsidRPr="00CF7594">
              <w:t>WIG20</w:t>
            </w:r>
          </w:p>
        </w:tc>
      </w:tr>
      <w:tr w:rsidR="0007600C" w14:paraId="3710F28C" w14:textId="77777777" w:rsidTr="000F61B9">
        <w:trPr>
          <w:trHeight w:val="283"/>
        </w:trPr>
        <w:tc>
          <w:tcPr>
            <w:tcW w:w="1928" w:type="dxa"/>
            <w:shd w:val="clear" w:color="auto" w:fill="EAF1DD" w:themeFill="accent3" w:themeFillTint="33"/>
            <w:vAlign w:val="center"/>
          </w:tcPr>
          <w:p w14:paraId="1E40E8CF" w14:textId="6BEC8E25" w:rsidR="0007600C" w:rsidRPr="00CF7594" w:rsidRDefault="0007600C" w:rsidP="003F4F22">
            <w:pPr>
              <w:pStyle w:val="Tretabeli"/>
            </w:pPr>
            <w:r>
              <w:t>0 (strefa zielona)</w:t>
            </w:r>
          </w:p>
        </w:tc>
        <w:tc>
          <w:tcPr>
            <w:tcW w:w="1053" w:type="dxa"/>
            <w:shd w:val="clear" w:color="auto" w:fill="EAF1DD" w:themeFill="accent3" w:themeFillTint="33"/>
            <w:vAlign w:val="bottom"/>
          </w:tcPr>
          <w:p w14:paraId="3B3002C6" w14:textId="2AE35C7B" w:rsidR="0007600C" w:rsidRPr="00CF7594" w:rsidRDefault="000F61B9" w:rsidP="003F4F22">
            <w:pPr>
              <w:pStyle w:val="Tretabeli"/>
            </w:pPr>
            <w:r>
              <w:t>64</w:t>
            </w:r>
          </w:p>
        </w:tc>
        <w:tc>
          <w:tcPr>
            <w:tcW w:w="1053" w:type="dxa"/>
            <w:shd w:val="clear" w:color="auto" w:fill="EAF1DD" w:themeFill="accent3" w:themeFillTint="33"/>
            <w:vAlign w:val="bottom"/>
          </w:tcPr>
          <w:p w14:paraId="3BE73AE6" w14:textId="31543D8B" w:rsidR="0007600C" w:rsidRPr="00CF7594" w:rsidRDefault="000F61B9" w:rsidP="003F4F22">
            <w:pPr>
              <w:pStyle w:val="Tretabeli"/>
            </w:pPr>
            <w:r>
              <w:t>52</w:t>
            </w:r>
          </w:p>
        </w:tc>
        <w:tc>
          <w:tcPr>
            <w:tcW w:w="1054" w:type="dxa"/>
            <w:shd w:val="clear" w:color="auto" w:fill="EAF1DD" w:themeFill="accent3" w:themeFillTint="33"/>
            <w:vAlign w:val="bottom"/>
          </w:tcPr>
          <w:p w14:paraId="30CB62A5" w14:textId="21460767" w:rsidR="0007600C" w:rsidRPr="00CF7594" w:rsidRDefault="000F61B9" w:rsidP="003F4F22">
            <w:pPr>
              <w:pStyle w:val="Tretabeli"/>
            </w:pPr>
            <w:r>
              <w:t>37</w:t>
            </w:r>
          </w:p>
        </w:tc>
        <w:tc>
          <w:tcPr>
            <w:tcW w:w="1053" w:type="dxa"/>
            <w:shd w:val="clear" w:color="auto" w:fill="EAF1DD" w:themeFill="accent3" w:themeFillTint="33"/>
            <w:vAlign w:val="bottom"/>
          </w:tcPr>
          <w:p w14:paraId="05942CA9" w14:textId="74CCF1D0" w:rsidR="0007600C" w:rsidRPr="00CF7594" w:rsidRDefault="000F61B9" w:rsidP="003F4F22">
            <w:pPr>
              <w:pStyle w:val="Tretabeli"/>
            </w:pPr>
            <w:r>
              <w:t>57</w:t>
            </w:r>
          </w:p>
        </w:tc>
        <w:tc>
          <w:tcPr>
            <w:tcW w:w="1054" w:type="dxa"/>
            <w:shd w:val="clear" w:color="auto" w:fill="EAF1DD" w:themeFill="accent3" w:themeFillTint="33"/>
            <w:vAlign w:val="bottom"/>
          </w:tcPr>
          <w:p w14:paraId="20820545" w14:textId="1B813D52" w:rsidR="0007600C" w:rsidRPr="00CF7594" w:rsidRDefault="000F61B9" w:rsidP="003F4F22">
            <w:pPr>
              <w:pStyle w:val="Tretabeli"/>
            </w:pPr>
            <w:r>
              <w:t>38</w:t>
            </w:r>
          </w:p>
        </w:tc>
      </w:tr>
      <w:tr w:rsidR="0007600C" w14:paraId="2017B05A" w14:textId="77777777" w:rsidTr="000F61B9">
        <w:trPr>
          <w:trHeight w:val="283"/>
        </w:trPr>
        <w:tc>
          <w:tcPr>
            <w:tcW w:w="1928" w:type="dxa"/>
            <w:shd w:val="clear" w:color="auto" w:fill="EAF1DD" w:themeFill="accent3" w:themeFillTint="33"/>
            <w:vAlign w:val="center"/>
          </w:tcPr>
          <w:p w14:paraId="2035AD78" w14:textId="0047400B" w:rsidR="0007600C" w:rsidRPr="00CF7594" w:rsidRDefault="0007600C" w:rsidP="003F4F22">
            <w:pPr>
              <w:pStyle w:val="Tretabeli"/>
            </w:pPr>
            <w:r>
              <w:t>1</w:t>
            </w:r>
            <w:r>
              <w:t xml:space="preserve"> (strefa zielona)</w:t>
            </w:r>
          </w:p>
        </w:tc>
        <w:tc>
          <w:tcPr>
            <w:tcW w:w="1053" w:type="dxa"/>
            <w:shd w:val="clear" w:color="auto" w:fill="EAF1DD" w:themeFill="accent3" w:themeFillTint="33"/>
            <w:vAlign w:val="center"/>
          </w:tcPr>
          <w:p w14:paraId="464C8872" w14:textId="529560F9" w:rsidR="0007600C" w:rsidRPr="00CF7594" w:rsidRDefault="000F61B9" w:rsidP="003F4F22">
            <w:pPr>
              <w:pStyle w:val="Tretabeli"/>
            </w:pPr>
            <w:r>
              <w:t>316</w:t>
            </w:r>
          </w:p>
        </w:tc>
        <w:tc>
          <w:tcPr>
            <w:tcW w:w="1053" w:type="dxa"/>
            <w:shd w:val="clear" w:color="auto" w:fill="EAF1DD" w:themeFill="accent3" w:themeFillTint="33"/>
            <w:vAlign w:val="center"/>
          </w:tcPr>
          <w:p w14:paraId="011B4B92" w14:textId="4F0EAEEE" w:rsidR="0007600C" w:rsidRPr="00CF7594" w:rsidRDefault="000F61B9" w:rsidP="003F4F22">
            <w:pPr>
              <w:pStyle w:val="Tretabeli"/>
            </w:pPr>
            <w:r>
              <w:t>325</w:t>
            </w:r>
          </w:p>
        </w:tc>
        <w:tc>
          <w:tcPr>
            <w:tcW w:w="1054" w:type="dxa"/>
            <w:shd w:val="clear" w:color="auto" w:fill="EAF1DD" w:themeFill="accent3" w:themeFillTint="33"/>
            <w:vAlign w:val="center"/>
          </w:tcPr>
          <w:p w14:paraId="0F2EBE77" w14:textId="6B696D9A" w:rsidR="0007600C" w:rsidRPr="00CF7594" w:rsidRDefault="000F61B9" w:rsidP="003F4F22">
            <w:pPr>
              <w:pStyle w:val="Tretabeli"/>
            </w:pPr>
            <w:r>
              <w:t>288</w:t>
            </w:r>
          </w:p>
        </w:tc>
        <w:tc>
          <w:tcPr>
            <w:tcW w:w="1053" w:type="dxa"/>
            <w:shd w:val="clear" w:color="auto" w:fill="EAF1DD" w:themeFill="accent3" w:themeFillTint="33"/>
            <w:vAlign w:val="center"/>
          </w:tcPr>
          <w:p w14:paraId="0F4D84F8" w14:textId="09C6F7E0" w:rsidR="0007600C" w:rsidRPr="00CF7594" w:rsidRDefault="000F61B9" w:rsidP="003F4F22">
            <w:pPr>
              <w:pStyle w:val="Tretabeli"/>
            </w:pPr>
            <w:r>
              <w:t>303</w:t>
            </w:r>
          </w:p>
        </w:tc>
        <w:tc>
          <w:tcPr>
            <w:tcW w:w="1054" w:type="dxa"/>
            <w:shd w:val="clear" w:color="auto" w:fill="EAF1DD" w:themeFill="accent3" w:themeFillTint="33"/>
            <w:vAlign w:val="center"/>
          </w:tcPr>
          <w:p w14:paraId="2BF2E3BE" w14:textId="7FAD6700" w:rsidR="0007600C" w:rsidRPr="00CF7594" w:rsidRDefault="000F61B9" w:rsidP="003F4F22">
            <w:pPr>
              <w:pStyle w:val="Tretabeli"/>
            </w:pPr>
            <w:r>
              <w:t>293</w:t>
            </w:r>
          </w:p>
        </w:tc>
      </w:tr>
      <w:tr w:rsidR="0007600C" w14:paraId="13A5DAE8" w14:textId="77777777" w:rsidTr="000F61B9">
        <w:trPr>
          <w:trHeight w:val="283"/>
        </w:trPr>
        <w:tc>
          <w:tcPr>
            <w:tcW w:w="1928" w:type="dxa"/>
            <w:shd w:val="clear" w:color="auto" w:fill="EAF1DD" w:themeFill="accent3" w:themeFillTint="33"/>
            <w:vAlign w:val="center"/>
          </w:tcPr>
          <w:p w14:paraId="47D530FE" w14:textId="48709F2B" w:rsidR="0007600C" w:rsidRPr="00CF7594" w:rsidRDefault="0007600C" w:rsidP="003F4F22">
            <w:pPr>
              <w:pStyle w:val="Tretabeli"/>
            </w:pPr>
            <w:r>
              <w:t>2</w:t>
            </w:r>
            <w:r>
              <w:t xml:space="preserve"> (strefa zielona)</w:t>
            </w:r>
          </w:p>
        </w:tc>
        <w:tc>
          <w:tcPr>
            <w:tcW w:w="1053" w:type="dxa"/>
            <w:shd w:val="clear" w:color="auto" w:fill="EAF1DD" w:themeFill="accent3" w:themeFillTint="33"/>
            <w:vAlign w:val="center"/>
          </w:tcPr>
          <w:p w14:paraId="58C55C9F" w14:textId="181A057A" w:rsidR="0007600C" w:rsidRPr="00CF7594" w:rsidRDefault="000F61B9" w:rsidP="003F4F22">
            <w:pPr>
              <w:pStyle w:val="Tretabeli"/>
            </w:pPr>
            <w:r>
              <w:t>309</w:t>
            </w:r>
          </w:p>
        </w:tc>
        <w:tc>
          <w:tcPr>
            <w:tcW w:w="1053" w:type="dxa"/>
            <w:shd w:val="clear" w:color="auto" w:fill="EAF1DD" w:themeFill="accent3" w:themeFillTint="33"/>
            <w:vAlign w:val="center"/>
          </w:tcPr>
          <w:p w14:paraId="267F27EA" w14:textId="15FC8708" w:rsidR="0007600C" w:rsidRPr="00CF7594" w:rsidRDefault="000F61B9" w:rsidP="003F4F22">
            <w:pPr>
              <w:pStyle w:val="Tretabeli"/>
            </w:pPr>
            <w:r>
              <w:t>360</w:t>
            </w:r>
          </w:p>
        </w:tc>
        <w:tc>
          <w:tcPr>
            <w:tcW w:w="1054" w:type="dxa"/>
            <w:shd w:val="clear" w:color="auto" w:fill="EAF1DD" w:themeFill="accent3" w:themeFillTint="33"/>
            <w:vAlign w:val="center"/>
          </w:tcPr>
          <w:p w14:paraId="772B01EA" w14:textId="71812323" w:rsidR="0007600C" w:rsidRPr="00CF7594" w:rsidRDefault="000F61B9" w:rsidP="003F4F22">
            <w:pPr>
              <w:pStyle w:val="Tretabeli"/>
            </w:pPr>
            <w:r>
              <w:t>312</w:t>
            </w:r>
          </w:p>
        </w:tc>
        <w:tc>
          <w:tcPr>
            <w:tcW w:w="1053" w:type="dxa"/>
            <w:shd w:val="clear" w:color="auto" w:fill="EAF1DD" w:themeFill="accent3" w:themeFillTint="33"/>
            <w:vAlign w:val="center"/>
          </w:tcPr>
          <w:p w14:paraId="47F559E8" w14:textId="6CE84653" w:rsidR="0007600C" w:rsidRPr="00CF7594" w:rsidRDefault="000F61B9" w:rsidP="003F4F22">
            <w:pPr>
              <w:pStyle w:val="Tretabeli"/>
            </w:pPr>
            <w:r>
              <w:t>224</w:t>
            </w:r>
          </w:p>
        </w:tc>
        <w:tc>
          <w:tcPr>
            <w:tcW w:w="1054" w:type="dxa"/>
            <w:shd w:val="clear" w:color="auto" w:fill="EAF1DD" w:themeFill="accent3" w:themeFillTint="33"/>
            <w:vAlign w:val="center"/>
          </w:tcPr>
          <w:p w14:paraId="2A86E257" w14:textId="390B1D31" w:rsidR="0007600C" w:rsidRPr="00CF7594" w:rsidRDefault="000F61B9" w:rsidP="003F4F22">
            <w:pPr>
              <w:pStyle w:val="Tretabeli"/>
            </w:pPr>
            <w:r>
              <w:t>347</w:t>
            </w:r>
          </w:p>
        </w:tc>
      </w:tr>
      <w:tr w:rsidR="0007600C" w14:paraId="7F89C034" w14:textId="77777777" w:rsidTr="000F61B9">
        <w:trPr>
          <w:trHeight w:val="283"/>
        </w:trPr>
        <w:tc>
          <w:tcPr>
            <w:tcW w:w="1928" w:type="dxa"/>
            <w:shd w:val="clear" w:color="auto" w:fill="EAF1DD" w:themeFill="accent3" w:themeFillTint="33"/>
            <w:vAlign w:val="center"/>
          </w:tcPr>
          <w:p w14:paraId="5CCBABB4" w14:textId="2396FECE" w:rsidR="0007600C" w:rsidRPr="00CF7594" w:rsidRDefault="0007600C" w:rsidP="003F4F22">
            <w:pPr>
              <w:pStyle w:val="Tretabeli"/>
            </w:pPr>
            <w:r>
              <w:t>3</w:t>
            </w:r>
            <w:r>
              <w:t xml:space="preserve"> (strefa zielona)</w:t>
            </w:r>
          </w:p>
        </w:tc>
        <w:tc>
          <w:tcPr>
            <w:tcW w:w="1053" w:type="dxa"/>
            <w:shd w:val="clear" w:color="auto" w:fill="EAF1DD" w:themeFill="accent3" w:themeFillTint="33"/>
            <w:vAlign w:val="center"/>
          </w:tcPr>
          <w:p w14:paraId="0C8705CA" w14:textId="6864729F" w:rsidR="0007600C" w:rsidRPr="00CF7594" w:rsidRDefault="000F61B9" w:rsidP="003F4F22">
            <w:pPr>
              <w:pStyle w:val="Tretabeli"/>
            </w:pPr>
            <w:r>
              <w:t>278</w:t>
            </w:r>
          </w:p>
        </w:tc>
        <w:tc>
          <w:tcPr>
            <w:tcW w:w="1053" w:type="dxa"/>
            <w:shd w:val="clear" w:color="auto" w:fill="EAF1DD" w:themeFill="accent3" w:themeFillTint="33"/>
            <w:vAlign w:val="center"/>
          </w:tcPr>
          <w:p w14:paraId="32F5D15A" w14:textId="3F442245" w:rsidR="0007600C" w:rsidRPr="00CF7594" w:rsidRDefault="000F61B9" w:rsidP="003F4F22">
            <w:pPr>
              <w:pStyle w:val="Tretabeli"/>
            </w:pPr>
            <w:r>
              <w:t>321</w:t>
            </w:r>
          </w:p>
        </w:tc>
        <w:tc>
          <w:tcPr>
            <w:tcW w:w="1054" w:type="dxa"/>
            <w:shd w:val="clear" w:color="auto" w:fill="EAF1DD" w:themeFill="accent3" w:themeFillTint="33"/>
            <w:vAlign w:val="center"/>
          </w:tcPr>
          <w:p w14:paraId="1B6D41AA" w14:textId="10597808" w:rsidR="0007600C" w:rsidRPr="00CF7594" w:rsidRDefault="000F61B9" w:rsidP="003F4F22">
            <w:pPr>
              <w:pStyle w:val="Tretabeli"/>
            </w:pPr>
            <w:r>
              <w:t>292</w:t>
            </w:r>
          </w:p>
        </w:tc>
        <w:tc>
          <w:tcPr>
            <w:tcW w:w="1053" w:type="dxa"/>
            <w:shd w:val="clear" w:color="auto" w:fill="EAF1DD" w:themeFill="accent3" w:themeFillTint="33"/>
            <w:vAlign w:val="center"/>
          </w:tcPr>
          <w:p w14:paraId="497CD3AD" w14:textId="5AF91E9F" w:rsidR="0007600C" w:rsidRPr="00CF7594" w:rsidRDefault="000F61B9" w:rsidP="003F4F22">
            <w:pPr>
              <w:pStyle w:val="Tretabeli"/>
            </w:pPr>
            <w:r>
              <w:t>292</w:t>
            </w:r>
          </w:p>
        </w:tc>
        <w:tc>
          <w:tcPr>
            <w:tcW w:w="1054" w:type="dxa"/>
            <w:shd w:val="clear" w:color="auto" w:fill="EAF1DD" w:themeFill="accent3" w:themeFillTint="33"/>
            <w:vAlign w:val="center"/>
          </w:tcPr>
          <w:p w14:paraId="54D1612C" w14:textId="10F855AB" w:rsidR="0007600C" w:rsidRPr="00CF7594" w:rsidRDefault="000F61B9" w:rsidP="003F4F22">
            <w:pPr>
              <w:pStyle w:val="Tretabeli"/>
            </w:pPr>
            <w:r>
              <w:t>263</w:t>
            </w:r>
          </w:p>
        </w:tc>
      </w:tr>
      <w:tr w:rsidR="0007600C" w14:paraId="18AFDDB1" w14:textId="77777777" w:rsidTr="000F61B9">
        <w:trPr>
          <w:trHeight w:val="283"/>
        </w:trPr>
        <w:tc>
          <w:tcPr>
            <w:tcW w:w="1928" w:type="dxa"/>
            <w:shd w:val="clear" w:color="auto" w:fill="EAF1DD" w:themeFill="accent3" w:themeFillTint="33"/>
            <w:vAlign w:val="center"/>
          </w:tcPr>
          <w:p w14:paraId="629F8852" w14:textId="72B9DFF4" w:rsidR="0007600C" w:rsidRPr="00CF7594" w:rsidRDefault="0007600C" w:rsidP="003F4F22">
            <w:pPr>
              <w:pStyle w:val="Tretabeli"/>
            </w:pPr>
            <w:r>
              <w:t>4</w:t>
            </w:r>
            <w:r>
              <w:t xml:space="preserve"> (strefa zielona)</w:t>
            </w:r>
          </w:p>
        </w:tc>
        <w:tc>
          <w:tcPr>
            <w:tcW w:w="1053" w:type="dxa"/>
            <w:shd w:val="clear" w:color="auto" w:fill="EAF1DD" w:themeFill="accent3" w:themeFillTint="33"/>
            <w:vAlign w:val="center"/>
          </w:tcPr>
          <w:p w14:paraId="1D3D8E54" w14:textId="6B7B2F74" w:rsidR="0007600C" w:rsidRPr="00CF7594" w:rsidRDefault="000F61B9" w:rsidP="003F4F22">
            <w:pPr>
              <w:pStyle w:val="Tretabeli"/>
            </w:pPr>
            <w:r>
              <w:t>166</w:t>
            </w:r>
          </w:p>
        </w:tc>
        <w:tc>
          <w:tcPr>
            <w:tcW w:w="1053" w:type="dxa"/>
            <w:shd w:val="clear" w:color="auto" w:fill="EAF1DD" w:themeFill="accent3" w:themeFillTint="33"/>
            <w:vAlign w:val="center"/>
          </w:tcPr>
          <w:p w14:paraId="5D89EC81" w14:textId="3A18862E" w:rsidR="0007600C" w:rsidRPr="00CF7594" w:rsidRDefault="000F61B9" w:rsidP="003F4F22">
            <w:pPr>
              <w:pStyle w:val="Tretabeli"/>
            </w:pPr>
            <w:r>
              <w:t>72</w:t>
            </w:r>
          </w:p>
        </w:tc>
        <w:tc>
          <w:tcPr>
            <w:tcW w:w="1054" w:type="dxa"/>
            <w:shd w:val="clear" w:color="auto" w:fill="EAF1DD" w:themeFill="accent3" w:themeFillTint="33"/>
            <w:vAlign w:val="center"/>
          </w:tcPr>
          <w:p w14:paraId="0F42EF5A" w14:textId="4945EB1E" w:rsidR="0007600C" w:rsidRPr="00CF7594" w:rsidRDefault="000F61B9" w:rsidP="003F4F22">
            <w:pPr>
              <w:pStyle w:val="Tretabeli"/>
            </w:pPr>
            <w:r>
              <w:t>258</w:t>
            </w:r>
          </w:p>
        </w:tc>
        <w:tc>
          <w:tcPr>
            <w:tcW w:w="1053" w:type="dxa"/>
            <w:shd w:val="clear" w:color="auto" w:fill="EAF1DD" w:themeFill="accent3" w:themeFillTint="33"/>
            <w:vAlign w:val="center"/>
          </w:tcPr>
          <w:p w14:paraId="15E5050C" w14:textId="49B714BD" w:rsidR="0007600C" w:rsidRPr="00CF7594" w:rsidRDefault="000F61B9" w:rsidP="003F4F22">
            <w:pPr>
              <w:pStyle w:val="Tretabeli"/>
            </w:pPr>
            <w:r>
              <w:t>201</w:t>
            </w:r>
          </w:p>
        </w:tc>
        <w:tc>
          <w:tcPr>
            <w:tcW w:w="1054" w:type="dxa"/>
            <w:shd w:val="clear" w:color="auto" w:fill="EAF1DD" w:themeFill="accent3" w:themeFillTint="33"/>
            <w:vAlign w:val="center"/>
          </w:tcPr>
          <w:p w14:paraId="0DFF5D6D" w14:textId="2C977200" w:rsidR="0007600C" w:rsidRPr="00CF7594" w:rsidRDefault="000F61B9" w:rsidP="003F4F22">
            <w:pPr>
              <w:pStyle w:val="Tretabeli"/>
            </w:pPr>
            <w:r>
              <w:t>177</w:t>
            </w:r>
          </w:p>
        </w:tc>
      </w:tr>
      <w:tr w:rsidR="0007600C" w14:paraId="292DF90C" w14:textId="77777777" w:rsidTr="000F61B9">
        <w:trPr>
          <w:trHeight w:val="283"/>
        </w:trPr>
        <w:tc>
          <w:tcPr>
            <w:tcW w:w="1928" w:type="dxa"/>
            <w:shd w:val="clear" w:color="auto" w:fill="FEFFE5"/>
            <w:vAlign w:val="center"/>
          </w:tcPr>
          <w:p w14:paraId="2DD88088" w14:textId="3B9F7E8F" w:rsidR="0007600C" w:rsidRPr="00CF7594" w:rsidRDefault="0007600C" w:rsidP="003F4F22">
            <w:pPr>
              <w:pStyle w:val="Tretabeli"/>
            </w:pPr>
            <w:r>
              <w:t>5</w:t>
            </w:r>
            <w:r>
              <w:t xml:space="preserve"> (strefa </w:t>
            </w:r>
            <w:r>
              <w:t>żółta</w:t>
            </w:r>
            <w:r>
              <w:t>)</w:t>
            </w:r>
          </w:p>
        </w:tc>
        <w:tc>
          <w:tcPr>
            <w:tcW w:w="1053" w:type="dxa"/>
            <w:shd w:val="clear" w:color="auto" w:fill="FEFFE5"/>
            <w:vAlign w:val="bottom"/>
          </w:tcPr>
          <w:p w14:paraId="65C7A1D8" w14:textId="5926DBD2" w:rsidR="0007600C" w:rsidRPr="00CF7594" w:rsidRDefault="000F61B9" w:rsidP="003F4F22">
            <w:pPr>
              <w:pStyle w:val="Tretabeli"/>
            </w:pPr>
            <w:r>
              <w:t>72</w:t>
            </w:r>
          </w:p>
        </w:tc>
        <w:tc>
          <w:tcPr>
            <w:tcW w:w="1053" w:type="dxa"/>
            <w:shd w:val="clear" w:color="auto" w:fill="FEFFE5"/>
            <w:vAlign w:val="bottom"/>
          </w:tcPr>
          <w:p w14:paraId="3698BD67" w14:textId="1091BBD5" w:rsidR="0007600C" w:rsidRPr="00CF7594" w:rsidRDefault="000F61B9" w:rsidP="003F4F22">
            <w:pPr>
              <w:pStyle w:val="Tretabeli"/>
            </w:pPr>
            <w:r>
              <w:t>92</w:t>
            </w:r>
          </w:p>
        </w:tc>
        <w:tc>
          <w:tcPr>
            <w:tcW w:w="1054" w:type="dxa"/>
            <w:shd w:val="clear" w:color="auto" w:fill="FEFFE5"/>
            <w:vAlign w:val="bottom"/>
          </w:tcPr>
          <w:p w14:paraId="1CA6DB68" w14:textId="7F971792" w:rsidR="0007600C" w:rsidRPr="00CF7594" w:rsidRDefault="000F61B9" w:rsidP="003F4F22">
            <w:pPr>
              <w:pStyle w:val="Tretabeli"/>
            </w:pPr>
            <w:r>
              <w:t>58</w:t>
            </w:r>
          </w:p>
        </w:tc>
        <w:tc>
          <w:tcPr>
            <w:tcW w:w="1053" w:type="dxa"/>
            <w:shd w:val="clear" w:color="auto" w:fill="FEFFE5"/>
            <w:vAlign w:val="bottom"/>
          </w:tcPr>
          <w:p w14:paraId="483BE718" w14:textId="5230A604" w:rsidR="0007600C" w:rsidRPr="00CF7594" w:rsidRDefault="000F61B9" w:rsidP="003F4F22">
            <w:pPr>
              <w:pStyle w:val="Tretabeli"/>
            </w:pPr>
            <w:r>
              <w:t>102</w:t>
            </w:r>
          </w:p>
        </w:tc>
        <w:tc>
          <w:tcPr>
            <w:tcW w:w="1054" w:type="dxa"/>
            <w:shd w:val="clear" w:color="auto" w:fill="FEFFE5"/>
            <w:vAlign w:val="bottom"/>
          </w:tcPr>
          <w:p w14:paraId="3D1D540B" w14:textId="3599725E" w:rsidR="0007600C" w:rsidRPr="00CF7594" w:rsidRDefault="000F61B9" w:rsidP="003F4F22">
            <w:pPr>
              <w:pStyle w:val="Tretabeli"/>
            </w:pPr>
            <w:r>
              <w:t>90</w:t>
            </w:r>
          </w:p>
        </w:tc>
      </w:tr>
      <w:tr w:rsidR="0007600C" w14:paraId="0A84745E" w14:textId="77777777" w:rsidTr="000F61B9">
        <w:trPr>
          <w:trHeight w:val="283"/>
        </w:trPr>
        <w:tc>
          <w:tcPr>
            <w:tcW w:w="1928" w:type="dxa"/>
            <w:shd w:val="clear" w:color="auto" w:fill="FEFFE5"/>
            <w:vAlign w:val="center"/>
          </w:tcPr>
          <w:p w14:paraId="2A2A19BA" w14:textId="40C569FE" w:rsidR="0007600C" w:rsidRDefault="0007600C" w:rsidP="003F4F22">
            <w:pPr>
              <w:pStyle w:val="Tretabeli"/>
            </w:pPr>
            <w:r>
              <w:t xml:space="preserve">6 </w:t>
            </w:r>
            <w:r>
              <w:t>(strefa żółta)</w:t>
            </w:r>
          </w:p>
        </w:tc>
        <w:tc>
          <w:tcPr>
            <w:tcW w:w="1053" w:type="dxa"/>
            <w:shd w:val="clear" w:color="auto" w:fill="FEFFE5"/>
            <w:vAlign w:val="bottom"/>
          </w:tcPr>
          <w:p w14:paraId="2C29BFE0" w14:textId="26B5D08E" w:rsidR="0007600C" w:rsidRPr="00CF7594" w:rsidRDefault="000F61B9" w:rsidP="003F4F22">
            <w:pPr>
              <w:pStyle w:val="Tretabeli"/>
            </w:pPr>
            <w:r>
              <w:t>27</w:t>
            </w:r>
          </w:p>
        </w:tc>
        <w:tc>
          <w:tcPr>
            <w:tcW w:w="1053" w:type="dxa"/>
            <w:shd w:val="clear" w:color="auto" w:fill="FEFFE5"/>
            <w:vAlign w:val="bottom"/>
          </w:tcPr>
          <w:p w14:paraId="58B2BCE8" w14:textId="36C52E14" w:rsidR="0007600C" w:rsidRPr="00CF7594" w:rsidRDefault="000F61B9" w:rsidP="003F4F22">
            <w:pPr>
              <w:pStyle w:val="Tretabeli"/>
            </w:pPr>
            <w:r>
              <w:t>38</w:t>
            </w:r>
          </w:p>
        </w:tc>
        <w:tc>
          <w:tcPr>
            <w:tcW w:w="1054" w:type="dxa"/>
            <w:shd w:val="clear" w:color="auto" w:fill="FEFFE5"/>
            <w:vAlign w:val="bottom"/>
          </w:tcPr>
          <w:p w14:paraId="5C05E386" w14:textId="04234689" w:rsidR="0007600C" w:rsidRPr="00CF7594" w:rsidRDefault="000F61B9" w:rsidP="003F4F22">
            <w:pPr>
              <w:pStyle w:val="Tretabeli"/>
            </w:pPr>
            <w:r>
              <w:t>15</w:t>
            </w:r>
          </w:p>
        </w:tc>
        <w:tc>
          <w:tcPr>
            <w:tcW w:w="1053" w:type="dxa"/>
            <w:shd w:val="clear" w:color="auto" w:fill="FEFFE5"/>
            <w:vAlign w:val="bottom"/>
          </w:tcPr>
          <w:p w14:paraId="68F68450" w14:textId="3BCFE047" w:rsidR="0007600C" w:rsidRPr="00CF7594" w:rsidRDefault="000F61B9" w:rsidP="003F4F22">
            <w:pPr>
              <w:pStyle w:val="Tretabeli"/>
            </w:pPr>
            <w:r>
              <w:t>54</w:t>
            </w:r>
          </w:p>
        </w:tc>
        <w:tc>
          <w:tcPr>
            <w:tcW w:w="1054" w:type="dxa"/>
            <w:shd w:val="clear" w:color="auto" w:fill="FEFFE5"/>
            <w:vAlign w:val="bottom"/>
          </w:tcPr>
          <w:p w14:paraId="543EDBD6" w14:textId="5DC9EB39" w:rsidR="0007600C" w:rsidRPr="00CF7594" w:rsidRDefault="000F61B9" w:rsidP="003F4F22">
            <w:pPr>
              <w:pStyle w:val="Tretabeli"/>
            </w:pPr>
            <w:r>
              <w:t>52</w:t>
            </w:r>
          </w:p>
        </w:tc>
      </w:tr>
      <w:tr w:rsidR="0007600C" w14:paraId="6A1005E1" w14:textId="77777777" w:rsidTr="000F61B9">
        <w:trPr>
          <w:trHeight w:val="283"/>
        </w:trPr>
        <w:tc>
          <w:tcPr>
            <w:tcW w:w="1928" w:type="dxa"/>
            <w:shd w:val="clear" w:color="auto" w:fill="FEFFE5"/>
            <w:vAlign w:val="center"/>
          </w:tcPr>
          <w:p w14:paraId="1670E28A" w14:textId="47F9447E" w:rsidR="0007600C" w:rsidRDefault="0007600C" w:rsidP="003F4F22">
            <w:pPr>
              <w:pStyle w:val="Tretabeli"/>
            </w:pPr>
            <w:r>
              <w:t xml:space="preserve">7 </w:t>
            </w:r>
            <w:r>
              <w:t>(strefa żółta)</w:t>
            </w:r>
          </w:p>
        </w:tc>
        <w:tc>
          <w:tcPr>
            <w:tcW w:w="1053" w:type="dxa"/>
            <w:shd w:val="clear" w:color="auto" w:fill="FEFFE5"/>
            <w:vAlign w:val="bottom"/>
          </w:tcPr>
          <w:p w14:paraId="03AF77F1" w14:textId="5121F4AC" w:rsidR="0007600C" w:rsidRPr="00CF7594" w:rsidRDefault="000F61B9" w:rsidP="003F4F22">
            <w:pPr>
              <w:pStyle w:val="Tretabeli"/>
            </w:pPr>
            <w:r>
              <w:t>15</w:t>
            </w:r>
          </w:p>
        </w:tc>
        <w:tc>
          <w:tcPr>
            <w:tcW w:w="1053" w:type="dxa"/>
            <w:shd w:val="clear" w:color="auto" w:fill="FEFFE5"/>
            <w:vAlign w:val="bottom"/>
          </w:tcPr>
          <w:p w14:paraId="7D9907AD" w14:textId="458587E9" w:rsidR="0007600C" w:rsidRPr="00CF7594" w:rsidRDefault="000F61B9" w:rsidP="003F4F22">
            <w:pPr>
              <w:pStyle w:val="Tretabeli"/>
            </w:pPr>
            <w:r>
              <w:t>0</w:t>
            </w:r>
          </w:p>
        </w:tc>
        <w:tc>
          <w:tcPr>
            <w:tcW w:w="1054" w:type="dxa"/>
            <w:shd w:val="clear" w:color="auto" w:fill="FEFFE5"/>
            <w:vAlign w:val="bottom"/>
          </w:tcPr>
          <w:p w14:paraId="72C881B7" w14:textId="5855B502" w:rsidR="0007600C" w:rsidRPr="00CF7594" w:rsidRDefault="000F61B9" w:rsidP="003F4F22">
            <w:pPr>
              <w:pStyle w:val="Tretabeli"/>
            </w:pPr>
            <w:r>
              <w:t>0</w:t>
            </w:r>
          </w:p>
        </w:tc>
        <w:tc>
          <w:tcPr>
            <w:tcW w:w="1053" w:type="dxa"/>
            <w:shd w:val="clear" w:color="auto" w:fill="FEFFE5"/>
            <w:vAlign w:val="bottom"/>
          </w:tcPr>
          <w:p w14:paraId="11252BB7" w14:textId="7FA9CC4F" w:rsidR="0007600C" w:rsidRPr="00CF7594" w:rsidRDefault="000F61B9" w:rsidP="003F4F22">
            <w:pPr>
              <w:pStyle w:val="Tretabeli"/>
            </w:pPr>
            <w:r>
              <w:t>16</w:t>
            </w:r>
          </w:p>
        </w:tc>
        <w:tc>
          <w:tcPr>
            <w:tcW w:w="1054" w:type="dxa"/>
            <w:shd w:val="clear" w:color="auto" w:fill="FEFFE5"/>
            <w:vAlign w:val="bottom"/>
          </w:tcPr>
          <w:p w14:paraId="5A0AC40D" w14:textId="2651C80B" w:rsidR="0007600C" w:rsidRPr="00CF7594" w:rsidRDefault="000F61B9" w:rsidP="003F4F22">
            <w:pPr>
              <w:pStyle w:val="Tretabeli"/>
            </w:pPr>
            <w:r>
              <w:t>0</w:t>
            </w:r>
          </w:p>
        </w:tc>
      </w:tr>
      <w:tr w:rsidR="000F61B9" w14:paraId="720D17F3" w14:textId="77777777" w:rsidTr="000F61B9">
        <w:trPr>
          <w:trHeight w:val="283"/>
        </w:trPr>
        <w:tc>
          <w:tcPr>
            <w:tcW w:w="1928" w:type="dxa"/>
            <w:shd w:val="clear" w:color="auto" w:fill="FEFFE5"/>
            <w:vAlign w:val="center"/>
          </w:tcPr>
          <w:p w14:paraId="47F3CC87" w14:textId="2CBFD153" w:rsidR="000F61B9" w:rsidRDefault="000F61B9" w:rsidP="003F4F22">
            <w:pPr>
              <w:pStyle w:val="Tretabeli"/>
            </w:pPr>
            <w:r>
              <w:t>8 (strefa żółta)</w:t>
            </w:r>
          </w:p>
        </w:tc>
        <w:tc>
          <w:tcPr>
            <w:tcW w:w="1053" w:type="dxa"/>
            <w:shd w:val="clear" w:color="auto" w:fill="FEFFE5"/>
            <w:vAlign w:val="bottom"/>
          </w:tcPr>
          <w:p w14:paraId="6EFA43B0" w14:textId="0776D5C1" w:rsidR="000F61B9" w:rsidRPr="00CF7594" w:rsidRDefault="000F61B9" w:rsidP="003F4F22">
            <w:pPr>
              <w:pStyle w:val="Tretabeli"/>
            </w:pPr>
            <w:r>
              <w:t>11</w:t>
            </w:r>
          </w:p>
        </w:tc>
        <w:tc>
          <w:tcPr>
            <w:tcW w:w="1053" w:type="dxa"/>
            <w:shd w:val="clear" w:color="auto" w:fill="FEFFE5"/>
            <w:vAlign w:val="bottom"/>
          </w:tcPr>
          <w:p w14:paraId="12039F51" w14:textId="2EBBDCE6" w:rsidR="000F61B9" w:rsidRPr="00CF7594" w:rsidRDefault="000F61B9" w:rsidP="003F4F22">
            <w:pPr>
              <w:pStyle w:val="Tretabeli"/>
            </w:pPr>
            <w:r>
              <w:t>0</w:t>
            </w:r>
          </w:p>
        </w:tc>
        <w:tc>
          <w:tcPr>
            <w:tcW w:w="1054" w:type="dxa"/>
            <w:shd w:val="clear" w:color="auto" w:fill="FEFFE5"/>
            <w:vAlign w:val="bottom"/>
          </w:tcPr>
          <w:p w14:paraId="30039AF4" w14:textId="117A78D5" w:rsidR="000F61B9" w:rsidRDefault="000F61B9" w:rsidP="003F4F22">
            <w:pPr>
              <w:pStyle w:val="Tretabeli"/>
            </w:pPr>
            <w:r>
              <w:t>0</w:t>
            </w:r>
          </w:p>
        </w:tc>
        <w:tc>
          <w:tcPr>
            <w:tcW w:w="1053" w:type="dxa"/>
            <w:shd w:val="clear" w:color="auto" w:fill="FEFFE5"/>
            <w:vAlign w:val="bottom"/>
          </w:tcPr>
          <w:p w14:paraId="155C42C8" w14:textId="605A7FE3" w:rsidR="000F61B9" w:rsidRDefault="000F61B9" w:rsidP="003F4F22">
            <w:pPr>
              <w:pStyle w:val="Tretabeli"/>
            </w:pPr>
            <w:r>
              <w:t>11</w:t>
            </w:r>
          </w:p>
        </w:tc>
        <w:tc>
          <w:tcPr>
            <w:tcW w:w="1054" w:type="dxa"/>
            <w:shd w:val="clear" w:color="auto" w:fill="FEFFE5"/>
            <w:vAlign w:val="bottom"/>
          </w:tcPr>
          <w:p w14:paraId="0F7AB8B8" w14:textId="2A741BC6" w:rsidR="000F61B9" w:rsidRPr="00CF7594" w:rsidRDefault="000F61B9" w:rsidP="003F4F22">
            <w:pPr>
              <w:pStyle w:val="Tretabeli"/>
            </w:pPr>
            <w:r>
              <w:t>0</w:t>
            </w:r>
          </w:p>
        </w:tc>
      </w:tr>
      <w:tr w:rsidR="000F61B9" w14:paraId="78A93AB5" w14:textId="77777777" w:rsidTr="000F61B9">
        <w:trPr>
          <w:trHeight w:val="283"/>
        </w:trPr>
        <w:tc>
          <w:tcPr>
            <w:tcW w:w="1928" w:type="dxa"/>
            <w:shd w:val="clear" w:color="auto" w:fill="FEFFE5"/>
            <w:vAlign w:val="center"/>
          </w:tcPr>
          <w:p w14:paraId="3EE9627D" w14:textId="44B437A3" w:rsidR="000F61B9" w:rsidRDefault="000F61B9" w:rsidP="003F4F22">
            <w:pPr>
              <w:pStyle w:val="Tretabeli"/>
            </w:pPr>
            <w:r>
              <w:t>9 (strefa żółta)</w:t>
            </w:r>
          </w:p>
        </w:tc>
        <w:tc>
          <w:tcPr>
            <w:tcW w:w="1053" w:type="dxa"/>
            <w:shd w:val="clear" w:color="auto" w:fill="FEFFE5"/>
            <w:vAlign w:val="bottom"/>
          </w:tcPr>
          <w:p w14:paraId="1A74261C" w14:textId="50C75336" w:rsidR="000F61B9" w:rsidRDefault="000F61B9" w:rsidP="003F4F22">
            <w:pPr>
              <w:pStyle w:val="Tretabeli"/>
            </w:pPr>
            <w:r>
              <w:t>2</w:t>
            </w:r>
          </w:p>
        </w:tc>
        <w:tc>
          <w:tcPr>
            <w:tcW w:w="1053" w:type="dxa"/>
            <w:shd w:val="clear" w:color="auto" w:fill="FEFFE5"/>
            <w:vAlign w:val="bottom"/>
          </w:tcPr>
          <w:p w14:paraId="74E6CBB2" w14:textId="78162291" w:rsidR="000F61B9" w:rsidRPr="00CF7594" w:rsidRDefault="000F61B9" w:rsidP="003F4F22">
            <w:pPr>
              <w:pStyle w:val="Tretabeli"/>
            </w:pPr>
            <w:r>
              <w:t>0</w:t>
            </w:r>
          </w:p>
        </w:tc>
        <w:tc>
          <w:tcPr>
            <w:tcW w:w="1054" w:type="dxa"/>
            <w:shd w:val="clear" w:color="auto" w:fill="FEFFE5"/>
            <w:vAlign w:val="bottom"/>
          </w:tcPr>
          <w:p w14:paraId="55216F76" w14:textId="09D02725" w:rsidR="000F61B9" w:rsidRDefault="000F61B9" w:rsidP="003F4F22">
            <w:pPr>
              <w:pStyle w:val="Tretabeli"/>
            </w:pPr>
            <w:r>
              <w:t>0</w:t>
            </w:r>
          </w:p>
        </w:tc>
        <w:tc>
          <w:tcPr>
            <w:tcW w:w="1053" w:type="dxa"/>
            <w:shd w:val="clear" w:color="auto" w:fill="FEFFE5"/>
            <w:vAlign w:val="bottom"/>
          </w:tcPr>
          <w:p w14:paraId="7EBDEF2F" w14:textId="227A344F" w:rsidR="000F61B9" w:rsidRDefault="000F61B9" w:rsidP="003F4F22">
            <w:pPr>
              <w:pStyle w:val="Tretabeli"/>
            </w:pPr>
            <w:r>
              <w:t>0</w:t>
            </w:r>
          </w:p>
        </w:tc>
        <w:tc>
          <w:tcPr>
            <w:tcW w:w="1054" w:type="dxa"/>
            <w:shd w:val="clear" w:color="auto" w:fill="FEFFE5"/>
            <w:vAlign w:val="bottom"/>
          </w:tcPr>
          <w:p w14:paraId="578DDECD" w14:textId="435A433C" w:rsidR="000F61B9" w:rsidRPr="00CF7594" w:rsidRDefault="000F61B9" w:rsidP="003F4F22">
            <w:pPr>
              <w:pStyle w:val="Tretabeli"/>
            </w:pPr>
            <w:r>
              <w:t>0</w:t>
            </w:r>
          </w:p>
        </w:tc>
      </w:tr>
    </w:tbl>
    <w:p w14:paraId="63B80D09" w14:textId="25906288" w:rsidR="0007600C" w:rsidRDefault="0007600C" w:rsidP="0007600C">
      <w:pPr>
        <w:pStyle w:val="rdo"/>
      </w:pPr>
      <w:r>
        <w:t>Źródło: Opracowanie własne</w:t>
      </w:r>
    </w:p>
    <w:p w14:paraId="13BEE5A7" w14:textId="0728ED96" w:rsidR="007D3A51" w:rsidRDefault="00D41DB1" w:rsidP="007D3A51">
      <w:pPr>
        <w:rPr>
          <w:rFonts w:eastAsiaTheme="minorEastAsia"/>
        </w:rPr>
      </w:pPr>
      <w:r>
        <w:rPr>
          <w:rFonts w:eastAsiaTheme="minorEastAsia"/>
        </w:rPr>
        <w:t xml:space="preserve">Na Rys. 13.1-13.10 przedstawiono oszacowania 99% </w:t>
      </w:r>
      <w:proofErr w:type="spellStart"/>
      <w:r>
        <w:rPr>
          <w:rFonts w:eastAsiaTheme="minorEastAsia"/>
        </w:rPr>
        <w:t>VaR</w:t>
      </w:r>
      <w:proofErr w:type="spellEnd"/>
      <w:r>
        <w:rPr>
          <w:rFonts w:eastAsiaTheme="minorEastAsia"/>
        </w:rPr>
        <w:t xml:space="preserve"> i ES dla poszczególnych indeksów z wykorzystaniem metody historycznej i metody historycznej z wagami.</w:t>
      </w:r>
    </w:p>
    <w:p w14:paraId="2CC6A93B" w14:textId="77777777" w:rsidR="00D41DB1" w:rsidRDefault="00D41DB1" w:rsidP="00D41DB1">
      <w:pPr>
        <w:ind w:firstLine="0"/>
      </w:pPr>
    </w:p>
    <w:p w14:paraId="6E71F961" w14:textId="6EE680BE" w:rsidR="00D41DB1" w:rsidRDefault="00D41DB1" w:rsidP="00D41DB1">
      <w:pPr>
        <w:pStyle w:val="Nrrys"/>
      </w:pPr>
      <w:r>
        <w:t>Rys. 13.</w:t>
      </w:r>
      <w:r>
        <w:t>1</w:t>
      </w:r>
      <w:r>
        <w:t xml:space="preserve">. Oszacowania 99% </w:t>
      </w:r>
      <w:proofErr w:type="spellStart"/>
      <w:r>
        <w:t>VaR</w:t>
      </w:r>
      <w:proofErr w:type="spellEnd"/>
      <w:r>
        <w:t xml:space="preserve"> i ES dla indeksu WIG20</w:t>
      </w:r>
    </w:p>
    <w:p w14:paraId="2578EC03" w14:textId="77777777" w:rsidR="00D41DB1" w:rsidRDefault="00D41DB1" w:rsidP="00D41DB1">
      <w:pPr>
        <w:pStyle w:val="Rysunek"/>
      </w:pPr>
    </w:p>
    <w:p w14:paraId="2B02E69D" w14:textId="77777777" w:rsidR="00D41DB1" w:rsidRDefault="00D41DB1" w:rsidP="00D41DB1">
      <w:pPr>
        <w:pStyle w:val="rdo"/>
      </w:pPr>
      <w:r>
        <w:t>Źródło: Opracowanie własne.</w:t>
      </w:r>
    </w:p>
    <w:p w14:paraId="2955DF5E" w14:textId="6207D197" w:rsidR="00D41DB1" w:rsidRDefault="00D41DB1" w:rsidP="00D41DB1">
      <w:pPr>
        <w:pStyle w:val="Nrrys"/>
      </w:pPr>
      <w:r>
        <w:lastRenderedPageBreak/>
        <w:t>Rys. 13.</w:t>
      </w:r>
      <w:r w:rsidR="0076710B">
        <w:t>2</w:t>
      </w:r>
      <w:r>
        <w:t xml:space="preserve">. Oszacowania 99% </w:t>
      </w:r>
      <w:proofErr w:type="spellStart"/>
      <w:r>
        <w:t>VaR</w:t>
      </w:r>
      <w:proofErr w:type="spellEnd"/>
      <w:r>
        <w:t xml:space="preserve"> i ES dla indeksu WIG20</w:t>
      </w:r>
    </w:p>
    <w:p w14:paraId="5E66D3D1" w14:textId="77777777" w:rsidR="00D41DB1" w:rsidRDefault="00D41DB1" w:rsidP="00D41DB1">
      <w:pPr>
        <w:pStyle w:val="Rysunek"/>
      </w:pPr>
    </w:p>
    <w:p w14:paraId="29D8DB62" w14:textId="77777777" w:rsidR="00D41DB1" w:rsidRDefault="00D41DB1" w:rsidP="00D41DB1">
      <w:pPr>
        <w:pStyle w:val="rdo"/>
      </w:pPr>
      <w:r>
        <w:t>Źródło: Opracowanie własne.</w:t>
      </w:r>
    </w:p>
    <w:p w14:paraId="7F650C00" w14:textId="5C5715AC" w:rsidR="00D41DB1" w:rsidRDefault="00D41DB1" w:rsidP="00D41DB1">
      <w:r>
        <w:t>Na rynku polski</w:t>
      </w:r>
      <w:r>
        <w:t>m</w:t>
      </w:r>
      <w:r>
        <w:t xml:space="preserve"> znaczący wzrost oszacowań </w:t>
      </w:r>
      <w:proofErr w:type="spellStart"/>
      <w:r>
        <w:t>VaR</w:t>
      </w:r>
      <w:proofErr w:type="spellEnd"/>
      <w:r>
        <w:t xml:space="preserve"> i ES był widoczny </w:t>
      </w:r>
      <w:r w:rsidRPr="00D111A3">
        <w:t>zarówno na początku pandemii</w:t>
      </w:r>
      <w:r>
        <w:t>,</w:t>
      </w:r>
      <w:r w:rsidRPr="00D111A3">
        <w:t xml:space="preserve"> jak i </w:t>
      </w:r>
      <w:r>
        <w:t xml:space="preserve">od razu po ataku Rosji na Ukrainę. W obu przypadkach ryzyko wzrastało do poziomu większego niż 10%. Wydaje się, że taka intensywna </w:t>
      </w:r>
      <w:r w:rsidRPr="00D111A3">
        <w:t xml:space="preserve">reakcja na </w:t>
      </w:r>
      <w:r>
        <w:t xml:space="preserve">wydarzenia wynika z </w:t>
      </w:r>
      <w:r w:rsidRPr="00D111A3">
        <w:t xml:space="preserve">geopolitycznego położenia Polski. </w:t>
      </w:r>
      <w:r>
        <w:t xml:space="preserve">Z jednej strony niepokój wynikający z pojawienia się wirusa COVID-19 spowodował niepokoje o gospodarkę związaną z UE, a z drugiej strony wybuch wojny niedaleko od naszych granic miał bardziej znaczący wpływ na zachowanie inwestorów, w porównaniu z inwestorami na giełdach w Niemczech, USA i Chinach. </w:t>
      </w:r>
    </w:p>
    <w:p w14:paraId="14BB3F24" w14:textId="77777777" w:rsidR="00D41DB1" w:rsidRDefault="00D41DB1" w:rsidP="00D41DB1">
      <w:pPr>
        <w:ind w:firstLine="0"/>
      </w:pPr>
    </w:p>
    <w:p w14:paraId="3E064042" w14:textId="0CCFBB82" w:rsidR="007D3A51" w:rsidRDefault="007D3A51" w:rsidP="007D3A51">
      <w:pPr>
        <w:pStyle w:val="Nrrys"/>
      </w:pPr>
      <w:r>
        <w:t>Rys. 13.</w:t>
      </w:r>
      <w:r>
        <w:t>3</w:t>
      </w:r>
      <w:r>
        <w:t xml:space="preserve">. Oszacowania 99% </w:t>
      </w:r>
      <w:proofErr w:type="spellStart"/>
      <w:r>
        <w:t>VaR</w:t>
      </w:r>
      <w:proofErr w:type="spellEnd"/>
      <w:r>
        <w:t xml:space="preserve"> i ES dla indeksu </w:t>
      </w:r>
      <w:r>
        <w:t>DAX</w:t>
      </w:r>
    </w:p>
    <w:p w14:paraId="10DBEB9C" w14:textId="77777777" w:rsidR="007D3A51" w:rsidRDefault="007D3A51" w:rsidP="007D3A51">
      <w:pPr>
        <w:pStyle w:val="Rysunek"/>
      </w:pPr>
    </w:p>
    <w:p w14:paraId="5FEA8C06" w14:textId="77777777" w:rsidR="007D3A51" w:rsidRDefault="007D3A51" w:rsidP="007D3A51">
      <w:pPr>
        <w:pStyle w:val="rdo"/>
      </w:pPr>
      <w:r>
        <w:t>Źródło: Opracowanie własne.</w:t>
      </w:r>
    </w:p>
    <w:p w14:paraId="440A9F8A" w14:textId="1E7D948F" w:rsidR="007D3A51" w:rsidRDefault="007D3A51" w:rsidP="007D3A51">
      <w:pPr>
        <w:pStyle w:val="Nrrys"/>
      </w:pPr>
      <w:r>
        <w:t>Rys. 13.</w:t>
      </w:r>
      <w:r>
        <w:t>4</w:t>
      </w:r>
      <w:r>
        <w:t xml:space="preserve">. Oszacowania 99% </w:t>
      </w:r>
      <w:proofErr w:type="spellStart"/>
      <w:r>
        <w:t>VaR</w:t>
      </w:r>
      <w:proofErr w:type="spellEnd"/>
      <w:r>
        <w:t xml:space="preserve"> i ES dla indeksu </w:t>
      </w:r>
      <w:r>
        <w:t>DAX</w:t>
      </w:r>
    </w:p>
    <w:p w14:paraId="66975768" w14:textId="77777777" w:rsidR="007D3A51" w:rsidRDefault="007D3A51" w:rsidP="007D3A51">
      <w:pPr>
        <w:pStyle w:val="Rysunek"/>
      </w:pPr>
    </w:p>
    <w:p w14:paraId="57012EA9" w14:textId="77777777" w:rsidR="007D3A51" w:rsidRDefault="007D3A51" w:rsidP="007D3A51">
      <w:pPr>
        <w:pStyle w:val="rdo"/>
      </w:pPr>
      <w:r>
        <w:t>Źródło: Opracowanie własne.</w:t>
      </w:r>
    </w:p>
    <w:p w14:paraId="41C13874" w14:textId="3128EE8C" w:rsidR="00D111A3" w:rsidRDefault="00D41DB1" w:rsidP="00D111A3">
      <w:r>
        <w:t>Na giełdzie niemieckiej reakcja na wybuch pandemii była podobna do tej w Polsce. Wydaje się to naturalne choćby z uwagi na to, że oba kraje są gospodarkami UE i zagrożenia dla rynków były bardzo podobne. Nieco zaskakujące jest natomiast to, że wybuch wojny w Europie wpłynął na indeks DAX w znacznie mniejszym stopniu niż na indeks WIG20. Wydaje się, że w tym przypadku zadecydowało położenie geograficzne, gdyż z ekonomicznego punktu widzenia sytuacja Polski i Niemiec jest podobna (oba kraje miały znaczącą wymianę handlową zarówno z Rosją, jak i z Ukrainą).</w:t>
      </w:r>
    </w:p>
    <w:p w14:paraId="3307E484" w14:textId="77777777" w:rsidR="0076710B" w:rsidRDefault="0076710B" w:rsidP="0076710B">
      <w:pPr>
        <w:ind w:firstLine="0"/>
      </w:pPr>
    </w:p>
    <w:p w14:paraId="6128A39E" w14:textId="247BC006" w:rsidR="0076710B" w:rsidRDefault="0076710B" w:rsidP="0076710B">
      <w:pPr>
        <w:pStyle w:val="Nrrys"/>
      </w:pPr>
      <w:r>
        <w:t>Rys. 13.</w:t>
      </w:r>
      <w:r>
        <w:t>5</w:t>
      </w:r>
      <w:r>
        <w:t xml:space="preserve">. Oszacowania 99% </w:t>
      </w:r>
      <w:proofErr w:type="spellStart"/>
      <w:r>
        <w:t>VaR</w:t>
      </w:r>
      <w:proofErr w:type="spellEnd"/>
      <w:r>
        <w:t xml:space="preserve"> i ES dla indeksu S&amp;P500</w:t>
      </w:r>
    </w:p>
    <w:p w14:paraId="6F19C6A0" w14:textId="77777777" w:rsidR="0076710B" w:rsidRDefault="0076710B" w:rsidP="0076710B">
      <w:pPr>
        <w:pStyle w:val="Rysunek"/>
      </w:pPr>
    </w:p>
    <w:p w14:paraId="4AE5ED59" w14:textId="77777777" w:rsidR="0076710B" w:rsidRDefault="0076710B" w:rsidP="0076710B">
      <w:pPr>
        <w:pStyle w:val="rdo"/>
      </w:pPr>
      <w:r>
        <w:t>Źródło: Opracowanie własne.</w:t>
      </w:r>
    </w:p>
    <w:p w14:paraId="71CF47AB" w14:textId="38039931" w:rsidR="0076710B" w:rsidRDefault="0076710B" w:rsidP="0076710B">
      <w:pPr>
        <w:pStyle w:val="Nrrys"/>
      </w:pPr>
      <w:r>
        <w:t>Rys. 13.</w:t>
      </w:r>
      <w:r>
        <w:t>6</w:t>
      </w:r>
      <w:r>
        <w:t xml:space="preserve">. Oszacowania 99% </w:t>
      </w:r>
      <w:proofErr w:type="spellStart"/>
      <w:r>
        <w:t>VaR</w:t>
      </w:r>
      <w:proofErr w:type="spellEnd"/>
      <w:r>
        <w:t xml:space="preserve"> i ES dla indeksu S&amp;P500</w:t>
      </w:r>
    </w:p>
    <w:p w14:paraId="37FD713E" w14:textId="77777777" w:rsidR="0076710B" w:rsidRDefault="0076710B" w:rsidP="0076710B">
      <w:pPr>
        <w:pStyle w:val="Rysunek"/>
      </w:pPr>
    </w:p>
    <w:p w14:paraId="10EE36C3" w14:textId="77777777" w:rsidR="0076710B" w:rsidRDefault="0076710B" w:rsidP="0076710B">
      <w:pPr>
        <w:pStyle w:val="rdo"/>
      </w:pPr>
      <w:r>
        <w:t>Źródło: Opracowanie własne.</w:t>
      </w:r>
    </w:p>
    <w:p w14:paraId="4DE4E4C1" w14:textId="77777777" w:rsidR="0076710B" w:rsidRPr="00D111A3" w:rsidRDefault="0076710B" w:rsidP="0076710B">
      <w:pPr>
        <w:ind w:firstLine="0"/>
      </w:pPr>
    </w:p>
    <w:p w14:paraId="17B75A9B" w14:textId="77777777" w:rsidR="00D111A3" w:rsidRDefault="00D111A3" w:rsidP="007D3A51">
      <w:pPr>
        <w:pStyle w:val="Nrrys"/>
      </w:pPr>
    </w:p>
    <w:p w14:paraId="3B2629A0" w14:textId="55C0A78B" w:rsidR="0076710B" w:rsidRDefault="0076710B" w:rsidP="0076710B">
      <w:pPr>
        <w:rPr>
          <w:noProof/>
        </w:rPr>
      </w:pPr>
      <w:r>
        <w:lastRenderedPageBreak/>
        <w:t xml:space="preserve">W przypadku USA widać wyraźnie, że sytuacja pandemiczna wprowadziła znacznie większe obawy niż wybuch wojny w Europie. O ile w 2020 wzrost oszacowań </w:t>
      </w:r>
      <w:proofErr w:type="spellStart"/>
      <w:r>
        <w:t>VaR</w:t>
      </w:r>
      <w:proofErr w:type="spellEnd"/>
      <w:r>
        <w:t xml:space="preserve"> i ES był bardzo wyraźny i utrzymywał się przez długi czas, to reakcja na atak Rosji nie była znacząca. Wydaje się, że choć pośrednio USA są zaangażowane w konflikt, to odległość geograficzna nie ma większego wpływu na ryzyko rynkowe dla indeksu S&amp;P 500.</w:t>
      </w:r>
    </w:p>
    <w:p w14:paraId="53F6C93A" w14:textId="77777777" w:rsidR="0076710B" w:rsidRDefault="0076710B" w:rsidP="007D3A51">
      <w:pPr>
        <w:pStyle w:val="Nrrys"/>
      </w:pPr>
    </w:p>
    <w:p w14:paraId="6367E93A" w14:textId="22895DF2" w:rsidR="007D3A51" w:rsidRDefault="007D3A51" w:rsidP="007D3A51">
      <w:pPr>
        <w:pStyle w:val="Nrrys"/>
      </w:pPr>
      <w:r>
        <w:t>Rys. 13</w:t>
      </w:r>
      <w:r>
        <w:t>.</w:t>
      </w:r>
      <w:r w:rsidR="0076710B">
        <w:t>7</w:t>
      </w:r>
      <w:r>
        <w:t xml:space="preserve">. Oszacowania 99% </w:t>
      </w:r>
      <w:proofErr w:type="spellStart"/>
      <w:r>
        <w:t>VaR</w:t>
      </w:r>
      <w:proofErr w:type="spellEnd"/>
      <w:r>
        <w:t xml:space="preserve"> i ES dla indeksu </w:t>
      </w:r>
      <w:r>
        <w:t>SSE100</w:t>
      </w:r>
    </w:p>
    <w:p w14:paraId="246B3C20" w14:textId="77777777" w:rsidR="007D3A51" w:rsidRDefault="007D3A51" w:rsidP="007D3A51">
      <w:pPr>
        <w:pStyle w:val="Rysunek"/>
      </w:pPr>
    </w:p>
    <w:p w14:paraId="40EE5A3D" w14:textId="77777777" w:rsidR="007D3A51" w:rsidRDefault="007D3A51" w:rsidP="007D3A51">
      <w:pPr>
        <w:pStyle w:val="rdo"/>
      </w:pPr>
      <w:r>
        <w:t>Źródło: Opracowanie własne.</w:t>
      </w:r>
    </w:p>
    <w:p w14:paraId="6A1B0910" w14:textId="77777777" w:rsidR="00503AD9" w:rsidRPr="00503AD9" w:rsidRDefault="00503AD9" w:rsidP="00503AD9"/>
    <w:p w14:paraId="13089BFF" w14:textId="2DBEAF39" w:rsidR="007D3A51" w:rsidRDefault="007D3A51" w:rsidP="007D3A51">
      <w:pPr>
        <w:pStyle w:val="Nrrys"/>
      </w:pPr>
      <w:r>
        <w:t>Rys. 13.</w:t>
      </w:r>
      <w:r w:rsidR="0076710B">
        <w:t>8</w:t>
      </w:r>
      <w:r>
        <w:t xml:space="preserve">. Oszacowania 99% </w:t>
      </w:r>
      <w:proofErr w:type="spellStart"/>
      <w:r>
        <w:t>VaR</w:t>
      </w:r>
      <w:proofErr w:type="spellEnd"/>
      <w:r>
        <w:t xml:space="preserve"> i ES dla indeksu </w:t>
      </w:r>
      <w:r>
        <w:t>SSE100</w:t>
      </w:r>
    </w:p>
    <w:p w14:paraId="4C554434" w14:textId="77777777" w:rsidR="007D3A51" w:rsidRDefault="007D3A51" w:rsidP="007D3A51">
      <w:pPr>
        <w:pStyle w:val="Rysunek"/>
      </w:pPr>
    </w:p>
    <w:p w14:paraId="7E264C10" w14:textId="77777777" w:rsidR="007D3A51" w:rsidRDefault="007D3A51" w:rsidP="007D3A51">
      <w:pPr>
        <w:pStyle w:val="rdo"/>
      </w:pPr>
      <w:r>
        <w:t>Źródło: Opracowanie własne.</w:t>
      </w:r>
    </w:p>
    <w:p w14:paraId="78183274" w14:textId="07114A4B" w:rsidR="00503AD9" w:rsidRDefault="00503AD9" w:rsidP="00503AD9">
      <w:r>
        <w:t xml:space="preserve">Sytuacja na rynku </w:t>
      </w:r>
      <w:r>
        <w:t>chińskim wydaje się być</w:t>
      </w:r>
      <w:r>
        <w:t xml:space="preserve"> najbardziej stabilna</w:t>
      </w:r>
      <w:r>
        <w:t xml:space="preserve">. Wydaje </w:t>
      </w:r>
      <w:r w:rsidR="0007600C">
        <w:t>się,</w:t>
      </w:r>
      <w:r>
        <w:t xml:space="preserve"> że </w:t>
      </w:r>
      <w:r>
        <w:t xml:space="preserve">powodem </w:t>
      </w:r>
      <w:r>
        <w:t xml:space="preserve">takiego stanu rzeczy </w:t>
      </w:r>
      <w:r>
        <w:t>może być sposób</w:t>
      </w:r>
      <w:r>
        <w:t>,</w:t>
      </w:r>
      <w:r>
        <w:t xml:space="preserve"> w jaki Chiny kontrolują gospodarkę. </w:t>
      </w:r>
      <w:r>
        <w:t xml:space="preserve">O ile reakcja na początek światowej pandemii może być mniej zauważalna choćby dlatego, że </w:t>
      </w:r>
      <w:r>
        <w:t xml:space="preserve">w Chinach </w:t>
      </w:r>
      <w:r>
        <w:t xml:space="preserve">było już po </w:t>
      </w:r>
      <w:r>
        <w:t>pierwsz</w:t>
      </w:r>
      <w:r>
        <w:t>ej</w:t>
      </w:r>
      <w:r>
        <w:t xml:space="preserve"> fal</w:t>
      </w:r>
      <w:r>
        <w:t>i</w:t>
      </w:r>
      <w:r>
        <w:t xml:space="preserve"> </w:t>
      </w:r>
      <w:proofErr w:type="spellStart"/>
      <w:r>
        <w:t>zachorowań</w:t>
      </w:r>
      <w:proofErr w:type="spellEnd"/>
      <w:r>
        <w:t xml:space="preserve">, to zauważalny </w:t>
      </w:r>
      <w:r>
        <w:t xml:space="preserve">jest </w:t>
      </w:r>
      <w:r>
        <w:t xml:space="preserve">znaczący </w:t>
      </w:r>
      <w:r>
        <w:t xml:space="preserve">wzrost ryzyka </w:t>
      </w:r>
      <w:r>
        <w:t xml:space="preserve">rynkowego </w:t>
      </w:r>
      <w:r>
        <w:t>w</w:t>
      </w:r>
      <w:r>
        <w:t> połowie</w:t>
      </w:r>
      <w:r>
        <w:t xml:space="preserve"> 2020</w:t>
      </w:r>
      <w:r>
        <w:t xml:space="preserve"> </w:t>
      </w:r>
      <w:r>
        <w:t>r</w:t>
      </w:r>
      <w:r>
        <w:t xml:space="preserve">oku. Wydaje się, że nie miało to związku z pandemią (Chiny walczyły z nią metodycznie), a wynikało z wydarzenia, jakie miało miejsce </w:t>
      </w:r>
      <w:r>
        <w:t xml:space="preserve">26 czerwca </w:t>
      </w:r>
      <w:r>
        <w:t>tego roku</w:t>
      </w:r>
      <w:r>
        <w:t xml:space="preserve"> </w:t>
      </w:r>
      <w:r>
        <w:t xml:space="preserve">– wówczas </w:t>
      </w:r>
      <w:r>
        <w:t xml:space="preserve">50 niezależnych specjalistów </w:t>
      </w:r>
      <w:r>
        <w:t>ds.</w:t>
      </w:r>
      <w:r>
        <w:t xml:space="preserve"> Praw Człowieka wygłosiło swoje zaniepokojenie na temat sytuacji społecznej w Chinach. </w:t>
      </w:r>
    </w:p>
    <w:p w14:paraId="79E16E93" w14:textId="5296EE43" w:rsidR="00503AD9" w:rsidRPr="00FE709E" w:rsidRDefault="00503AD9" w:rsidP="00503AD9">
      <w:r>
        <w:t xml:space="preserve">Wybuch wojny w Ukrainie w lutym 2022 roku również nie wpłynął istotnie na sytuację na chińskiej giełdzie – owo wydarzenie </w:t>
      </w:r>
      <w:r>
        <w:t>spowodował</w:t>
      </w:r>
      <w:r>
        <w:t>o zaledwie</w:t>
      </w:r>
      <w:r>
        <w:t xml:space="preserve"> lekki wzrost ryzyka inwestycyjnego w Chinach.</w:t>
      </w:r>
    </w:p>
    <w:p w14:paraId="34B4099C" w14:textId="77777777" w:rsidR="00503AD9" w:rsidRDefault="00503AD9" w:rsidP="007D3A51">
      <w:pPr>
        <w:pStyle w:val="Nrrys"/>
      </w:pPr>
    </w:p>
    <w:p w14:paraId="0E837647" w14:textId="5E56ADCF" w:rsidR="007D3A51" w:rsidRDefault="007D3A51" w:rsidP="007D3A51">
      <w:pPr>
        <w:pStyle w:val="Nrrys"/>
      </w:pPr>
      <w:r>
        <w:t>Rys. 13.</w:t>
      </w:r>
      <w:r w:rsidR="0076710B">
        <w:t>9</w:t>
      </w:r>
      <w:r>
        <w:t xml:space="preserve">. Oszacowania 99% </w:t>
      </w:r>
      <w:proofErr w:type="spellStart"/>
      <w:r>
        <w:t>VaR</w:t>
      </w:r>
      <w:proofErr w:type="spellEnd"/>
      <w:r>
        <w:t xml:space="preserve"> i ES dla indeksu </w:t>
      </w:r>
      <w:r>
        <w:t>RTSI</w:t>
      </w:r>
    </w:p>
    <w:p w14:paraId="645D32F2" w14:textId="77777777" w:rsidR="007D3A51" w:rsidRDefault="007D3A51" w:rsidP="007D3A51">
      <w:pPr>
        <w:pStyle w:val="Rysunek"/>
      </w:pPr>
    </w:p>
    <w:p w14:paraId="66784DBF" w14:textId="77777777" w:rsidR="007D3A51" w:rsidRDefault="007D3A51" w:rsidP="007D3A51">
      <w:pPr>
        <w:pStyle w:val="rdo"/>
      </w:pPr>
      <w:r>
        <w:t>Źródło: Opracowanie własne.</w:t>
      </w:r>
    </w:p>
    <w:p w14:paraId="304B7E71" w14:textId="79D2B6C5" w:rsidR="007D3A51" w:rsidRDefault="007D3A51" w:rsidP="007D3A51">
      <w:pPr>
        <w:pStyle w:val="Nrrys"/>
      </w:pPr>
      <w:r>
        <w:t>Rys. 13.</w:t>
      </w:r>
      <w:r w:rsidR="0076710B">
        <w:t>10</w:t>
      </w:r>
      <w:r>
        <w:t xml:space="preserve">. Oszacowania 99% </w:t>
      </w:r>
      <w:proofErr w:type="spellStart"/>
      <w:r>
        <w:t>VaR</w:t>
      </w:r>
      <w:proofErr w:type="spellEnd"/>
      <w:r>
        <w:t xml:space="preserve"> i ES dla indeksu </w:t>
      </w:r>
      <w:r>
        <w:t>RTSI</w:t>
      </w:r>
    </w:p>
    <w:p w14:paraId="5B3E77A9" w14:textId="77777777" w:rsidR="007D3A51" w:rsidRDefault="007D3A51" w:rsidP="007D3A51">
      <w:pPr>
        <w:pStyle w:val="Rysunek"/>
      </w:pPr>
    </w:p>
    <w:p w14:paraId="06817A98" w14:textId="77777777" w:rsidR="007D3A51" w:rsidRDefault="007D3A51" w:rsidP="007D3A51">
      <w:pPr>
        <w:pStyle w:val="rdo"/>
      </w:pPr>
      <w:r>
        <w:t>Źródło: Opracowanie własne.</w:t>
      </w:r>
    </w:p>
    <w:p w14:paraId="5568A185" w14:textId="3460AE94" w:rsidR="0007600C" w:rsidRDefault="0007600C" w:rsidP="0007600C">
      <w:r>
        <w:t>O ile reakcja giełdy rosyjskiej na wybuch</w:t>
      </w:r>
      <w:r w:rsidRPr="0007600C">
        <w:t xml:space="preserve"> pandemii </w:t>
      </w:r>
      <w:r>
        <w:t>COVID-19 jest podobny do innych rynków europejskich, to zgodnie z przewidywaniami, widać największe zmiany ryzyka rynkowego dla RSI po wybuchu wojny</w:t>
      </w:r>
      <w:r w:rsidRPr="0007600C">
        <w:t xml:space="preserve"> </w:t>
      </w:r>
      <w:r>
        <w:t>z</w:t>
      </w:r>
      <w:r w:rsidRPr="0007600C">
        <w:t xml:space="preserve"> Ukrain</w:t>
      </w:r>
      <w:r>
        <w:t xml:space="preserve">ie. Wówczas dzienne straty przekraczały </w:t>
      </w:r>
      <w:r w:rsidRPr="0007600C">
        <w:t>40%</w:t>
      </w:r>
      <w:r>
        <w:t xml:space="preserve"> i wywindowały </w:t>
      </w:r>
      <w:proofErr w:type="spellStart"/>
      <w:r>
        <w:t>VaR</w:t>
      </w:r>
      <w:proofErr w:type="spellEnd"/>
      <w:r>
        <w:t xml:space="preserve"> i ES na bardzo wysoki </w:t>
      </w:r>
      <w:r>
        <w:lastRenderedPageBreak/>
        <w:t>poziom.</w:t>
      </w:r>
      <w:r w:rsidRPr="0007600C">
        <w:t xml:space="preserve"> </w:t>
      </w:r>
      <w:r>
        <w:t>Wysoki poziom ryzyka</w:t>
      </w:r>
      <w:r w:rsidRPr="0007600C">
        <w:t xml:space="preserve"> utrzymywał </w:t>
      </w:r>
      <w:r>
        <w:t>do początku 2023 roku i dopiero w ostatnim czasie nieznacznie zmalał.</w:t>
      </w:r>
    </w:p>
    <w:p w14:paraId="2274B9D5" w14:textId="77777777" w:rsidR="0007600C" w:rsidRPr="0007600C" w:rsidRDefault="0007600C" w:rsidP="0007600C"/>
    <w:p w14:paraId="699CBB98" w14:textId="77777777" w:rsidR="00503AD9" w:rsidRPr="00503AD9" w:rsidRDefault="00503AD9" w:rsidP="00503AD9"/>
    <w:p w14:paraId="13304651" w14:textId="4AC85D9B" w:rsidR="007D3A51" w:rsidRDefault="00503AD9" w:rsidP="00503AD9">
      <w:pPr>
        <w:pStyle w:val="Nagwek2"/>
      </w:pPr>
      <w:r>
        <w:t>13.4 Podsumowanie</w:t>
      </w:r>
    </w:p>
    <w:p w14:paraId="420988A7" w14:textId="0327E7E2" w:rsidR="007D3A51" w:rsidRDefault="0076710B" w:rsidP="007D3A51">
      <w:r>
        <w:t xml:space="preserve">Celem przeprowadzonego badania była ocena zmian ryzyka rynkowego na wybranych giełdach w efekcie dwóch bardzo znaczących wydarzeń, jakie miały miejsce w ostatnich latach, tj. pandemii COVID-19 i wojnie w Ukrainie. </w:t>
      </w:r>
    </w:p>
    <w:p w14:paraId="2FBD710F" w14:textId="03C505BB" w:rsidR="0076710B" w:rsidRDefault="0076710B" w:rsidP="007D3A51">
      <w:r>
        <w:t xml:space="preserve">O ile zmiany oszacowań </w:t>
      </w:r>
      <w:proofErr w:type="spellStart"/>
      <w:r>
        <w:t>VaR</w:t>
      </w:r>
      <w:proofErr w:type="spellEnd"/>
      <w:r>
        <w:t xml:space="preserve"> wskutek wybuchu pandemii wydają się być mocno związane z otwartością danej gospodarki, to ryzyko rynkowe będące wynikiem konfliktu zbrojnego za naszą wschodnią granicą wyraźnie zależy od położenia badanych krajów. O ile owe wzrosty oszacowań </w:t>
      </w:r>
      <w:proofErr w:type="spellStart"/>
      <w:r>
        <w:t>VaR</w:t>
      </w:r>
      <w:proofErr w:type="spellEnd"/>
      <w:r>
        <w:t xml:space="preserve"> i ES były bardzo wysokie w Rosji i Polsce, to w USA i Chinach nie było bardzo znaczących zmian. </w:t>
      </w:r>
    </w:p>
    <w:p w14:paraId="39934795" w14:textId="1F23F8B9" w:rsidR="008F3F1A" w:rsidRDefault="008F3F1A" w:rsidP="008F3F1A">
      <w:pPr>
        <w:pStyle w:val="Nagwek2"/>
      </w:pPr>
      <w:r>
        <w:t>Bibliografia</w:t>
      </w:r>
    </w:p>
    <w:p w14:paraId="0FD33E34" w14:textId="46E558B4" w:rsidR="007A23F8" w:rsidRPr="00CF7594" w:rsidRDefault="007A23F8" w:rsidP="007A23F8">
      <w:pPr>
        <w:pStyle w:val="Bibliografia"/>
        <w:rPr>
          <w:lang w:val="en-GB"/>
        </w:rPr>
      </w:pPr>
      <w:r w:rsidRPr="00CF7594">
        <w:rPr>
          <w:lang w:val="en-GB"/>
        </w:rPr>
        <w:t>Holton G.A.</w:t>
      </w:r>
      <w:r w:rsidR="0076710B">
        <w:rPr>
          <w:lang w:val="en-GB"/>
        </w:rPr>
        <w:t>,</w:t>
      </w:r>
      <w:r>
        <w:rPr>
          <w:lang w:val="en-GB"/>
        </w:rPr>
        <w:t xml:space="preserve"> 2004</w:t>
      </w:r>
      <w:r w:rsidRPr="00CF7594">
        <w:rPr>
          <w:lang w:val="en-GB"/>
        </w:rPr>
        <w:t xml:space="preserve">, </w:t>
      </w:r>
      <w:r w:rsidRPr="007A23F8">
        <w:rPr>
          <w:i/>
          <w:iCs/>
          <w:lang w:val="en-GB"/>
        </w:rPr>
        <w:t>Value-at-Risk: Theory and Practice</w:t>
      </w:r>
      <w:r w:rsidRPr="00CF7594">
        <w:rPr>
          <w:lang w:val="en-GB"/>
        </w:rPr>
        <w:t>, Academic Press Inc</w:t>
      </w:r>
      <w:r>
        <w:rPr>
          <w:lang w:val="en-GB"/>
        </w:rPr>
        <w:t>.</w:t>
      </w:r>
    </w:p>
    <w:p w14:paraId="3F6DA9F8" w14:textId="77777777" w:rsidR="00D111A3" w:rsidRDefault="00D111A3" w:rsidP="00CF7594">
      <w:pPr>
        <w:pStyle w:val="Bibliografia"/>
      </w:pPr>
      <w:r w:rsidRPr="00D111A3">
        <w:t xml:space="preserve">Hull J.C., 2021, </w:t>
      </w:r>
      <w:r w:rsidRPr="00D111A3">
        <w:rPr>
          <w:i/>
          <w:iCs/>
        </w:rPr>
        <w:t>Zarządzanie ryzykiem instytucji finansowych</w:t>
      </w:r>
      <w:r w:rsidRPr="00D111A3">
        <w:t xml:space="preserve">, Wydawnictwo Naukowe PWN, Warszawa. </w:t>
      </w:r>
    </w:p>
    <w:p w14:paraId="6595E0FF" w14:textId="77777777" w:rsidR="00D41DB1" w:rsidRDefault="00CF7594" w:rsidP="00CF7594">
      <w:pPr>
        <w:pStyle w:val="Bibliografia"/>
        <w:rPr>
          <w:lang w:val="en-GB"/>
        </w:rPr>
      </w:pPr>
      <w:r w:rsidRPr="00CF7594">
        <w:rPr>
          <w:lang w:val="en-GB"/>
        </w:rPr>
        <w:t>K</w:t>
      </w:r>
      <w:r>
        <w:rPr>
          <w:lang w:val="en-GB"/>
        </w:rPr>
        <w:t>upiec</w:t>
      </w:r>
      <w:r w:rsidRPr="00CF7594">
        <w:rPr>
          <w:lang w:val="en-GB"/>
        </w:rPr>
        <w:t xml:space="preserve"> P.</w:t>
      </w:r>
      <w:r w:rsidR="007A23F8">
        <w:rPr>
          <w:lang w:val="en-GB"/>
        </w:rPr>
        <w:t xml:space="preserve">, 1995, </w:t>
      </w:r>
      <w:r w:rsidRPr="007A23F8">
        <w:rPr>
          <w:i/>
          <w:iCs/>
          <w:lang w:val="en-GB"/>
        </w:rPr>
        <w:t>Techniques for verifying the accuracy of risk management models</w:t>
      </w:r>
      <w:r w:rsidR="007A23F8" w:rsidRPr="007A23F8">
        <w:rPr>
          <w:i/>
          <w:iCs/>
          <w:lang w:val="en-GB"/>
        </w:rPr>
        <w:t>,</w:t>
      </w:r>
      <w:r w:rsidRPr="00CF7594">
        <w:rPr>
          <w:lang w:val="en-GB"/>
        </w:rPr>
        <w:t xml:space="preserve"> Journal of Derivatives</w:t>
      </w:r>
      <w:r w:rsidR="007A23F8">
        <w:rPr>
          <w:lang w:val="en-GB"/>
        </w:rPr>
        <w:t xml:space="preserve">, </w:t>
      </w:r>
      <w:r w:rsidRPr="00CF7594">
        <w:rPr>
          <w:lang w:val="en-GB"/>
        </w:rPr>
        <w:t xml:space="preserve">3, s. 73–84. </w:t>
      </w:r>
    </w:p>
    <w:p w14:paraId="05B96956" w14:textId="4A60D93E" w:rsidR="00CF7594" w:rsidRPr="00D41DB1" w:rsidRDefault="00D41DB1" w:rsidP="00CF7594">
      <w:pPr>
        <w:pStyle w:val="Bibliografia"/>
      </w:pPr>
      <w:proofErr w:type="spellStart"/>
      <w:r w:rsidRPr="00D41DB1">
        <w:t>Kuziak</w:t>
      </w:r>
      <w:proofErr w:type="spellEnd"/>
      <w:r w:rsidRPr="00D41DB1">
        <w:t xml:space="preserve"> K.</w:t>
      </w:r>
      <w:r w:rsidRPr="00D41DB1">
        <w:t>,</w:t>
      </w:r>
      <w:r w:rsidRPr="00D41DB1">
        <w:t xml:space="preserve"> 2003</w:t>
      </w:r>
      <w:r w:rsidRPr="00D41DB1">
        <w:t>,</w:t>
      </w:r>
      <w:r w:rsidRPr="00D41DB1">
        <w:t xml:space="preserve"> </w:t>
      </w:r>
      <w:r w:rsidRPr="00D41DB1">
        <w:rPr>
          <w:i/>
          <w:iCs/>
        </w:rPr>
        <w:t>Koncepcja warto</w:t>
      </w:r>
      <w:r>
        <w:rPr>
          <w:i/>
          <w:iCs/>
        </w:rPr>
        <w:t>ś</w:t>
      </w:r>
      <w:r w:rsidRPr="00D41DB1">
        <w:rPr>
          <w:i/>
          <w:iCs/>
        </w:rPr>
        <w:t>ci zagro</w:t>
      </w:r>
      <w:r>
        <w:rPr>
          <w:i/>
          <w:iCs/>
        </w:rPr>
        <w:t>ż</w:t>
      </w:r>
      <w:r w:rsidRPr="00D41DB1">
        <w:rPr>
          <w:i/>
          <w:iCs/>
        </w:rPr>
        <w:t xml:space="preserve">onej </w:t>
      </w:r>
      <w:proofErr w:type="spellStart"/>
      <w:r w:rsidRPr="00D41DB1">
        <w:rPr>
          <w:i/>
          <w:iCs/>
        </w:rPr>
        <w:t>VaR</w:t>
      </w:r>
      <w:proofErr w:type="spellEnd"/>
      <w:r w:rsidRPr="00D41DB1">
        <w:rPr>
          <w:i/>
          <w:iCs/>
        </w:rPr>
        <w:t xml:space="preserve"> (Value </w:t>
      </w:r>
      <w:proofErr w:type="spellStart"/>
      <w:r w:rsidRPr="00D41DB1">
        <w:rPr>
          <w:i/>
          <w:iCs/>
        </w:rPr>
        <w:t>at</w:t>
      </w:r>
      <w:proofErr w:type="spellEnd"/>
      <w:r w:rsidRPr="00D41DB1">
        <w:rPr>
          <w:i/>
          <w:iCs/>
        </w:rPr>
        <w:t xml:space="preserve"> </w:t>
      </w:r>
      <w:proofErr w:type="spellStart"/>
      <w:r w:rsidRPr="00D41DB1">
        <w:rPr>
          <w:i/>
          <w:iCs/>
        </w:rPr>
        <w:t>Risk</w:t>
      </w:r>
      <w:proofErr w:type="spellEnd"/>
      <w:r w:rsidRPr="00D41DB1">
        <w:rPr>
          <w:i/>
          <w:iCs/>
        </w:rPr>
        <w:t>)</w:t>
      </w:r>
      <w:r w:rsidRPr="00D41DB1">
        <w:t xml:space="preserve">. </w:t>
      </w:r>
      <w:proofErr w:type="spellStart"/>
      <w:r w:rsidRPr="00D41DB1">
        <w:t>StatSoft</w:t>
      </w:r>
      <w:proofErr w:type="spellEnd"/>
      <w:r w:rsidRPr="00D41DB1">
        <w:t xml:space="preserve"> Polska</w:t>
      </w:r>
      <w:r w:rsidRPr="00D41DB1">
        <w:rPr>
          <w:i/>
          <w:iCs/>
        </w:rPr>
        <w:t xml:space="preserve">, </w:t>
      </w:r>
      <w:r w:rsidRPr="00D41DB1">
        <w:rPr>
          <w:i/>
          <w:iCs/>
        </w:rPr>
        <w:t>http://www. statsoft.pl/czytelnia/finanse/pdf/kuziak.pdf</w:t>
      </w:r>
      <w:r>
        <w:t>.</w:t>
      </w:r>
    </w:p>
    <w:p w14:paraId="55D1574F" w14:textId="77777777" w:rsidR="007A23F8" w:rsidRDefault="007A23F8" w:rsidP="007A23F8">
      <w:pPr>
        <w:pStyle w:val="Bibliografia"/>
        <w:rPr>
          <w:lang w:val="en-GB"/>
        </w:rPr>
      </w:pPr>
      <w:proofErr w:type="spellStart"/>
      <w:r>
        <w:t>Lusztyn</w:t>
      </w:r>
      <w:proofErr w:type="spellEnd"/>
      <w:r>
        <w:t xml:space="preserve"> M., 2013, </w:t>
      </w:r>
      <w:r w:rsidRPr="007A23F8">
        <w:rPr>
          <w:i/>
          <w:iCs/>
        </w:rPr>
        <w:t>Weryfikacja historyczna modeli wartości zagrożonej–zastosowanie wybranych metod dla rynku polskiego w okresie kryzysu finansowego</w:t>
      </w:r>
      <w:r>
        <w:t xml:space="preserve">. </w:t>
      </w:r>
      <w:proofErr w:type="spellStart"/>
      <w:r w:rsidRPr="007A23F8">
        <w:rPr>
          <w:lang w:val="en-GB"/>
        </w:rPr>
        <w:t>Ekonometria</w:t>
      </w:r>
      <w:proofErr w:type="spellEnd"/>
      <w:r w:rsidRPr="007A23F8">
        <w:rPr>
          <w:lang w:val="en-GB"/>
        </w:rPr>
        <w:t xml:space="preserve"> 42, s. 117-129</w:t>
      </w:r>
    </w:p>
    <w:p w14:paraId="778876BF" w14:textId="7E8BD758" w:rsidR="00CF7594" w:rsidRPr="00CF7594" w:rsidRDefault="00CF7594" w:rsidP="007A23F8">
      <w:pPr>
        <w:pStyle w:val="Bibliografia"/>
        <w:rPr>
          <w:lang w:val="en-GB"/>
        </w:rPr>
      </w:pPr>
      <w:r w:rsidRPr="00CF7594">
        <w:rPr>
          <w:lang w:val="en-GB"/>
        </w:rPr>
        <w:t xml:space="preserve">Morgan J. P., </w:t>
      </w:r>
      <w:r w:rsidR="007A23F8">
        <w:rPr>
          <w:lang w:val="en-GB"/>
        </w:rPr>
        <w:t xml:space="preserve">1995, </w:t>
      </w:r>
      <w:proofErr w:type="spellStart"/>
      <w:r w:rsidRPr="007A23F8">
        <w:rPr>
          <w:i/>
          <w:iCs/>
          <w:lang w:val="en-GB"/>
        </w:rPr>
        <w:t>RiskMetrics</w:t>
      </w:r>
      <w:proofErr w:type="spellEnd"/>
      <w:r w:rsidRPr="007A23F8">
        <w:rPr>
          <w:i/>
          <w:iCs/>
          <w:lang w:val="en-GB"/>
        </w:rPr>
        <w:t xml:space="preserve"> Technical Document</w:t>
      </w:r>
      <w:r w:rsidRPr="00CF7594">
        <w:rPr>
          <w:lang w:val="en-GB"/>
        </w:rPr>
        <w:t xml:space="preserve">, </w:t>
      </w:r>
      <w:r w:rsidR="007A23F8">
        <w:rPr>
          <w:lang w:val="en-GB"/>
        </w:rPr>
        <w:t>ed</w:t>
      </w:r>
      <w:r w:rsidRPr="00CF7594">
        <w:rPr>
          <w:lang w:val="en-GB"/>
        </w:rPr>
        <w:t>. 3, New York</w:t>
      </w:r>
      <w:r w:rsidR="007A23F8">
        <w:rPr>
          <w:lang w:val="en-GB"/>
        </w:rPr>
        <w:t>.</w:t>
      </w:r>
    </w:p>
    <w:p w14:paraId="622DEC61" w14:textId="09D9EA9B" w:rsidR="008F3F1A" w:rsidRPr="008F3F1A" w:rsidRDefault="00CF7594" w:rsidP="00CF7594">
      <w:pPr>
        <w:pStyle w:val="Bibliografia"/>
      </w:pPr>
      <w:r>
        <w:t>.</w:t>
      </w:r>
    </w:p>
    <w:sectPr w:rsidR="008F3F1A" w:rsidRPr="008F3F1A" w:rsidSect="00AC5E6F">
      <w:headerReference w:type="even" r:id="rId8"/>
      <w:headerReference w:type="default" r:id="rId9"/>
      <w:footerReference w:type="default" r:id="rId10"/>
      <w:pgSz w:w="11906" w:h="16838" w:code="9"/>
      <w:pgMar w:top="2835" w:right="2381" w:bottom="2835" w:left="24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B54F4" w14:textId="77777777" w:rsidR="00153BF7" w:rsidRDefault="00153BF7" w:rsidP="004F068F">
      <w:r>
        <w:separator/>
      </w:r>
    </w:p>
  </w:endnote>
  <w:endnote w:type="continuationSeparator" w:id="0">
    <w:p w14:paraId="13E0D880" w14:textId="77777777" w:rsidR="00153BF7" w:rsidRDefault="00153BF7" w:rsidP="004F0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041FD" w14:textId="77777777" w:rsidR="009A2E88" w:rsidRDefault="009A2E88" w:rsidP="00926E0C">
    <w:pPr>
      <w:pStyle w:val="Stopka"/>
    </w:pPr>
  </w:p>
  <w:p w14:paraId="64104D31" w14:textId="77777777" w:rsidR="0068176F" w:rsidRDefault="0068176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DC06A" w14:textId="77777777" w:rsidR="00153BF7" w:rsidRDefault="00153BF7" w:rsidP="004F068F">
      <w:r>
        <w:separator/>
      </w:r>
    </w:p>
  </w:footnote>
  <w:footnote w:type="continuationSeparator" w:id="0">
    <w:p w14:paraId="591BC61C" w14:textId="77777777" w:rsidR="00153BF7" w:rsidRDefault="00153BF7" w:rsidP="004F068F">
      <w:r>
        <w:continuationSeparator/>
      </w:r>
    </w:p>
  </w:footnote>
  <w:footnote w:id="1">
    <w:p w14:paraId="77875A6D" w14:textId="09B11E60" w:rsidR="002868D4" w:rsidRDefault="002868D4" w:rsidP="002868D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31387B">
        <w:t>AGH Akademia Górniczo-Hutnicza w Krakowie. Wydział Zarządzania. KN Ekonometryk</w:t>
      </w:r>
    </w:p>
  </w:footnote>
  <w:footnote w:id="2">
    <w:p w14:paraId="33A73A1B" w14:textId="2ACADC3A" w:rsidR="00BD2D1D" w:rsidRDefault="00BD2D1D">
      <w:pPr>
        <w:pStyle w:val="Tekstprzypisudolnego"/>
      </w:pPr>
      <w:r>
        <w:rPr>
          <w:rStyle w:val="Odwoanieprzypisudolnego"/>
        </w:rPr>
        <w:footnoteRef/>
      </w:r>
      <w:r>
        <w:t xml:space="preserve"> dr, </w:t>
      </w:r>
      <w:r>
        <w:t xml:space="preserve">AGH Akademia Górniczo-Hutnicza w Krakowie. Wydział Zarządzania. </w:t>
      </w:r>
      <w:r>
        <w:t>Samodzielna Pracownia Zastosowań Matematyki w Ekonomii.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DF5E8" w14:textId="77777777" w:rsidR="003F0E10" w:rsidRDefault="003F0E10" w:rsidP="003F0E10">
    <w:pPr>
      <w:pStyle w:val="Nagwek"/>
      <w:ind w:firstLine="0"/>
    </w:pPr>
  </w:p>
  <w:p w14:paraId="265F6786" w14:textId="77777777" w:rsidR="003F0E10" w:rsidRDefault="003F0E10" w:rsidP="003F0E10">
    <w:pPr>
      <w:pStyle w:val="Nagwek"/>
      <w:ind w:firstLine="0"/>
    </w:pPr>
  </w:p>
  <w:p w14:paraId="351359E5" w14:textId="77777777" w:rsidR="003F0E10" w:rsidRDefault="003F0E10" w:rsidP="003F0E10">
    <w:pPr>
      <w:pStyle w:val="Nagwek"/>
      <w:ind w:firstLine="0"/>
    </w:pPr>
  </w:p>
  <w:p w14:paraId="426C7457" w14:textId="77777777" w:rsidR="003F0E10" w:rsidRDefault="003F0E10" w:rsidP="003F0E10">
    <w:pPr>
      <w:pStyle w:val="Nagwek"/>
      <w:ind w:firstLine="0"/>
    </w:pPr>
  </w:p>
  <w:p w14:paraId="55B818C0" w14:textId="77777777" w:rsidR="003F0E10" w:rsidRDefault="003F0E10" w:rsidP="003F0E10">
    <w:pPr>
      <w:pStyle w:val="Nagwek"/>
      <w:ind w:firstLine="0"/>
    </w:pPr>
  </w:p>
  <w:p w14:paraId="129A7437" w14:textId="77777777" w:rsidR="003F0E10" w:rsidRDefault="003F0E10" w:rsidP="003F0E10">
    <w:pPr>
      <w:pStyle w:val="Nagwek"/>
      <w:ind w:firstLine="0"/>
    </w:pPr>
  </w:p>
  <w:p w14:paraId="4A691C20" w14:textId="77777777" w:rsidR="003F0E10" w:rsidRDefault="003F0E10" w:rsidP="003F0E10">
    <w:pPr>
      <w:pStyle w:val="Nagwek"/>
      <w:ind w:firstLine="0"/>
    </w:pPr>
  </w:p>
  <w:p w14:paraId="3D68CFAB" w14:textId="77777777" w:rsidR="003F0E10" w:rsidRDefault="003F0E10" w:rsidP="003F0E10">
    <w:pPr>
      <w:pStyle w:val="Nagwek"/>
      <w:ind w:firstLine="0"/>
    </w:pPr>
  </w:p>
  <w:p w14:paraId="78F39701" w14:textId="77777777" w:rsidR="009A2E88" w:rsidRDefault="003F0E10" w:rsidP="003F0E10">
    <w:pPr>
      <w:pStyle w:val="Nagwek"/>
      <w:ind w:firstLine="0"/>
    </w:pPr>
    <w:r>
      <w:fldChar w:fldCharType="begin"/>
    </w:r>
    <w:r>
      <w:instrText>PAGE   \* MERGEFORMAT</w:instrText>
    </w:r>
    <w:r>
      <w:fldChar w:fldCharType="separate"/>
    </w:r>
    <w:r w:rsidR="0068639E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BC622" w14:textId="77777777" w:rsidR="003F0E10" w:rsidRDefault="003F0E10" w:rsidP="009A2E88">
    <w:pPr>
      <w:pStyle w:val="Nagwek"/>
      <w:jc w:val="right"/>
    </w:pPr>
  </w:p>
  <w:p w14:paraId="627CE0DD" w14:textId="77777777" w:rsidR="003F0E10" w:rsidRDefault="003F0E10" w:rsidP="009A2E88">
    <w:pPr>
      <w:pStyle w:val="Nagwek"/>
      <w:jc w:val="right"/>
    </w:pPr>
  </w:p>
  <w:p w14:paraId="6BCB684E" w14:textId="77777777" w:rsidR="003F0E10" w:rsidRDefault="003F0E10" w:rsidP="009A2E88">
    <w:pPr>
      <w:pStyle w:val="Nagwek"/>
      <w:jc w:val="right"/>
    </w:pPr>
  </w:p>
  <w:p w14:paraId="756D795C" w14:textId="77777777" w:rsidR="003F0E10" w:rsidRDefault="003F0E10" w:rsidP="009A2E88">
    <w:pPr>
      <w:pStyle w:val="Nagwek"/>
      <w:jc w:val="right"/>
    </w:pPr>
  </w:p>
  <w:p w14:paraId="03D5B689" w14:textId="77777777" w:rsidR="003F0E10" w:rsidRDefault="003F0E10" w:rsidP="009A2E88">
    <w:pPr>
      <w:pStyle w:val="Nagwek"/>
      <w:jc w:val="right"/>
    </w:pPr>
  </w:p>
  <w:p w14:paraId="38C85FD7" w14:textId="77777777" w:rsidR="003F0E10" w:rsidRDefault="003F0E10" w:rsidP="009A2E88">
    <w:pPr>
      <w:pStyle w:val="Nagwek"/>
      <w:jc w:val="right"/>
    </w:pPr>
  </w:p>
  <w:p w14:paraId="7A118C2D" w14:textId="77777777" w:rsidR="003F0E10" w:rsidRDefault="003F0E10" w:rsidP="009A2E88">
    <w:pPr>
      <w:pStyle w:val="Nagwek"/>
      <w:jc w:val="right"/>
    </w:pPr>
  </w:p>
  <w:p w14:paraId="0E3B88B8" w14:textId="77777777" w:rsidR="003F0E10" w:rsidRDefault="003F0E10" w:rsidP="009A2E88">
    <w:pPr>
      <w:pStyle w:val="Nagwek"/>
      <w:jc w:val="right"/>
    </w:pPr>
  </w:p>
  <w:p w14:paraId="1CF8C3C0" w14:textId="77777777" w:rsidR="009A2E88" w:rsidRDefault="009A2E88" w:rsidP="003F0E10">
    <w:pPr>
      <w:pStyle w:val="Nagwek"/>
      <w:jc w:val="right"/>
    </w:pPr>
    <w:r>
      <w:fldChar w:fldCharType="begin"/>
    </w:r>
    <w:r>
      <w:instrText>PAGE   \* MERGEFORMAT</w:instrText>
    </w:r>
    <w:r>
      <w:fldChar w:fldCharType="separate"/>
    </w:r>
    <w:r w:rsidR="0068639E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E65E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B6CD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24E3C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C6621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D7E60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5EB5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AC6A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947F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C89D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22A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0"/>
        </w:tabs>
        <w:ind w:left="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36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</w:abstractNum>
  <w:abstractNum w:abstractNumId="11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340"/>
        </w:tabs>
        <w:ind w:left="340" w:hanging="334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36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</w:abstractNum>
  <w:abstractNum w:abstractNumId="12" w15:restartNumberingAfterBreak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3" w15:restartNumberingAfterBreak="0">
    <w:nsid w:val="00000004"/>
    <w:multiLevelType w:val="multilevel"/>
    <w:tmpl w:val="0000000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4" w15:restartNumberingAfterBreak="0">
    <w:nsid w:val="00000007"/>
    <w:multiLevelType w:val="multilevel"/>
    <w:tmpl w:val="00000007"/>
    <w:lvl w:ilvl="0">
      <w:start w:val="1"/>
      <w:numFmt w:val="bullet"/>
      <w:lvlText w:val=""/>
      <w:lvlJc w:val="left"/>
      <w:pPr>
        <w:tabs>
          <w:tab w:val="num" w:pos="360"/>
        </w:tabs>
        <w:ind w:left="360" w:hanging="283"/>
      </w:pPr>
      <w:rPr>
        <w:rFonts w:ascii="Wingdings 2" w:hAnsi="Wingdings 2" w:cs="StarSymbol"/>
        <w:sz w:val="18"/>
        <w:szCs w:val="18"/>
      </w:rPr>
    </w:lvl>
    <w:lvl w:ilvl="1">
      <w:start w:val="1"/>
      <w:numFmt w:val="bullet"/>
      <w:lvlText w:val=""/>
      <w:lvlJc w:val="left"/>
      <w:pPr>
        <w:tabs>
          <w:tab w:val="num" w:pos="360"/>
        </w:tabs>
        <w:ind w:left="360" w:hanging="283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"/>
      <w:lvlJc w:val="left"/>
      <w:pPr>
        <w:tabs>
          <w:tab w:val="num" w:pos="490"/>
        </w:tabs>
        <w:ind w:left="490" w:hanging="283"/>
      </w:pPr>
      <w:rPr>
        <w:rFonts w:ascii="Wingdings 2" w:hAnsi="Wingdings 2" w:cs="StarSymbol"/>
        <w:sz w:val="18"/>
        <w:szCs w:val="18"/>
      </w:rPr>
    </w:lvl>
    <w:lvl w:ilvl="3">
      <w:start w:val="1"/>
      <w:numFmt w:val="bullet"/>
      <w:lvlText w:val=""/>
      <w:lvlJc w:val="left"/>
      <w:pPr>
        <w:tabs>
          <w:tab w:val="num" w:pos="774"/>
        </w:tabs>
        <w:ind w:left="774" w:hanging="283"/>
      </w:pPr>
      <w:rPr>
        <w:rFonts w:ascii="Wingdings 2" w:hAnsi="Wingdings 2" w:cs="StarSymbol"/>
        <w:sz w:val="18"/>
        <w:szCs w:val="18"/>
      </w:rPr>
    </w:lvl>
    <w:lvl w:ilvl="4">
      <w:start w:val="1"/>
      <w:numFmt w:val="bullet"/>
      <w:lvlText w:val=""/>
      <w:lvlJc w:val="left"/>
      <w:pPr>
        <w:tabs>
          <w:tab w:val="num" w:pos="1057"/>
        </w:tabs>
        <w:ind w:left="1057" w:hanging="283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"/>
      <w:lvlJc w:val="left"/>
      <w:pPr>
        <w:tabs>
          <w:tab w:val="num" w:pos="1341"/>
        </w:tabs>
        <w:ind w:left="1341" w:hanging="283"/>
      </w:pPr>
      <w:rPr>
        <w:rFonts w:ascii="Wingdings 2" w:hAnsi="Wingdings 2" w:cs="StarSymbol"/>
        <w:sz w:val="18"/>
        <w:szCs w:val="18"/>
      </w:rPr>
    </w:lvl>
    <w:lvl w:ilvl="6">
      <w:start w:val="1"/>
      <w:numFmt w:val="bullet"/>
      <w:lvlText w:val=""/>
      <w:lvlJc w:val="left"/>
      <w:pPr>
        <w:tabs>
          <w:tab w:val="num" w:pos="1624"/>
        </w:tabs>
        <w:ind w:left="1624" w:hanging="283"/>
      </w:pPr>
      <w:rPr>
        <w:rFonts w:ascii="Wingdings 2" w:hAnsi="Wingdings 2" w:cs="StarSymbol"/>
        <w:sz w:val="18"/>
        <w:szCs w:val="18"/>
      </w:rPr>
    </w:lvl>
    <w:lvl w:ilvl="7">
      <w:start w:val="1"/>
      <w:numFmt w:val="bullet"/>
      <w:lvlText w:val=""/>
      <w:lvlJc w:val="left"/>
      <w:pPr>
        <w:tabs>
          <w:tab w:val="num" w:pos="1908"/>
        </w:tabs>
        <w:ind w:left="1908" w:hanging="283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"/>
      <w:lvlJc w:val="left"/>
      <w:pPr>
        <w:tabs>
          <w:tab w:val="num" w:pos="2191"/>
        </w:tabs>
        <w:ind w:left="2191" w:hanging="283"/>
      </w:pPr>
      <w:rPr>
        <w:rFonts w:ascii="Wingdings 2" w:hAnsi="Wingdings 2" w:cs="StarSymbol"/>
        <w:sz w:val="18"/>
        <w:szCs w:val="18"/>
      </w:rPr>
    </w:lvl>
  </w:abstractNum>
  <w:abstractNum w:abstractNumId="15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283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283"/>
      </w:pPr>
    </w:lvl>
    <w:lvl w:ilvl="2">
      <w:start w:val="1"/>
      <w:numFmt w:val="decimal"/>
      <w:lvlText w:val="%3."/>
      <w:lvlJc w:val="left"/>
      <w:pPr>
        <w:tabs>
          <w:tab w:val="num" w:pos="490"/>
        </w:tabs>
        <w:ind w:left="490" w:hanging="283"/>
      </w:pPr>
    </w:lvl>
    <w:lvl w:ilvl="3">
      <w:start w:val="1"/>
      <w:numFmt w:val="decimal"/>
      <w:lvlText w:val="%4."/>
      <w:lvlJc w:val="left"/>
      <w:pPr>
        <w:tabs>
          <w:tab w:val="num" w:pos="774"/>
        </w:tabs>
        <w:ind w:left="774" w:hanging="283"/>
      </w:pPr>
    </w:lvl>
    <w:lvl w:ilvl="4">
      <w:start w:val="1"/>
      <w:numFmt w:val="decimal"/>
      <w:lvlText w:val="%5."/>
      <w:lvlJc w:val="left"/>
      <w:pPr>
        <w:tabs>
          <w:tab w:val="num" w:pos="1057"/>
        </w:tabs>
        <w:ind w:left="1057" w:hanging="283"/>
      </w:pPr>
    </w:lvl>
    <w:lvl w:ilvl="5">
      <w:start w:val="1"/>
      <w:numFmt w:val="decimal"/>
      <w:lvlText w:val="%6."/>
      <w:lvlJc w:val="left"/>
      <w:pPr>
        <w:tabs>
          <w:tab w:val="num" w:pos="1341"/>
        </w:tabs>
        <w:ind w:left="1341" w:hanging="283"/>
      </w:pPr>
    </w:lvl>
    <w:lvl w:ilvl="6">
      <w:start w:val="1"/>
      <w:numFmt w:val="decimal"/>
      <w:lvlText w:val="%7."/>
      <w:lvlJc w:val="left"/>
      <w:pPr>
        <w:tabs>
          <w:tab w:val="num" w:pos="1624"/>
        </w:tabs>
        <w:ind w:left="1624" w:hanging="283"/>
      </w:pPr>
    </w:lvl>
    <w:lvl w:ilvl="7">
      <w:start w:val="1"/>
      <w:numFmt w:val="decimal"/>
      <w:lvlText w:val="%8."/>
      <w:lvlJc w:val="left"/>
      <w:pPr>
        <w:tabs>
          <w:tab w:val="num" w:pos="1908"/>
        </w:tabs>
        <w:ind w:left="1908" w:hanging="283"/>
      </w:pPr>
    </w:lvl>
    <w:lvl w:ilvl="8">
      <w:start w:val="1"/>
      <w:numFmt w:val="decimal"/>
      <w:lvlText w:val="%9."/>
      <w:lvlJc w:val="left"/>
      <w:pPr>
        <w:tabs>
          <w:tab w:val="num" w:pos="2191"/>
        </w:tabs>
        <w:ind w:left="2191" w:hanging="283"/>
      </w:pPr>
    </w:lvl>
  </w:abstractNum>
  <w:abstractNum w:abstractNumId="16" w15:restartNumberingAfterBreak="0">
    <w:nsid w:val="00000009"/>
    <w:multiLevelType w:val="multilevel"/>
    <w:tmpl w:val="00000009"/>
    <w:lvl w:ilvl="0">
      <w:start w:val="1"/>
      <w:numFmt w:val="bullet"/>
      <w:lvlText w:val=""/>
      <w:lvlJc w:val="left"/>
      <w:pPr>
        <w:tabs>
          <w:tab w:val="num" w:pos="340"/>
        </w:tabs>
        <w:ind w:left="340" w:hanging="334"/>
      </w:pPr>
      <w:rPr>
        <w:rFonts w:ascii="Wingdings 2" w:hAnsi="Wingdings 2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36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</w:abstractNum>
  <w:abstractNum w:abstractNumId="17" w15:restartNumberingAfterBreak="0">
    <w:nsid w:val="0000000A"/>
    <w:multiLevelType w:val="multilevel"/>
    <w:tmpl w:val="0000000A"/>
    <w:lvl w:ilvl="0">
      <w:start w:val="1"/>
      <w:numFmt w:val="bullet"/>
      <w:lvlText w:val=""/>
      <w:lvlJc w:val="left"/>
      <w:pPr>
        <w:tabs>
          <w:tab w:val="num" w:pos="360"/>
        </w:tabs>
        <w:ind w:left="360" w:hanging="283"/>
      </w:pPr>
      <w:rPr>
        <w:rFonts w:ascii="Wingdings 2" w:hAnsi="Wingdings 2" w:cs="StarSymbol"/>
        <w:sz w:val="18"/>
        <w:szCs w:val="18"/>
      </w:rPr>
    </w:lvl>
    <w:lvl w:ilvl="1">
      <w:start w:val="1"/>
      <w:numFmt w:val="bullet"/>
      <w:lvlText w:val=""/>
      <w:lvlJc w:val="left"/>
      <w:pPr>
        <w:tabs>
          <w:tab w:val="num" w:pos="360"/>
        </w:tabs>
        <w:ind w:left="360" w:hanging="283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"/>
      <w:lvlJc w:val="left"/>
      <w:pPr>
        <w:tabs>
          <w:tab w:val="num" w:pos="490"/>
        </w:tabs>
        <w:ind w:left="490" w:hanging="283"/>
      </w:pPr>
      <w:rPr>
        <w:rFonts w:ascii="Wingdings 2" w:hAnsi="Wingdings 2" w:cs="StarSymbol"/>
        <w:sz w:val="18"/>
        <w:szCs w:val="18"/>
      </w:rPr>
    </w:lvl>
    <w:lvl w:ilvl="3">
      <w:start w:val="1"/>
      <w:numFmt w:val="bullet"/>
      <w:lvlText w:val=""/>
      <w:lvlJc w:val="left"/>
      <w:pPr>
        <w:tabs>
          <w:tab w:val="num" w:pos="774"/>
        </w:tabs>
        <w:ind w:left="774" w:hanging="283"/>
      </w:pPr>
      <w:rPr>
        <w:rFonts w:ascii="Wingdings 2" w:hAnsi="Wingdings 2" w:cs="StarSymbol"/>
        <w:sz w:val="18"/>
        <w:szCs w:val="18"/>
      </w:rPr>
    </w:lvl>
    <w:lvl w:ilvl="4">
      <w:start w:val="1"/>
      <w:numFmt w:val="bullet"/>
      <w:lvlText w:val=""/>
      <w:lvlJc w:val="left"/>
      <w:pPr>
        <w:tabs>
          <w:tab w:val="num" w:pos="1057"/>
        </w:tabs>
        <w:ind w:left="1057" w:hanging="283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"/>
      <w:lvlJc w:val="left"/>
      <w:pPr>
        <w:tabs>
          <w:tab w:val="num" w:pos="1341"/>
        </w:tabs>
        <w:ind w:left="1341" w:hanging="283"/>
      </w:pPr>
      <w:rPr>
        <w:rFonts w:ascii="Wingdings 2" w:hAnsi="Wingdings 2" w:cs="StarSymbol"/>
        <w:sz w:val="18"/>
        <w:szCs w:val="18"/>
      </w:rPr>
    </w:lvl>
    <w:lvl w:ilvl="6">
      <w:start w:val="1"/>
      <w:numFmt w:val="bullet"/>
      <w:lvlText w:val=""/>
      <w:lvlJc w:val="left"/>
      <w:pPr>
        <w:tabs>
          <w:tab w:val="num" w:pos="1624"/>
        </w:tabs>
        <w:ind w:left="1624" w:hanging="283"/>
      </w:pPr>
      <w:rPr>
        <w:rFonts w:ascii="Wingdings 2" w:hAnsi="Wingdings 2" w:cs="StarSymbol"/>
        <w:sz w:val="18"/>
        <w:szCs w:val="18"/>
      </w:rPr>
    </w:lvl>
    <w:lvl w:ilvl="7">
      <w:start w:val="1"/>
      <w:numFmt w:val="bullet"/>
      <w:lvlText w:val=""/>
      <w:lvlJc w:val="left"/>
      <w:pPr>
        <w:tabs>
          <w:tab w:val="num" w:pos="1908"/>
        </w:tabs>
        <w:ind w:left="1908" w:hanging="283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"/>
      <w:lvlJc w:val="left"/>
      <w:pPr>
        <w:tabs>
          <w:tab w:val="num" w:pos="2191"/>
        </w:tabs>
        <w:ind w:left="2191" w:hanging="283"/>
      </w:pPr>
      <w:rPr>
        <w:rFonts w:ascii="Wingdings 2" w:hAnsi="Wingdings 2" w:cs="StarSymbol"/>
        <w:sz w:val="18"/>
        <w:szCs w:val="18"/>
      </w:rPr>
    </w:lvl>
  </w:abstractNum>
  <w:abstractNum w:abstractNumId="18" w15:restartNumberingAfterBreak="0">
    <w:nsid w:val="0CE445E3"/>
    <w:multiLevelType w:val="hybridMultilevel"/>
    <w:tmpl w:val="90161B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705C7E"/>
    <w:multiLevelType w:val="hybridMultilevel"/>
    <w:tmpl w:val="ECB6AE50"/>
    <w:lvl w:ilvl="0" w:tplc="D07A5C8E">
      <w:start w:val="1"/>
      <w:numFmt w:val="decimal"/>
      <w:lvlText w:val="Tab. XX.%1. 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28A5E86"/>
    <w:multiLevelType w:val="hybridMultilevel"/>
    <w:tmpl w:val="7C706890"/>
    <w:lvl w:ilvl="0" w:tplc="01A0911C">
      <w:start w:val="1"/>
      <w:numFmt w:val="decimal"/>
      <w:pStyle w:val="Tabela-nrnawias"/>
      <w:lvlText w:val="%1)"/>
      <w:lvlJc w:val="right"/>
      <w:pPr>
        <w:ind w:left="53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51C0C1E"/>
    <w:multiLevelType w:val="hybridMultilevel"/>
    <w:tmpl w:val="8730BC0E"/>
    <w:lvl w:ilvl="0" w:tplc="D35C2FA8">
      <w:start w:val="1"/>
      <w:numFmt w:val="bullet"/>
      <w:pStyle w:val="Tabela-wyliczenie"/>
      <w:lvlText w:val="–"/>
      <w:lvlJc w:val="right"/>
      <w:pPr>
        <w:ind w:left="53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867A36"/>
    <w:multiLevelType w:val="hybridMultilevel"/>
    <w:tmpl w:val="90022048"/>
    <w:lvl w:ilvl="0" w:tplc="9148F460">
      <w:start w:val="1"/>
      <w:numFmt w:val="decimal"/>
      <w:pStyle w:val="Nrkropka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2DC46E66"/>
    <w:multiLevelType w:val="hybridMultilevel"/>
    <w:tmpl w:val="F86CDE24"/>
    <w:lvl w:ilvl="0" w:tplc="D88E7F62">
      <w:start w:val="1"/>
      <w:numFmt w:val="decimal"/>
      <w:pStyle w:val="Tabela-nrkropka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2944DE"/>
    <w:multiLevelType w:val="multilevel"/>
    <w:tmpl w:val="94FE4FA8"/>
    <w:numStyleLink w:val="Pktmulti"/>
  </w:abstractNum>
  <w:abstractNum w:abstractNumId="25" w15:restartNumberingAfterBreak="0">
    <w:nsid w:val="39314230"/>
    <w:multiLevelType w:val="hybridMultilevel"/>
    <w:tmpl w:val="CACC68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8F4DEE"/>
    <w:multiLevelType w:val="hybridMultilevel"/>
    <w:tmpl w:val="D032C5EC"/>
    <w:lvl w:ilvl="0" w:tplc="76D676B0">
      <w:start w:val="1"/>
      <w:numFmt w:val="bullet"/>
      <w:pStyle w:val="Wypunktowanie"/>
      <w:lvlText w:val=""/>
      <w:lvlJc w:val="left"/>
      <w:pPr>
        <w:ind w:left="75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9F18BB"/>
    <w:multiLevelType w:val="hybridMultilevel"/>
    <w:tmpl w:val="CFDCC3DC"/>
    <w:lvl w:ilvl="0" w:tplc="041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8" w15:restartNumberingAfterBreak="0">
    <w:nsid w:val="4E926AC6"/>
    <w:multiLevelType w:val="multilevel"/>
    <w:tmpl w:val="94FE4FA8"/>
    <w:styleLink w:val="Pktmulti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▪"/>
      <w:lvlJc w:val="left"/>
      <w:pPr>
        <w:ind w:left="1068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47423F6"/>
    <w:multiLevelType w:val="hybridMultilevel"/>
    <w:tmpl w:val="7CCE88D4"/>
    <w:lvl w:ilvl="0" w:tplc="0415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0" w15:restartNumberingAfterBreak="0">
    <w:nsid w:val="5AF11BB6"/>
    <w:multiLevelType w:val="hybridMultilevel"/>
    <w:tmpl w:val="A380DFC8"/>
    <w:lvl w:ilvl="0" w:tplc="B13E476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7E7BC4"/>
    <w:multiLevelType w:val="hybridMultilevel"/>
    <w:tmpl w:val="E332AACA"/>
    <w:lvl w:ilvl="0" w:tplc="B13E476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3C5437D"/>
    <w:multiLevelType w:val="multilevel"/>
    <w:tmpl w:val="94FE4FA8"/>
    <w:numStyleLink w:val="Pktmulti"/>
  </w:abstractNum>
  <w:abstractNum w:abstractNumId="33" w15:restartNumberingAfterBreak="0">
    <w:nsid w:val="707C1B17"/>
    <w:multiLevelType w:val="hybridMultilevel"/>
    <w:tmpl w:val="E620F83E"/>
    <w:lvl w:ilvl="0" w:tplc="B5CE33A0">
      <w:start w:val="1"/>
      <w:numFmt w:val="decimal"/>
      <w:pStyle w:val="Nrnawias"/>
      <w:lvlText w:val="%1)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50F12BF"/>
    <w:multiLevelType w:val="multilevel"/>
    <w:tmpl w:val="94FE4FA8"/>
    <w:numStyleLink w:val="Pktmulti"/>
  </w:abstractNum>
  <w:abstractNum w:abstractNumId="35" w15:restartNumberingAfterBreak="0">
    <w:nsid w:val="79C2688C"/>
    <w:multiLevelType w:val="hybridMultilevel"/>
    <w:tmpl w:val="1E70F27C"/>
    <w:lvl w:ilvl="0" w:tplc="B372C0B8">
      <w:start w:val="1"/>
      <w:numFmt w:val="decimal"/>
      <w:lvlText w:val="Rys. XX.%1. 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312432">
    <w:abstractNumId w:val="32"/>
  </w:num>
  <w:num w:numId="2" w16cid:durableId="1425570471">
    <w:abstractNumId w:val="22"/>
  </w:num>
  <w:num w:numId="3" w16cid:durableId="1865754007">
    <w:abstractNumId w:val="33"/>
  </w:num>
  <w:num w:numId="4" w16cid:durableId="1690181012">
    <w:abstractNumId w:val="28"/>
  </w:num>
  <w:num w:numId="5" w16cid:durableId="917061482">
    <w:abstractNumId w:val="34"/>
  </w:num>
  <w:num w:numId="6" w16cid:durableId="1489323886">
    <w:abstractNumId w:val="24"/>
  </w:num>
  <w:num w:numId="7" w16cid:durableId="226376326">
    <w:abstractNumId w:val="26"/>
  </w:num>
  <w:num w:numId="8" w16cid:durableId="1092508238">
    <w:abstractNumId w:val="22"/>
    <w:lvlOverride w:ilvl="0">
      <w:startOverride w:val="1"/>
    </w:lvlOverride>
  </w:num>
  <w:num w:numId="9" w16cid:durableId="1685783145">
    <w:abstractNumId w:val="19"/>
  </w:num>
  <w:num w:numId="10" w16cid:durableId="26486363">
    <w:abstractNumId w:val="35"/>
  </w:num>
  <w:num w:numId="11" w16cid:durableId="1747411959">
    <w:abstractNumId w:val="10"/>
  </w:num>
  <w:num w:numId="12" w16cid:durableId="1445033888">
    <w:abstractNumId w:val="11"/>
  </w:num>
  <w:num w:numId="13" w16cid:durableId="673924518">
    <w:abstractNumId w:val="12"/>
  </w:num>
  <w:num w:numId="14" w16cid:durableId="1986153897">
    <w:abstractNumId w:val="13"/>
  </w:num>
  <w:num w:numId="15" w16cid:durableId="1050108177">
    <w:abstractNumId w:val="26"/>
  </w:num>
  <w:num w:numId="16" w16cid:durableId="433012180">
    <w:abstractNumId w:val="14"/>
  </w:num>
  <w:num w:numId="17" w16cid:durableId="1075857163">
    <w:abstractNumId w:val="15"/>
  </w:num>
  <w:num w:numId="18" w16cid:durableId="1244298683">
    <w:abstractNumId w:val="16"/>
  </w:num>
  <w:num w:numId="19" w16cid:durableId="1441878443">
    <w:abstractNumId w:val="17"/>
  </w:num>
  <w:num w:numId="20" w16cid:durableId="276524911">
    <w:abstractNumId w:val="27"/>
  </w:num>
  <w:num w:numId="21" w16cid:durableId="1294209753">
    <w:abstractNumId w:val="29"/>
  </w:num>
  <w:num w:numId="22" w16cid:durableId="783693482">
    <w:abstractNumId w:val="25"/>
  </w:num>
  <w:num w:numId="23" w16cid:durableId="1869952077">
    <w:abstractNumId w:val="18"/>
  </w:num>
  <w:num w:numId="24" w16cid:durableId="1706370928">
    <w:abstractNumId w:val="31"/>
  </w:num>
  <w:num w:numId="25" w16cid:durableId="94639326">
    <w:abstractNumId w:val="30"/>
  </w:num>
  <w:num w:numId="26" w16cid:durableId="927467145">
    <w:abstractNumId w:val="8"/>
  </w:num>
  <w:num w:numId="27" w16cid:durableId="1021860930">
    <w:abstractNumId w:val="3"/>
  </w:num>
  <w:num w:numId="28" w16cid:durableId="403262851">
    <w:abstractNumId w:val="2"/>
  </w:num>
  <w:num w:numId="29" w16cid:durableId="119156745">
    <w:abstractNumId w:val="1"/>
  </w:num>
  <w:num w:numId="30" w16cid:durableId="755827932">
    <w:abstractNumId w:val="0"/>
  </w:num>
  <w:num w:numId="31" w16cid:durableId="2115319242">
    <w:abstractNumId w:val="9"/>
  </w:num>
  <w:num w:numId="32" w16cid:durableId="520895346">
    <w:abstractNumId w:val="7"/>
  </w:num>
  <w:num w:numId="33" w16cid:durableId="58989271">
    <w:abstractNumId w:val="6"/>
  </w:num>
  <w:num w:numId="34" w16cid:durableId="1361052224">
    <w:abstractNumId w:val="5"/>
  </w:num>
  <w:num w:numId="35" w16cid:durableId="2073888344">
    <w:abstractNumId w:val="4"/>
  </w:num>
  <w:num w:numId="36" w16cid:durableId="1256354267">
    <w:abstractNumId w:val="23"/>
  </w:num>
  <w:num w:numId="37" w16cid:durableId="366953399">
    <w:abstractNumId w:val="20"/>
  </w:num>
  <w:num w:numId="38" w16cid:durableId="131676509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attachedTemplate r:id="rId1"/>
  <w:stylePaneSortMethod w:val="0000"/>
  <w:defaultTabStop w:val="708"/>
  <w:autoHyphenation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639E"/>
    <w:rsid w:val="000072FF"/>
    <w:rsid w:val="0002591B"/>
    <w:rsid w:val="000657C8"/>
    <w:rsid w:val="0007600C"/>
    <w:rsid w:val="00086A00"/>
    <w:rsid w:val="00097609"/>
    <w:rsid w:val="000C189A"/>
    <w:rsid w:val="000F61B9"/>
    <w:rsid w:val="000F70E8"/>
    <w:rsid w:val="00101B17"/>
    <w:rsid w:val="00106875"/>
    <w:rsid w:val="001145E6"/>
    <w:rsid w:val="00120B4A"/>
    <w:rsid w:val="00153BF7"/>
    <w:rsid w:val="00175F57"/>
    <w:rsid w:val="00194C63"/>
    <w:rsid w:val="001955D1"/>
    <w:rsid w:val="001F63FC"/>
    <w:rsid w:val="00205454"/>
    <w:rsid w:val="00241F4E"/>
    <w:rsid w:val="00272475"/>
    <w:rsid w:val="002868D4"/>
    <w:rsid w:val="002C1E62"/>
    <w:rsid w:val="002D4C8B"/>
    <w:rsid w:val="002F042F"/>
    <w:rsid w:val="002F344A"/>
    <w:rsid w:val="0031387B"/>
    <w:rsid w:val="00341C38"/>
    <w:rsid w:val="003549F7"/>
    <w:rsid w:val="00355468"/>
    <w:rsid w:val="0037396C"/>
    <w:rsid w:val="003C3B1E"/>
    <w:rsid w:val="003F0E10"/>
    <w:rsid w:val="00476D4B"/>
    <w:rsid w:val="004A1F96"/>
    <w:rsid w:val="004D7FDC"/>
    <w:rsid w:val="004F068F"/>
    <w:rsid w:val="00503AD9"/>
    <w:rsid w:val="0051296B"/>
    <w:rsid w:val="00520261"/>
    <w:rsid w:val="00521D21"/>
    <w:rsid w:val="0052690A"/>
    <w:rsid w:val="005B0E4D"/>
    <w:rsid w:val="005B6C0F"/>
    <w:rsid w:val="005D6F0C"/>
    <w:rsid w:val="00605D60"/>
    <w:rsid w:val="0063370D"/>
    <w:rsid w:val="00665D42"/>
    <w:rsid w:val="006679CD"/>
    <w:rsid w:val="00676635"/>
    <w:rsid w:val="0068176F"/>
    <w:rsid w:val="0068639E"/>
    <w:rsid w:val="00691717"/>
    <w:rsid w:val="006B3D94"/>
    <w:rsid w:val="006E237A"/>
    <w:rsid w:val="007505C6"/>
    <w:rsid w:val="0076710B"/>
    <w:rsid w:val="0077411D"/>
    <w:rsid w:val="00785AAB"/>
    <w:rsid w:val="007A23F8"/>
    <w:rsid w:val="007A3DB6"/>
    <w:rsid w:val="007A551F"/>
    <w:rsid w:val="007B6DD3"/>
    <w:rsid w:val="007C31E1"/>
    <w:rsid w:val="007D3A51"/>
    <w:rsid w:val="007D59C1"/>
    <w:rsid w:val="007E12EE"/>
    <w:rsid w:val="008451EF"/>
    <w:rsid w:val="00890574"/>
    <w:rsid w:val="00894E01"/>
    <w:rsid w:val="008B451E"/>
    <w:rsid w:val="008E22CB"/>
    <w:rsid w:val="008F3F1A"/>
    <w:rsid w:val="009023D0"/>
    <w:rsid w:val="00926E0C"/>
    <w:rsid w:val="00967C76"/>
    <w:rsid w:val="0097254A"/>
    <w:rsid w:val="00975314"/>
    <w:rsid w:val="00983D25"/>
    <w:rsid w:val="0099566A"/>
    <w:rsid w:val="009A2E88"/>
    <w:rsid w:val="00A01B0A"/>
    <w:rsid w:val="00A51BE1"/>
    <w:rsid w:val="00A55E21"/>
    <w:rsid w:val="00A741C5"/>
    <w:rsid w:val="00A94A69"/>
    <w:rsid w:val="00AC5E6F"/>
    <w:rsid w:val="00AE1F44"/>
    <w:rsid w:val="00AF6593"/>
    <w:rsid w:val="00B202D1"/>
    <w:rsid w:val="00B24DD2"/>
    <w:rsid w:val="00B53C5C"/>
    <w:rsid w:val="00BD2D1D"/>
    <w:rsid w:val="00BD4AF7"/>
    <w:rsid w:val="00C41E0A"/>
    <w:rsid w:val="00C47C77"/>
    <w:rsid w:val="00CC6F7A"/>
    <w:rsid w:val="00CF7594"/>
    <w:rsid w:val="00D111A3"/>
    <w:rsid w:val="00D21B78"/>
    <w:rsid w:val="00D21EEC"/>
    <w:rsid w:val="00D34419"/>
    <w:rsid w:val="00D41DB1"/>
    <w:rsid w:val="00DA0154"/>
    <w:rsid w:val="00DB387A"/>
    <w:rsid w:val="00DD4294"/>
    <w:rsid w:val="00E02ECD"/>
    <w:rsid w:val="00E62E5E"/>
    <w:rsid w:val="00E72655"/>
    <w:rsid w:val="00F34C7B"/>
    <w:rsid w:val="00F53DB4"/>
    <w:rsid w:val="00F61622"/>
    <w:rsid w:val="00FA2F15"/>
    <w:rsid w:val="00FD6E95"/>
    <w:rsid w:val="00FE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3F07B96"/>
  <w15:docId w15:val="{68309553-BF30-4F40-AA23-BF2CE769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A3DB6"/>
    <w:pPr>
      <w:spacing w:after="0" w:line="240" w:lineRule="auto"/>
      <w:ind w:firstLine="284"/>
      <w:jc w:val="both"/>
    </w:pPr>
    <w:rPr>
      <w:rFonts w:ascii="Times New Roman" w:hAnsi="Times New Roman"/>
    </w:rPr>
  </w:style>
  <w:style w:type="paragraph" w:styleId="Nagwek1">
    <w:name w:val="heading 1"/>
    <w:basedOn w:val="Normalny"/>
    <w:next w:val="Nagwek2"/>
    <w:link w:val="Nagwek1Znak"/>
    <w:uiPriority w:val="9"/>
    <w:qFormat/>
    <w:rsid w:val="007A3DB6"/>
    <w:pPr>
      <w:keepNext/>
      <w:keepLines/>
      <w:suppressAutoHyphens/>
      <w:spacing w:before="240" w:after="240"/>
      <w:ind w:firstLine="0"/>
      <w:jc w:val="right"/>
      <w:outlineLvl w:val="0"/>
    </w:pPr>
    <w:rPr>
      <w:rFonts w:ascii="Tahoma" w:eastAsiaTheme="majorEastAsia" w:hAnsi="Tahoma" w:cstheme="majorBidi"/>
      <w:bC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7A3DB6"/>
    <w:pPr>
      <w:keepNext/>
      <w:keepLines/>
      <w:suppressAutoHyphens/>
      <w:spacing w:before="170" w:after="57"/>
      <w:ind w:firstLine="0"/>
      <w:jc w:val="right"/>
      <w:outlineLvl w:val="1"/>
    </w:pPr>
    <w:rPr>
      <w:rFonts w:ascii="Tahoma" w:eastAsiaTheme="majorEastAsia" w:hAnsi="Tahoma" w:cstheme="majorBidi"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qFormat/>
    <w:rsid w:val="007A3DB6"/>
    <w:pPr>
      <w:keepNext/>
      <w:keepLines/>
      <w:suppressAutoHyphens/>
      <w:spacing w:before="170" w:after="57"/>
      <w:ind w:firstLine="0"/>
      <w:jc w:val="right"/>
      <w:outlineLvl w:val="2"/>
    </w:pPr>
    <w:rPr>
      <w:rFonts w:ascii="Tahoma" w:eastAsiaTheme="majorEastAsia" w:hAnsi="Tahoma" w:cstheme="majorBidi"/>
      <w:bCs/>
      <w:sz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9A2E88"/>
    <w:pPr>
      <w:tabs>
        <w:tab w:val="center" w:pos="4536"/>
        <w:tab w:val="right" w:pos="9072"/>
      </w:tabs>
    </w:pPr>
    <w:rPr>
      <w:rFonts w:ascii="Tahoma" w:hAnsi="Tahoma"/>
      <w:sz w:val="18"/>
    </w:rPr>
  </w:style>
  <w:style w:type="character" w:customStyle="1" w:styleId="NagwekZnak">
    <w:name w:val="Nagłówek Znak"/>
    <w:basedOn w:val="Domylnaczcionkaakapitu"/>
    <w:link w:val="Nagwek"/>
    <w:uiPriority w:val="99"/>
    <w:rsid w:val="009A2E88"/>
    <w:rPr>
      <w:rFonts w:ascii="Tahoma" w:hAnsi="Tahoma"/>
      <w:sz w:val="18"/>
    </w:rPr>
  </w:style>
  <w:style w:type="paragraph" w:styleId="Stopka">
    <w:name w:val="footer"/>
    <w:basedOn w:val="Normalny"/>
    <w:link w:val="StopkaZnak"/>
    <w:uiPriority w:val="99"/>
    <w:rsid w:val="00926E0C"/>
    <w:pPr>
      <w:tabs>
        <w:tab w:val="center" w:pos="4536"/>
        <w:tab w:val="right" w:pos="9072"/>
      </w:tabs>
      <w:jc w:val="right"/>
    </w:pPr>
  </w:style>
  <w:style w:type="character" w:customStyle="1" w:styleId="StopkaZnak">
    <w:name w:val="Stopka Znak"/>
    <w:basedOn w:val="Domylnaczcionkaakapitu"/>
    <w:link w:val="Stopka"/>
    <w:uiPriority w:val="99"/>
    <w:rsid w:val="00926E0C"/>
    <w:rPr>
      <w:rFonts w:ascii="Times New Roman" w:hAnsi="Times New Roman"/>
    </w:rPr>
  </w:style>
  <w:style w:type="paragraph" w:styleId="Tekstdymka">
    <w:name w:val="Balloon Text"/>
    <w:basedOn w:val="Normalny"/>
    <w:link w:val="TekstdymkaZnak"/>
    <w:uiPriority w:val="99"/>
    <w:semiHidden/>
    <w:rsid w:val="004F068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679CD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7A3DB6"/>
    <w:rPr>
      <w:rFonts w:ascii="Tahoma" w:eastAsiaTheme="majorEastAsia" w:hAnsi="Tahoma" w:cstheme="majorBidi"/>
      <w:bCs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A3DB6"/>
    <w:rPr>
      <w:rFonts w:ascii="Tahoma" w:eastAsiaTheme="majorEastAsia" w:hAnsi="Tahoma" w:cstheme="majorBidi"/>
      <w:bCs/>
      <w:sz w:val="28"/>
      <w:szCs w:val="26"/>
    </w:rPr>
  </w:style>
  <w:style w:type="paragraph" w:customStyle="1" w:styleId="Autor">
    <w:name w:val="Autor"/>
    <w:basedOn w:val="Normalny"/>
    <w:next w:val="Nagwek1"/>
    <w:link w:val="AutorZnak"/>
    <w:qFormat/>
    <w:rsid w:val="007A3DB6"/>
    <w:pPr>
      <w:suppressAutoHyphens/>
      <w:ind w:firstLine="0"/>
      <w:jc w:val="right"/>
    </w:pPr>
    <w:rPr>
      <w:rFonts w:ascii="Tahoma" w:hAnsi="Tahoma"/>
    </w:rPr>
  </w:style>
  <w:style w:type="paragraph" w:customStyle="1" w:styleId="Wypunktowanie">
    <w:name w:val="Wypunktowanie"/>
    <w:basedOn w:val="Normalny"/>
    <w:link w:val="WypunktowanieZnak"/>
    <w:qFormat/>
    <w:rsid w:val="007A3DB6"/>
    <w:pPr>
      <w:numPr>
        <w:numId w:val="7"/>
      </w:numPr>
      <w:ind w:left="454" w:hanging="170"/>
    </w:pPr>
  </w:style>
  <w:style w:type="character" w:customStyle="1" w:styleId="AutorZnak">
    <w:name w:val="Autor Znak"/>
    <w:basedOn w:val="Domylnaczcionkaakapitu"/>
    <w:link w:val="Autor"/>
    <w:rsid w:val="007A3DB6"/>
    <w:rPr>
      <w:rFonts w:ascii="Tahoma" w:hAnsi="Tahoma"/>
    </w:rPr>
  </w:style>
  <w:style w:type="paragraph" w:customStyle="1" w:styleId="Nrkropka">
    <w:name w:val="Nr_kropka"/>
    <w:basedOn w:val="Normalny"/>
    <w:link w:val="NrkropkaZnak"/>
    <w:qFormat/>
    <w:rsid w:val="00975314"/>
    <w:pPr>
      <w:numPr>
        <w:numId w:val="2"/>
      </w:numPr>
      <w:tabs>
        <w:tab w:val="left" w:pos="567"/>
      </w:tabs>
      <w:ind w:left="0" w:firstLine="284"/>
    </w:pPr>
  </w:style>
  <w:style w:type="character" w:customStyle="1" w:styleId="WypunktowanieZnak">
    <w:name w:val="Wypunktowanie Znak"/>
    <w:basedOn w:val="Domylnaczcionkaakapitu"/>
    <w:link w:val="Wypunktowanie"/>
    <w:rsid w:val="007A3DB6"/>
    <w:rPr>
      <w:rFonts w:ascii="Times New Roman" w:hAnsi="Times New Roman"/>
    </w:rPr>
  </w:style>
  <w:style w:type="paragraph" w:customStyle="1" w:styleId="Nrnawias">
    <w:name w:val="Nr_nawias"/>
    <w:basedOn w:val="Nrkropka"/>
    <w:link w:val="NrnawiasZnak"/>
    <w:qFormat/>
    <w:rsid w:val="00975314"/>
    <w:pPr>
      <w:numPr>
        <w:numId w:val="3"/>
      </w:numPr>
      <w:ind w:left="0" w:firstLine="284"/>
    </w:pPr>
  </w:style>
  <w:style w:type="character" w:customStyle="1" w:styleId="NrkropkaZnak">
    <w:name w:val="Nr_kropka Znak"/>
    <w:basedOn w:val="Domylnaczcionkaakapitu"/>
    <w:link w:val="Nrkropka"/>
    <w:rsid w:val="00975314"/>
    <w:rPr>
      <w:rFonts w:ascii="Times New Roman" w:hAnsi="Times New Roman"/>
    </w:rPr>
  </w:style>
  <w:style w:type="numbering" w:customStyle="1" w:styleId="Pktmulti">
    <w:name w:val="Pkt_multi"/>
    <w:uiPriority w:val="99"/>
    <w:rsid w:val="00A741C5"/>
    <w:pPr>
      <w:numPr>
        <w:numId w:val="4"/>
      </w:numPr>
    </w:pPr>
  </w:style>
  <w:style w:type="character" w:customStyle="1" w:styleId="NrnawiasZnak">
    <w:name w:val="Nr_nawias Znak"/>
    <w:basedOn w:val="NrkropkaZnak"/>
    <w:link w:val="Nrnawias"/>
    <w:rsid w:val="00975314"/>
    <w:rPr>
      <w:rFonts w:ascii="Times New Roman" w:hAnsi="Times New Roman"/>
    </w:rPr>
  </w:style>
  <w:style w:type="paragraph" w:customStyle="1" w:styleId="Tretabeli">
    <w:name w:val="Treść tabeli"/>
    <w:basedOn w:val="Normalny"/>
    <w:link w:val="TretabeliZnak"/>
    <w:qFormat/>
    <w:rsid w:val="00975314"/>
    <w:pPr>
      <w:spacing w:before="20" w:after="20"/>
      <w:ind w:firstLine="0"/>
    </w:pPr>
    <w:rPr>
      <w:sz w:val="18"/>
    </w:rPr>
  </w:style>
  <w:style w:type="paragraph" w:customStyle="1" w:styleId="rdo">
    <w:name w:val="Źródło"/>
    <w:basedOn w:val="Tretabeli"/>
    <w:next w:val="Normalny"/>
    <w:link w:val="rdoZnak"/>
    <w:qFormat/>
    <w:rsid w:val="00975314"/>
    <w:pPr>
      <w:spacing w:before="57" w:after="170"/>
    </w:pPr>
  </w:style>
  <w:style w:type="character" w:customStyle="1" w:styleId="TretabeliZnak">
    <w:name w:val="Treść tabeli Znak"/>
    <w:basedOn w:val="Domylnaczcionkaakapitu"/>
    <w:link w:val="Tretabeli"/>
    <w:rsid w:val="00975314"/>
    <w:rPr>
      <w:rFonts w:ascii="Times New Roman" w:hAnsi="Times New Roman"/>
      <w:sz w:val="18"/>
    </w:rPr>
  </w:style>
  <w:style w:type="paragraph" w:customStyle="1" w:styleId="Nrtabeli">
    <w:name w:val="Nr_tabeli"/>
    <w:basedOn w:val="Normalny"/>
    <w:next w:val="rdo"/>
    <w:link w:val="NrtabeliZnak"/>
    <w:qFormat/>
    <w:rsid w:val="00975314"/>
    <w:pPr>
      <w:tabs>
        <w:tab w:val="left" w:pos="1134"/>
      </w:tabs>
      <w:spacing w:before="170" w:after="57"/>
      <w:ind w:firstLine="0"/>
    </w:pPr>
    <w:rPr>
      <w:b/>
      <w:sz w:val="18"/>
    </w:rPr>
  </w:style>
  <w:style w:type="character" w:customStyle="1" w:styleId="rdoZnak">
    <w:name w:val="Źródło Znak"/>
    <w:basedOn w:val="TretabeliZnak"/>
    <w:link w:val="rdo"/>
    <w:rsid w:val="00975314"/>
    <w:rPr>
      <w:rFonts w:ascii="Times New Roman" w:hAnsi="Times New Roman"/>
      <w:sz w:val="18"/>
    </w:rPr>
  </w:style>
  <w:style w:type="paragraph" w:customStyle="1" w:styleId="Nrrys">
    <w:name w:val="Nr_rys"/>
    <w:basedOn w:val="Normalny"/>
    <w:next w:val="rdo"/>
    <w:link w:val="NrrysZnak"/>
    <w:qFormat/>
    <w:rsid w:val="00975314"/>
    <w:pPr>
      <w:spacing w:before="20" w:after="20"/>
      <w:ind w:firstLine="0"/>
    </w:pPr>
    <w:rPr>
      <w:sz w:val="18"/>
    </w:rPr>
  </w:style>
  <w:style w:type="character" w:customStyle="1" w:styleId="NrtabeliZnak">
    <w:name w:val="Nr_tabeli Znak"/>
    <w:basedOn w:val="rdoZnak"/>
    <w:link w:val="Nrtabeli"/>
    <w:rsid w:val="00975314"/>
    <w:rPr>
      <w:rFonts w:ascii="Times New Roman" w:hAnsi="Times New Roman"/>
      <w:b/>
      <w:sz w:val="18"/>
    </w:rPr>
  </w:style>
  <w:style w:type="paragraph" w:customStyle="1" w:styleId="Wzr">
    <w:name w:val="Wzór"/>
    <w:basedOn w:val="Normalny"/>
    <w:link w:val="WzrZnak"/>
    <w:qFormat/>
    <w:rsid w:val="00AC5E6F"/>
    <w:pPr>
      <w:tabs>
        <w:tab w:val="center" w:pos="3544"/>
        <w:tab w:val="right" w:pos="7031"/>
      </w:tabs>
      <w:ind w:left="284" w:firstLine="0"/>
    </w:pPr>
  </w:style>
  <w:style w:type="character" w:customStyle="1" w:styleId="NrrysZnak">
    <w:name w:val="Nr_rys Znak"/>
    <w:basedOn w:val="NrtabeliZnak"/>
    <w:link w:val="Nrrys"/>
    <w:rsid w:val="00975314"/>
    <w:rPr>
      <w:rFonts w:ascii="Times New Roman" w:hAnsi="Times New Roman"/>
      <w:b w:val="0"/>
      <w:sz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7A3DB6"/>
    <w:rPr>
      <w:rFonts w:ascii="Tahoma" w:eastAsiaTheme="majorEastAsia" w:hAnsi="Tahoma" w:cstheme="majorBidi"/>
      <w:bCs/>
      <w:sz w:val="24"/>
    </w:rPr>
  </w:style>
  <w:style w:type="character" w:customStyle="1" w:styleId="WzrZnak">
    <w:name w:val="Wzór Znak"/>
    <w:basedOn w:val="Domylnaczcionkaakapitu"/>
    <w:link w:val="Wzr"/>
    <w:rsid w:val="006679CD"/>
    <w:rPr>
      <w:rFonts w:ascii="Times New Roman" w:hAnsi="Times New Roman"/>
    </w:rPr>
  </w:style>
  <w:style w:type="character" w:customStyle="1" w:styleId="Znakiprzypiswdolnych">
    <w:name w:val="Znaki przypisów dolnych"/>
    <w:semiHidden/>
    <w:rsid w:val="00521D21"/>
    <w:rPr>
      <w:vertAlign w:val="superscript"/>
    </w:rPr>
  </w:style>
  <w:style w:type="character" w:styleId="Odwoanieprzypisudolnego">
    <w:name w:val="footnote reference"/>
    <w:aliases w:val="Odwołanie przypisu,Odwołanie przypisu1,Odwołanie przypisu2,Odwołanie przypisu11"/>
    <w:uiPriority w:val="99"/>
    <w:semiHidden/>
    <w:rsid w:val="00521D21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qFormat/>
    <w:rsid w:val="002868D4"/>
    <w:pPr>
      <w:suppressLineNumbers/>
      <w:tabs>
        <w:tab w:val="left" w:pos="170"/>
      </w:tabs>
      <w:ind w:left="170" w:hanging="170"/>
    </w:pPr>
    <w:rPr>
      <w:sz w:val="18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2868D4"/>
    <w:rPr>
      <w:rFonts w:ascii="Times New Roman" w:hAnsi="Times New Roman"/>
      <w:sz w:val="18"/>
      <w:szCs w:val="20"/>
    </w:rPr>
  </w:style>
  <w:style w:type="paragraph" w:customStyle="1" w:styleId="Zawartotabeli">
    <w:name w:val="Zawartość tabeli"/>
    <w:basedOn w:val="Normalny"/>
    <w:semiHidden/>
    <w:rsid w:val="00521D21"/>
    <w:pPr>
      <w:suppressLineNumbers/>
    </w:pPr>
  </w:style>
  <w:style w:type="paragraph" w:customStyle="1" w:styleId="rdo17">
    <w:name w:val="Źródło17"/>
    <w:basedOn w:val="Tretabeli"/>
    <w:next w:val="Normalny"/>
    <w:semiHidden/>
    <w:rsid w:val="002F042F"/>
    <w:pPr>
      <w:spacing w:after="240" w:line="360" w:lineRule="auto"/>
    </w:pPr>
    <w:rPr>
      <w:sz w:val="24"/>
    </w:rPr>
  </w:style>
  <w:style w:type="paragraph" w:styleId="Akapitzlist">
    <w:name w:val="List Paragraph"/>
    <w:basedOn w:val="Normalny"/>
    <w:semiHidden/>
    <w:rsid w:val="000C189A"/>
    <w:pPr>
      <w:ind w:left="720"/>
      <w:contextualSpacing/>
    </w:pPr>
  </w:style>
  <w:style w:type="table" w:styleId="Tabela-Siatka">
    <w:name w:val="Table Grid"/>
    <w:basedOn w:val="Standardowy"/>
    <w:uiPriority w:val="59"/>
    <w:rsid w:val="008F3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gwektabeli">
    <w:name w:val="Nagłówek tabeli"/>
    <w:basedOn w:val="Tretabeli"/>
    <w:qFormat/>
    <w:rsid w:val="00975314"/>
    <w:pPr>
      <w:jc w:val="center"/>
    </w:pPr>
    <w:rPr>
      <w:b/>
    </w:rPr>
  </w:style>
  <w:style w:type="paragraph" w:styleId="Bibliografia">
    <w:name w:val="Bibliography"/>
    <w:basedOn w:val="Normalny"/>
    <w:next w:val="Normalny"/>
    <w:uiPriority w:val="37"/>
    <w:qFormat/>
    <w:rsid w:val="008F3F1A"/>
    <w:pPr>
      <w:ind w:left="284" w:hanging="284"/>
    </w:pPr>
  </w:style>
  <w:style w:type="paragraph" w:customStyle="1" w:styleId="Rysunek">
    <w:name w:val="Rysunek"/>
    <w:basedOn w:val="Normalny"/>
    <w:next w:val="Nrrys"/>
    <w:qFormat/>
    <w:rsid w:val="007C31E1"/>
    <w:pPr>
      <w:spacing w:before="240"/>
      <w:ind w:firstLine="0"/>
      <w:jc w:val="center"/>
    </w:pPr>
  </w:style>
  <w:style w:type="paragraph" w:customStyle="1" w:styleId="Tabela-nrkropka">
    <w:name w:val="Tabela-nr_kropka"/>
    <w:basedOn w:val="Tretabeli"/>
    <w:qFormat/>
    <w:rsid w:val="00241F4E"/>
    <w:pPr>
      <w:numPr>
        <w:numId w:val="36"/>
      </w:numPr>
      <w:tabs>
        <w:tab w:val="left" w:pos="227"/>
      </w:tabs>
      <w:ind w:left="227" w:hanging="57"/>
      <w:jc w:val="left"/>
    </w:pPr>
  </w:style>
  <w:style w:type="paragraph" w:customStyle="1" w:styleId="Tabela-nrnawias">
    <w:name w:val="Tabela-nr_nawias"/>
    <w:basedOn w:val="Tretabeli"/>
    <w:qFormat/>
    <w:rsid w:val="008451EF"/>
    <w:pPr>
      <w:numPr>
        <w:numId w:val="37"/>
      </w:numPr>
      <w:tabs>
        <w:tab w:val="left" w:pos="227"/>
      </w:tabs>
      <w:ind w:left="227" w:hanging="57"/>
      <w:jc w:val="left"/>
    </w:pPr>
  </w:style>
  <w:style w:type="paragraph" w:customStyle="1" w:styleId="Tabela-wyliczenie">
    <w:name w:val="Tabela-wyliczenie"/>
    <w:basedOn w:val="Tretabeli"/>
    <w:qFormat/>
    <w:rsid w:val="008451EF"/>
    <w:pPr>
      <w:numPr>
        <w:numId w:val="38"/>
      </w:numPr>
      <w:tabs>
        <w:tab w:val="left" w:pos="113"/>
      </w:tabs>
      <w:ind w:left="114" w:hanging="57"/>
      <w:jc w:val="left"/>
    </w:pPr>
  </w:style>
  <w:style w:type="character" w:styleId="Hipercze">
    <w:name w:val="Hyperlink"/>
    <w:basedOn w:val="Domylnaczcionkaakapitu"/>
    <w:uiPriority w:val="99"/>
    <w:semiHidden/>
    <w:rsid w:val="00175F5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rsid w:val="00926E0C"/>
    <w:rPr>
      <w:color w:val="800080" w:themeColor="followed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CF75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edkiA\Downloads\Szablon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775F4-E7B9-45DE-9C52-C3E38CE32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Szablon.dotx</Template>
  <TotalTime>9</TotalTime>
  <Pages>7</Pages>
  <Words>1832</Words>
  <Characters>10998</Characters>
  <Application>Microsoft Office Word</Application>
  <DocSecurity>0</DocSecurity>
  <Lines>91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Uniwersytet Ekonomiczny w Krakowie</Company>
  <LinksUpToDate>false</LinksUpToDate>
  <CharactersWithSpaces>12805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PredkiA</dc:creator>
  <cp:lastModifiedBy>Jacek Wolak</cp:lastModifiedBy>
  <cp:revision>2</cp:revision>
  <cp:lastPrinted>2012-05-15T08:49:00Z</cp:lastPrinted>
  <dcterms:created xsi:type="dcterms:W3CDTF">2023-05-27T15:57:00Z</dcterms:created>
  <dcterms:modified xsi:type="dcterms:W3CDTF">2023-05-27T15:57:00Z</dcterms:modified>
</cp:coreProperties>
</file>