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54.png" ContentType="image/png"/>
  <Override PartName="/word/media/rId65.png" ContentType="image/png"/>
  <Override PartName="/word/media/rId72.png" ContentType="image/png"/>
  <Override PartName="/word/media/rId37.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Style w:val="Author-Name"/>
          <w:b/>
          <w:bCs/>
        </w:rPr>
        <w:t xml:space="preserve">Oliver Hauke</w:t>
      </w:r>
    </w:p>
    <w:p>
      <w:pPr>
        <w:pStyle w:val="BodyText"/>
      </w:pPr>
      <w:r>
        <w:rPr>
          <w:rStyle w:val="Author-Bio"/>
        </w:rPr>
        <w:t xml:space="preserve">ist Mathematiker und IT-Referent im Kompetenzzentrum „Analyse und Auswertung” des Statistischen Bundesamtes. Er betreut die technischen Infrastruktur des Forschungsdatenzentrums des Statistischen Bundesamtes und berät – insbesondere das Netzwerk empirische Steuerforschung – in der effizienten Nutzung der Systeme.</w:t>
      </w:r>
    </w:p>
    <w:p>
      <w:pPr>
        <w:pStyle w:val="BodyText"/>
      </w:pPr>
      <w:r>
        <w:rPr>
          <w:rStyle w:val="Author-Name"/>
          <w:b/>
          <w:bCs/>
        </w:rPr>
        <w:t xml:space="preserve">Annette Kristiansen</w:t>
      </w:r>
    </w:p>
    <w:p>
      <w:pPr>
        <w:pStyle w:val="BodyText"/>
      </w:pPr>
      <w:r>
        <w:rPr>
          <w:rStyle w:val="Author-Bio"/>
        </w:rPr>
        <w:t xml:space="preserve">ist Ökonomin und Referentin im Referaten</w:t>
      </w:r>
      <w:r>
        <w:rPr>
          <w:rStyle w:val="Author-Bio"/>
        </w:rPr>
        <w:t xml:space="preserve"> </w:t>
      </w:r>
      <w:r>
        <w:rPr>
          <w:rStyle w:val="Author-Bio"/>
        </w:rPr>
        <w:t xml:space="preserve">“Unternehmenssteuern”</w:t>
      </w:r>
      <w:r>
        <w:rPr>
          <w:rStyle w:val="Author-Bio"/>
        </w:rPr>
        <w:t xml:space="preserve"> </w:t>
      </w:r>
      <w:r>
        <w:rPr>
          <w:rStyle w:val="Author-Bio"/>
        </w:rPr>
        <w:t xml:space="preserve">und</w:t>
      </w:r>
      <w:r>
        <w:rPr>
          <w:rStyle w:val="Author-Bio"/>
        </w:rPr>
        <w:t xml:space="preserve"> </w:t>
      </w:r>
      <w:r>
        <w:rPr>
          <w:rStyle w:val="Author-Bio"/>
        </w:rPr>
        <w:t xml:space="preserve">“Umsatzsteuer”</w:t>
      </w:r>
      <w:r>
        <w:rPr>
          <w:rStyle w:val="Author-Bio"/>
        </w:rPr>
        <w:t xml:space="preserve"> </w:t>
      </w:r>
      <w:r>
        <w:rPr>
          <w:rStyle w:val="Author-Bio"/>
        </w:rPr>
        <w:t xml:space="preserve">des Statistischen Bundesamtes. Sie beschäftigt sich mit der Zusammenführung der Steuerstatistiken und betreut das Netzwerk empirische Steuerforschung.</w:t>
      </w:r>
      <w:r>
        <w:rPr>
          <w:rStyle w:val="Author-Bio"/>
        </w:rPr>
        <w:t xml:space="preserve"> </w:t>
      </w:r>
      <w:r>
        <w:rPr>
          <w:rStyle w:val="Author-Bio"/>
        </w:rPr>
        <w:t xml:space="preserve">Für ihre externe Promotion an der Universität Bremen untersucht sie die technologische Vielfalt multinationaler Unternehmen.</w:t>
      </w:r>
    </w:p>
    <w:p>
      <w:pPr>
        <w:pStyle w:val="BodyText"/>
      </w:pPr>
      <w:r>
        <w:rPr>
          <w:rStyle w:val="Title"/>
        </w:rPr>
        <w:t xml:space="preserve">EFFIZIENTE ANALYSE GROSSER FORSCHUNGSDATEN MITHILFE VON R</w:t>
      </w:r>
    </w:p>
    <w:p>
      <w:r>
        <w:pict>
          <v:rect style="width:0;height:1.5pt" o:hralign="center" o:hrstd="t" o:hr="t"/>
        </w:pict>
      </w:r>
    </w:p>
    <w:p>
      <w:pPr>
        <w:pStyle w:val="FirstParagraph"/>
      </w:pPr>
      <w:r>
        <w:rPr>
          <w:b/>
          <w:bCs/>
        </w:rPr>
        <w:t xml:space="preserve">Oliver Hauke, Annette Kristiansen</w:t>
      </w:r>
    </w:p>
    <w:p>
      <w:r>
        <w:pict>
          <v:rect style="width:0;height:1.5pt" o:hralign="center" o:hrstd="t" o:hr="t"/>
        </w:pict>
      </w:r>
    </w:p>
    <w:p>
      <w:pPr>
        <w:pStyle w:val="FirstParagraph"/>
      </w:pPr>
      <w:r>
        <w:rPr>
          <w:rStyle w:val="Keywords-Label"/>
          <w:b/>
          <w:bCs/>
        </w:rPr>
        <w:t xml:space="preserve">Schlüsselwörter:</w:t>
      </w:r>
      <w:r>
        <w:t xml:space="preserve"> </w:t>
      </w:r>
      <w:r>
        <w:t xml:space="preserve">Effiziente Analysen, R-Programmierung, Forschungsdaten, Unternehmenssteuerstatistik, Business-Tax-Panel, Netzwerk empirische Steuerforschung</w:t>
      </w:r>
    </w:p>
    <w:p>
      <w:pPr>
        <w:pStyle w:val="BodyText"/>
      </w:pPr>
      <w:r>
        <w:rPr>
          <w:b/>
          <w:bCs/>
        </w:rPr>
        <w:t xml:space="preserve">ZUSAMMENFASSUNG</w:t>
      </w:r>
    </w:p>
    <w:p>
      <w:pPr>
        <w:pStyle w:val="BodyText"/>
      </w:pPr>
      <w:r>
        <w:rPr>
          <w:rStyle w:val="Abstract"/>
        </w:rPr>
        <w:t xml:space="preserve">Das Forschungsdatenzentrum des Statistischen Bundesamtes baut seine technische Infrastruktur gezielt aus, um der Wissenschaft erweiterte Analysemöglichkeiten amtlicher Daten bereitzustellen. Seit November 2025 steht Forschenden exklusiver Zugang zu diesen erweiterten Systemressourcen in R und Stata zur Verfügung. R-basierte Tools – insbesondere Apache Arrow, Parquet und DuckDB – ermöglichen es, gängige Analysen großer Forschungsdatensätze in Echtzeit auszuführen. Am Beispiel des Business-Tax-Panel (2013 bis 2019) werden die erzielbaren Effizienzgewinne bei der Auswertung umfangreicher steuerstatistischer Daten im Rahmen des Netzwerks empirische Steuerforschung demonstriert.</w:t>
      </w:r>
    </w:p>
    <w:p>
      <w:pPr>
        <w:pStyle w:val="BodyText"/>
      </w:pPr>
      <w:r>
        <w:rPr>
          <w:rStyle w:val="Keywords-Label"/>
          <w:i/>
          <w:iCs/>
        </w:rPr>
        <w:t xml:space="preserve">Keywords:</w:t>
      </w:r>
      <w:r>
        <w:t xml:space="preserve"> </w:t>
      </w:r>
      <w:r>
        <w:rPr>
          <w:i/>
          <w:iCs/>
        </w:rPr>
        <w:t xml:space="preserve">Efficient analysis – R programming – research data – corporate tax statistics – Business Tax Panel – empirical tax research network</w:t>
      </w:r>
    </w:p>
    <w:p>
      <w:pPr>
        <w:pStyle w:val="BodyText"/>
      </w:pPr>
      <w:r>
        <w:rPr>
          <w:rStyle w:val="Abstract-Title"/>
          <w:b/>
          <w:bCs/>
          <w:i/>
          <w:iCs/>
        </w:rPr>
        <w:t xml:space="preserve">ABSTRACT</w:t>
      </w:r>
    </w:p>
    <w:p>
      <w:pPr>
        <w:pStyle w:val="BodyText"/>
      </w:pPr>
      <w:r>
        <w:rPr>
          <w:rStyle w:val="Abstract"/>
          <w:i/>
          <w:iCs/>
        </w:rPr>
        <w:t xml:space="preserve">The Research Data Centre at the Federal Statistical Office is strategically expanding its technical infrastructure to provide researchers with enhanced analytical capabilities for official data. Since November 2025, researchers have had exclusive access to these extended system resources in R and Stata. R-based tools – particularly Apache Arrow, Parquet, and DuckDB – enable real-time analysis of large research datasets. Using the Business Tax Panel (2013–2019), this paper demonstrates the achievable efficiency gains in analysing large-scale tax statistics within the empirical tax research network.</w:t>
      </w:r>
    </w:p>
    <w:p>
      <w:pPr>
        <w:sectPr>
          <w:type w:val="nextPage"/>
          <w:pgSz w:w="11906" w:h="16838"/>
          <w:pgMar w:top="1418" w:right="1134" w:bottom="1418" w:left="1134" w:header="709" w:footer="709" w:gutter="0"/>
          <w:cols w:num="1" w:space="708"/>
        </w:sectPr>
      </w:pPr>
    </w:p>
    <w:bookmarkStart w:id="23" w:name="sec-einleitung"/>
    <w:p>
      <w:pPr>
        <w:pStyle w:val="Heading2"/>
      </w:pPr>
      <w:r>
        <w:t xml:space="preserve">1 Einleitung</w:t>
      </w:r>
    </w:p>
    <w:bookmarkStart w:id="20" w:name="motivation-und-zielsetzung"/>
    <w:p>
      <w:pPr>
        <w:pStyle w:val="Heading3"/>
      </w:pPr>
      <w:r>
        <w:t xml:space="preserve">1.1 Motivation und Zielsetzung</w:t>
      </w:r>
    </w:p>
    <w:p>
      <w:pPr>
        <w:pStyle w:val="FirstParagraph"/>
      </w:pPr>
      <w:r>
        <w:t xml:space="preserve">Die amtliche Statistik steht vor der Herausforderung, bei stetig wachsenden Datenmengen und sich ändernden Nutzeranforderungen qualitativ hochwertige und zeitnahe statistische Informationen bereitzustellen</w:t>
      </w:r>
      <w:r>
        <w:t xml:space="preserve"> </w:t>
      </w:r>
      <w:r>
        <w:t xml:space="preserve">(Statistisches Bundesamt 2023)</w:t>
      </w:r>
      <w:r>
        <w:t xml:space="preserve">. Dabei spielt die Effizienz der verwendeten statistischen Verfahren eine zentrale Rolle für die Leistungsfähigkeit des gesamten statistischen Systems.</w:t>
      </w:r>
    </w:p>
    <w:p>
      <w:pPr>
        <w:pStyle w:val="BodyText"/>
      </w:pPr>
      <w:r>
        <w:t xml:space="preserve">In den vergangenen Jahren haben sich die Rahmenbedingungen für die Produktion amtlicher Statistiken erheblich verändert. Die Digitalisierung hat nicht nur zu einer Vervielfachung der verfügbaren Datenquellen geführt, sondern auch neue Möglichkeiten für die statistische Analyse eröffnet. Gleichzeitig sind die Erwartungen der Nutzer an Aktualität und Detailliertheit der Statistiken gestiegen.</w:t>
      </w:r>
    </w:p>
    <w:p>
      <w:pPr>
        <w:pStyle w:val="BodyText"/>
      </w:pPr>
      <w:r>
        <w:t xml:space="preserve">Diese Entwicklungen erfordern eine kontinuierliche Evaluation und Optimierung der eingesetzten Verfahren. Ziel der vorliegenden Studie ist es daher, die Effizienz verschiedener statistischer Verfahren systematisch zu bewerten und Handlungsempfehlungen für die Praxis abzuleiten.</w:t>
      </w:r>
    </w:p>
    <w:bookmarkEnd w:id="20"/>
    <w:bookmarkStart w:id="21" w:name="forschungsfragen"/>
    <w:p>
      <w:pPr>
        <w:pStyle w:val="Heading3"/>
      </w:pPr>
      <w:r>
        <w:t xml:space="preserve">1.2 Forschungsfragen</w:t>
      </w:r>
    </w:p>
    <w:p>
      <w:pPr>
        <w:pStyle w:val="FirstParagraph"/>
      </w:pPr>
      <w:r>
        <w:t xml:space="preserve">Die Untersuchung fokussiert sich auf folgende zentrale Forschungsfragen:</w:t>
      </w:r>
    </w:p>
    <w:p>
      <w:pPr>
        <w:numPr>
          <w:ilvl w:val="0"/>
          <w:numId w:val="1001"/>
        </w:numPr>
      </w:pPr>
      <w:r>
        <w:rPr>
          <w:b/>
          <w:bCs/>
        </w:rPr>
        <w:t xml:space="preserve">Methodische Effizienz:</w:t>
      </w:r>
      <w:r>
        <w:t xml:space="preserve"> </w:t>
      </w:r>
      <w:r>
        <w:t xml:space="preserve">Wie unterscheiden sich verschiedene statistische Verfahren hinsichtlich ihrer Rechenzeit und Speicheranforderungen bei gleichbleibender Ergebnisqualität?</w:t>
      </w:r>
    </w:p>
    <w:p>
      <w:pPr>
        <w:numPr>
          <w:ilvl w:val="0"/>
          <w:numId w:val="1001"/>
        </w:numPr>
      </w:pPr>
      <w:r>
        <w:rPr>
          <w:b/>
          <w:bCs/>
        </w:rPr>
        <w:t xml:space="preserve">Skalierbarkeit:</w:t>
      </w:r>
      <w:r>
        <w:t xml:space="preserve"> </w:t>
      </w:r>
      <w:r>
        <w:t xml:space="preserve">Welche Verfahren zeigen die beste Performance bei wachsenden Datenmengen, und wo liegen die kritischen Grenzen?</w:t>
      </w:r>
    </w:p>
    <w:p>
      <w:pPr>
        <w:numPr>
          <w:ilvl w:val="0"/>
          <w:numId w:val="1001"/>
        </w:numPr>
      </w:pPr>
      <w:r>
        <w:rPr>
          <w:b/>
          <w:bCs/>
        </w:rPr>
        <w:t xml:space="preserve">Praktische Anwendbarkeit:</w:t>
      </w:r>
      <w:r>
        <w:t xml:space="preserve"> </w:t>
      </w:r>
      <w:r>
        <w:t xml:space="preserve">Welche Infrastrukturanforderungen stellen moderne Auswertungsmethoden an Forschungsdatenzentren?</w:t>
      </w:r>
    </w:p>
    <w:bookmarkEnd w:id="21"/>
    <w:bookmarkStart w:id="22" w:name="aufbau-der-arbeit"/>
    <w:p>
      <w:pPr>
        <w:pStyle w:val="Heading3"/>
      </w:pPr>
      <w:r>
        <w:t xml:space="preserve">1.3 Aufbau der Arbeit</w:t>
      </w:r>
    </w:p>
    <w:p>
      <w:pPr>
        <w:pStyle w:val="FirstParagraph"/>
      </w:pPr>
      <w:r>
        <w:t xml:space="preserve">Die Arbeit gliedert sich wie folgt: Nach dieser Einleitung wird in</w:t>
      </w:r>
      <w:r>
        <w:t xml:space="preserve"> </w:t>
      </w:r>
      <w:hyperlink w:anchor="sec-btp">
        <w:r>
          <w:rPr>
            <w:rStyle w:val="Hyperlink"/>
          </w:rPr>
          <w:t xml:space="preserve">Kapitel 2</w:t>
        </w:r>
      </w:hyperlink>
      <w:r>
        <w:t xml:space="preserve"> </w:t>
      </w:r>
      <w:r>
        <w:t xml:space="preserve">der Anwendungsfall Business-Tax-Panel vorgestellt, der als empirisches Beispiel für die Analysen dient.</w:t>
      </w:r>
      <w:r>
        <w:t xml:space="preserve"> </w:t>
      </w:r>
      <w:hyperlink w:anchor="sec-infrastruktur">
        <w:r>
          <w:rPr>
            <w:rStyle w:val="Hyperlink"/>
          </w:rPr>
          <w:t xml:space="preserve">Kapitel 3</w:t>
        </w:r>
      </w:hyperlink>
      <w:r>
        <w:t xml:space="preserve"> </w:t>
      </w:r>
      <w:r>
        <w:t xml:space="preserve">beschreibt die Infrastruktur des Forschungsdatenzentrums des Bundes (FDZ-Bund), in der die Auswertungen durchgeführt werden.</w:t>
      </w:r>
    </w:p>
    <w:p>
      <w:pPr>
        <w:pStyle w:val="BodyText"/>
      </w:pPr>
      <w:r>
        <w:t xml:space="preserve">In</w:t>
      </w:r>
      <w:r>
        <w:t xml:space="preserve"> </w:t>
      </w:r>
      <w:hyperlink w:anchor="sec-methoden">
        <w:r>
          <w:rPr>
            <w:rStyle w:val="Hyperlink"/>
          </w:rPr>
          <w:t xml:space="preserve">Kapitel 4</w:t>
        </w:r>
      </w:hyperlink>
      <w:r>
        <w:t xml:space="preserve"> </w:t>
      </w:r>
      <w:r>
        <w:t xml:space="preserve">werden verschiedene effiziente Auswertungsmethoden vorgestellt und deren theoretische Grundlagen erläutert.</w:t>
      </w:r>
      <w:r>
        <w:t xml:space="preserve"> </w:t>
      </w:r>
      <w:hyperlink w:anchor="sec-performance">
        <w:r>
          <w:rPr>
            <w:rStyle w:val="Hyperlink"/>
          </w:rPr>
          <w:t xml:space="preserve">Kapitel 5</w:t>
        </w:r>
      </w:hyperlink>
      <w:r>
        <w:t xml:space="preserve"> </w:t>
      </w:r>
      <w:r>
        <w:t xml:space="preserve">präsentiert die empirischen Performanzergebnisse der verschiedenen Ansätze. Die Arbeit schließt mit einem Ausblick auf zukünftige Entwicklungen in</w:t>
      </w:r>
      <w:r>
        <w:t xml:space="preserve"> </w:t>
      </w:r>
      <w:hyperlink w:anchor="sec-ausblick">
        <w:r>
          <w:rPr>
            <w:rStyle w:val="Hyperlink"/>
          </w:rPr>
          <w:t xml:space="preserve">Kapitel 6</w:t>
        </w:r>
      </w:hyperlink>
      <w:r>
        <w:t xml:space="preserve">.</w:t>
      </w:r>
    </w:p>
    <w:p>
      <w:pPr>
        <w:pStyle w:val="BodyText"/>
      </w:pPr>
      <w:r>
        <w:t xml:space="preserve">Die Analyse basiert auf einer umfangreichen empirischen Studie, die verschiedene statistische Verfahren anhand realer Datensätze aus der amtlichen Statistik vergleicht. Dabei werden sowohl etablierte als auch neuere Ansätze berücksichtigt, um ein vollständiges Bild der verfügbaren Optionen zu zeichnen.</w:t>
      </w:r>
    </w:p>
    <w:bookmarkEnd w:id="22"/>
    <w:bookmarkEnd w:id="23"/>
    <w:bookmarkStart w:id="31" w:name="sec-btp"/>
    <w:p>
      <w:pPr>
        <w:pStyle w:val="Heading2"/>
      </w:pPr>
      <w:r>
        <w:t xml:space="preserve">2 Anwendungsfall Business-Tax-Panel</w:t>
      </w:r>
    </w:p>
    <w:bookmarkStart w:id="24" w:name="überblick-zum-business-tax-panel"/>
    <w:p>
      <w:pPr>
        <w:pStyle w:val="Heading3"/>
      </w:pPr>
      <w:r>
        <w:t xml:space="preserve">2.1 Überblick zum Business-Tax-Panel</w:t>
      </w:r>
    </w:p>
    <w:p>
      <w:pPr>
        <w:pStyle w:val="FirstParagraph"/>
      </w:pPr>
      <w:r>
        <w:t xml:space="preserve">Das Business-Tax-Panel (BTP) ist ein zentraler Forschungsdatensatz des Statistischen Bundesamtes, der umfassende Informationen zur Unternehmensbesteuerung in Deutschland bereitstellt. Das Panel kombiniert Daten aus verschiedenen Steuerstatistiken miteinander und ermöglicht somit eine umfassende Analyse der Besteuerung von Unternehmen über Zeit.</w:t>
      </w:r>
    </w:p>
    <w:p>
      <w:pPr>
        <w:pStyle w:val="BodyText"/>
      </w:pPr>
      <w:r>
        <w:t xml:space="preserve">Im BTP werden folgende Datensätze zusammengeführt:</w:t>
      </w:r>
    </w:p>
    <w:p>
      <w:pPr>
        <w:pStyle w:val="Compact"/>
        <w:numPr>
          <w:ilvl w:val="0"/>
          <w:numId w:val="1002"/>
        </w:numPr>
      </w:pPr>
      <w:r>
        <w:rPr>
          <w:b/>
          <w:bCs/>
        </w:rPr>
        <w:t xml:space="preserve">Gewerbesteuerstatistik</w:t>
      </w:r>
      <w:r>
        <w:t xml:space="preserve"> </w:t>
      </w:r>
      <w:r>
        <w:t xml:space="preserve">(EVAS-Nr. 73511)</w:t>
      </w:r>
    </w:p>
    <w:p>
      <w:pPr>
        <w:pStyle w:val="Compact"/>
        <w:numPr>
          <w:ilvl w:val="0"/>
          <w:numId w:val="1002"/>
        </w:numPr>
      </w:pPr>
      <w:r>
        <w:rPr>
          <w:b/>
          <w:bCs/>
        </w:rPr>
        <w:t xml:space="preserve">Körperschaftsteuerstatistik</w:t>
      </w:r>
      <w:r>
        <w:t xml:space="preserve"> </w:t>
      </w:r>
      <w:r>
        <w:t xml:space="preserve">(EVAS-Nr. 73211)</w:t>
      </w:r>
    </w:p>
    <w:p>
      <w:pPr>
        <w:pStyle w:val="Compact"/>
        <w:numPr>
          <w:ilvl w:val="0"/>
          <w:numId w:val="1002"/>
        </w:numPr>
      </w:pPr>
      <w:r>
        <w:rPr>
          <w:b/>
          <w:bCs/>
        </w:rPr>
        <w:t xml:space="preserve">Umsatzsteuerstatistik - Voranmeldungen</w:t>
      </w:r>
      <w:r>
        <w:t xml:space="preserve"> </w:t>
      </w:r>
      <w:r>
        <w:t xml:space="preserve">(EVAS-Nr. 73311)</w:t>
      </w:r>
    </w:p>
    <w:p>
      <w:pPr>
        <w:pStyle w:val="Compact"/>
        <w:numPr>
          <w:ilvl w:val="0"/>
          <w:numId w:val="1002"/>
        </w:numPr>
      </w:pPr>
      <w:r>
        <w:rPr>
          <w:b/>
          <w:bCs/>
        </w:rPr>
        <w:t xml:space="preserve">Statistik über Personengesellschaften und Gemeinschaften</w:t>
      </w:r>
      <w:r>
        <w:t xml:space="preserve"> </w:t>
      </w:r>
      <w:r>
        <w:t xml:space="preserve">(EVAS-Nr. 73121)</w:t>
      </w:r>
    </w:p>
    <w:p>
      <w:pPr>
        <w:pStyle w:val="Compact"/>
        <w:numPr>
          <w:ilvl w:val="0"/>
          <w:numId w:val="1002"/>
        </w:numPr>
      </w:pPr>
      <w:r>
        <w:rPr>
          <w:b/>
          <w:bCs/>
        </w:rPr>
        <w:t xml:space="preserve">Umsatzsteuerstatistik - Veranlagungen</w:t>
      </w:r>
      <w:r>
        <w:t xml:space="preserve"> </w:t>
      </w:r>
      <w:r>
        <w:t xml:space="preserve">(EVAS-Nr. 73321)</w:t>
      </w:r>
    </w:p>
    <w:p>
      <w:pPr>
        <w:pStyle w:val="Compact"/>
        <w:numPr>
          <w:ilvl w:val="0"/>
          <w:numId w:val="1002"/>
        </w:numPr>
      </w:pPr>
      <w:r>
        <w:rPr>
          <w:b/>
          <w:bCs/>
        </w:rPr>
        <w:t xml:space="preserve">Einnahmenüberschussrechnung</w:t>
      </w:r>
      <w:r>
        <w:t xml:space="preserve"> </w:t>
      </w:r>
      <w:r>
        <w:t xml:space="preserve">aus der Lohn- und Einkommensteuerstatistik (EVAS-Nr. 73111)</w:t>
      </w:r>
    </w:p>
    <w:p>
      <w:pPr>
        <w:pStyle w:val="Compact"/>
        <w:numPr>
          <w:ilvl w:val="0"/>
          <w:numId w:val="1002"/>
        </w:numPr>
      </w:pPr>
      <w:r>
        <w:t xml:space="preserve">Merkmale aus dem</w:t>
      </w:r>
      <w:r>
        <w:t xml:space="preserve"> </w:t>
      </w:r>
      <w:r>
        <w:rPr>
          <w:b/>
          <w:bCs/>
        </w:rPr>
        <w:t xml:space="preserve">Statistischen Unternehmensregister</w:t>
      </w:r>
      <w:r>
        <w:t xml:space="preserve"> </w:t>
      </w:r>
      <w:r>
        <w:t xml:space="preserve">(EVAS-Nr. 52111)</w:t>
      </w:r>
    </w:p>
    <w:bookmarkEnd w:id="24"/>
    <w:bookmarkStart w:id="27" w:name="datenstruktur-und-umfang"/>
    <w:p>
      <w:pPr>
        <w:pStyle w:val="Heading3"/>
      </w:pPr>
      <w:r>
        <w:t xml:space="preserve">2.2 Datenstruktur und Umfang</w:t>
      </w:r>
    </w:p>
    <w:p>
      <w:pPr>
        <w:pStyle w:val="FirstParagraph"/>
      </w:pPr>
      <w:r>
        <w:rPr>
          <w:b/>
          <w:bCs/>
        </w:rPr>
        <w:t xml:space="preserve">Dimensionen des Datensatzes.</w:t>
      </w:r>
    </w:p>
    <w:p>
      <w:pPr>
        <w:pStyle w:val="BodyText"/>
      </w:pPr>
      <w:r>
        <w:t xml:space="preserve">Das BTP umfasst einen außergewöhnlich umfangreichen Datensatz mit beeindruckenden Dimensionen:</w:t>
      </w:r>
    </w:p>
    <w:tbl>
      <w:tblPr>
        <w:tblStyle w:val="Table"/>
        <w:tblW w:type="pct" w:w="5000"/>
        <w:tblLayout w:type="fixed"/>
        <w:tblLook w:firstRow="0" w:lastRow="0" w:firstColumn="0" w:lastColumn="0" w:noHBand="0" w:noVBand="0" w:val="0000"/>
      </w:tblPr>
      <w:tblGrid>
        <w:gridCol w:w="7920"/>
      </w:tblGrid>
      <w:tr>
        <w:tc>
          <w:tcPr/>
          <w:bookmarkStart w:id="25" w:name="tbl-btp-overview"/>
          <w:p>
            <w:pPr>
              <w:jc w:val="center"/>
            </w:pPr>
            <w:pPr>
              <w:jc w:val="left"/>
              <w:spacing w:before="200"/>
              <w:pStyle w:val="ImageCaption"/>
            </w:pPr>
            <w:r>
              <w:t xml:space="preserve">Tabelle 1: Übersicht über die Dimensionen des Business-Tax-Panel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Merkmal</w:t>
                  </w:r>
                </w:p>
              </w:tc>
              <w:tc>
                <w:tcPr/>
                <w:p>
                  <w:pPr>
                    <w:pStyle w:val="Compact"/>
                    <w:jc w:val="left"/>
                    <w:jc w:val="center"/>
                  </w:pPr>
                  <w:r>
                    <w:t xml:space="preserve">Wert</w:t>
                  </w:r>
                </w:p>
              </w:tc>
            </w:tr>
            <w:tr>
              <w:tc>
                <w:tcPr/>
                <w:p>
                  <w:pPr>
                    <w:pStyle w:val="Compact"/>
                    <w:jc w:val="left"/>
                    <w:jc w:val="center"/>
                  </w:pPr>
                  <w:r>
                    <w:t xml:space="preserve">Beobachtungszeitraum</w:t>
                  </w:r>
                </w:p>
              </w:tc>
              <w:tc>
                <w:tcPr/>
                <w:p>
                  <w:pPr>
                    <w:pStyle w:val="Compact"/>
                    <w:jc w:val="left"/>
                    <w:jc w:val="center"/>
                  </w:pPr>
                  <w:r>
                    <w:t xml:space="preserve">2013-2019 (jährliche Erweiterung)</w:t>
                  </w:r>
                </w:p>
              </w:tc>
            </w:tr>
            <w:tr>
              <w:tc>
                <w:tcPr/>
                <w:p>
                  <w:pPr>
                    <w:pStyle w:val="Compact"/>
                    <w:jc w:val="left"/>
                    <w:jc w:val="center"/>
                  </w:pPr>
                  <w:r>
                    <w:t xml:space="preserve">Anzahl Einheiten (2013-2019)</w:t>
                  </w:r>
                </w:p>
              </w:tc>
              <w:tc>
                <w:tcPr/>
                <w:p>
                  <w:pPr>
                    <w:pStyle w:val="Compact"/>
                    <w:jc w:val="left"/>
                    <w:jc w:val="center"/>
                  </w:pPr>
                  <w:r>
                    <w:t xml:space="preserve">&gt;66 Millionen</w:t>
                  </w:r>
                </w:p>
              </w:tc>
            </w:tr>
            <w:tr>
              <w:tc>
                <w:tcPr/>
                <w:p>
                  <w:pPr>
                    <w:pStyle w:val="Compact"/>
                    <w:jc w:val="left"/>
                    <w:jc w:val="center"/>
                  </w:pPr>
                  <w:r>
                    <w:t xml:space="preserve">Anzahl Merkmale</w:t>
                  </w:r>
                </w:p>
              </w:tc>
              <w:tc>
                <w:tcPr/>
                <w:p>
                  <w:pPr>
                    <w:pStyle w:val="Compact"/>
                    <w:jc w:val="left"/>
                    <w:jc w:val="center"/>
                  </w:pPr>
                  <w:r>
                    <w:t xml:space="preserve">&gt;2.700</w:t>
                  </w:r>
                </w:p>
              </w:tc>
            </w:tr>
            <w:tr>
              <w:tc>
                <w:tcPr/>
                <w:p>
                  <w:pPr>
                    <w:pStyle w:val="Compact"/>
                    <w:jc w:val="left"/>
                    <w:jc w:val="center"/>
                  </w:pPr>
                  <w:r>
                    <w:t xml:space="preserve">Erhebungsart</w:t>
                  </w:r>
                </w:p>
              </w:tc>
              <w:tc>
                <w:tcPr/>
                <w:p>
                  <w:pPr>
                    <w:pStyle w:val="Compact"/>
                    <w:jc w:val="left"/>
                    <w:jc w:val="center"/>
                  </w:pPr>
                  <w:r>
                    <w:t xml:space="preserve">Vollerhebung</w:t>
                  </w:r>
                </w:p>
              </w:tc>
            </w:tr>
            <w:tr>
              <w:tc>
                <w:tcPr/>
                <w:p>
                  <w:pPr>
                    <w:pStyle w:val="Compact"/>
                    <w:jc w:val="left"/>
                    <w:jc w:val="center"/>
                  </w:pPr>
                  <w:r>
                    <w:t xml:space="preserve">Datenquelle</w:t>
                  </w:r>
                </w:p>
              </w:tc>
              <w:tc>
                <w:tcPr/>
                <w:p>
                  <w:pPr>
                    <w:pStyle w:val="Compact"/>
                    <w:jc w:val="left"/>
                    <w:jc w:val="center"/>
                  </w:pPr>
                  <w:r>
                    <w:t xml:space="preserve">Sekundärerhebung (Finanzverwaltung)</w:t>
                  </w:r>
                </w:p>
              </w:tc>
            </w:tr>
          </w:tbl>
          <w:bookmarkEnd w:id="25"/>
          <w:p/>
        </w:tc>
      </w:tr>
    </w:tbl>
    <w:p>
      <w:pPr>
        <w:pStyle w:val="BodyText"/>
      </w:pPr>
      <w:r>
        <w:rPr>
          <w:b/>
          <w:bCs/>
        </w:rPr>
        <w:t xml:space="preserve">Hauptmerkmale des Datensatzes.</w:t>
      </w:r>
    </w:p>
    <w:p>
      <w:pPr>
        <w:pStyle w:val="BodyText"/>
      </w:pPr>
      <w:r>
        <w:t xml:space="preserve">Aus den verschiedenen Steuervordrucken und darin verwendeten Kennzahlen werden über 2.700 Merkmale erfasst, die verschiedene Aspekte der Unternehmensbesteuerung abbilden:</w:t>
      </w:r>
    </w:p>
    <w:p>
      <w:pPr>
        <w:pStyle w:val="Compact"/>
        <w:numPr>
          <w:ilvl w:val="0"/>
          <w:numId w:val="1003"/>
        </w:numPr>
      </w:pPr>
      <w:r>
        <w:rPr>
          <w:b/>
          <w:bCs/>
        </w:rPr>
        <w:t xml:space="preserve">Steuerliche Kennzahlen:</w:t>
      </w:r>
      <w:r>
        <w:t xml:space="preserve"> </w:t>
      </w:r>
      <w:r>
        <w:t xml:space="preserve">Bemessungsgrundlagen, Steuerbeträge, Vorsteuern aus verschiedenen Steuerarten</w:t>
      </w:r>
    </w:p>
    <w:p>
      <w:pPr>
        <w:pStyle w:val="Compact"/>
        <w:numPr>
          <w:ilvl w:val="0"/>
          <w:numId w:val="1003"/>
        </w:numPr>
      </w:pPr>
      <w:r>
        <w:rPr>
          <w:b/>
          <w:bCs/>
        </w:rPr>
        <w:t xml:space="preserve">Wirtschaftliche Kennzahlen:</w:t>
      </w:r>
      <w:r>
        <w:t xml:space="preserve"> </w:t>
      </w:r>
      <w:r>
        <w:t xml:space="preserve">Umsätze, Gewinne, Betriebsausgaben</w:t>
      </w:r>
    </w:p>
    <w:p>
      <w:pPr>
        <w:pStyle w:val="Compact"/>
        <w:numPr>
          <w:ilvl w:val="0"/>
          <w:numId w:val="1003"/>
        </w:numPr>
      </w:pPr>
      <w:r>
        <w:rPr>
          <w:b/>
          <w:bCs/>
        </w:rPr>
        <w:t xml:space="preserve">Strukturmerkmale:</w:t>
      </w:r>
      <w:r>
        <w:t xml:space="preserve"> </w:t>
      </w:r>
      <w:r>
        <w:t xml:space="preserve">Rechtsform, Wirtschaftszweig, Größenklassen</w:t>
      </w:r>
    </w:p>
    <w:p>
      <w:pPr>
        <w:pStyle w:val="Compact"/>
        <w:numPr>
          <w:ilvl w:val="0"/>
          <w:numId w:val="1003"/>
        </w:numPr>
      </w:pPr>
      <w:r>
        <w:rPr>
          <w:b/>
          <w:bCs/>
        </w:rPr>
        <w:t xml:space="preserve">Geografische Informationen:</w:t>
      </w:r>
      <w:r>
        <w:t xml:space="preserve"> </w:t>
      </w:r>
      <w:r>
        <w:t xml:space="preserve">Bundesland, Gemeindekennziffer</w:t>
      </w:r>
    </w:p>
    <w:p>
      <w:pPr>
        <w:pStyle w:val="Compact"/>
        <w:numPr>
          <w:ilvl w:val="0"/>
          <w:numId w:val="1003"/>
        </w:numPr>
      </w:pPr>
      <w:r>
        <w:rPr>
          <w:b/>
          <w:bCs/>
        </w:rPr>
        <w:t xml:space="preserve">Panelstruktur:</w:t>
      </w:r>
      <w:r>
        <w:t xml:space="preserve"> </w:t>
      </w:r>
      <w:r>
        <w:t xml:space="preserve">Längsschnittinformationen ermöglichen Zeitreihenanalysen</w:t>
      </w:r>
    </w:p>
    <w:p>
      <w:pPr>
        <w:pStyle w:val="FirstParagraph"/>
      </w:pPr>
      <w:r>
        <w:rPr>
          <w:b/>
          <w:bCs/>
        </w:rPr>
        <w:t xml:space="preserve">Datenerhebung und Rechtsgrundlage.</w:t>
      </w:r>
    </w:p>
    <w:p>
      <w:pPr>
        <w:pStyle w:val="BodyText"/>
      </w:pPr>
      <w:r>
        <w:t xml:space="preserve">Die im BTP enthaltenen Steuerstatistiken sind Bundesstatistiken, die als</w:t>
      </w:r>
      <w:r>
        <w:t xml:space="preserve"> </w:t>
      </w:r>
      <w:r>
        <w:rPr>
          <w:b/>
          <w:bCs/>
        </w:rPr>
        <w:t xml:space="preserve">Vollerhebung</w:t>
      </w:r>
      <w:r>
        <w:t xml:space="preserve"> </w:t>
      </w:r>
      <w:r>
        <w:t xml:space="preserve">durchgeführt werden. Es handelt sich um</w:t>
      </w:r>
      <w:r>
        <w:t xml:space="preserve"> </w:t>
      </w:r>
      <w:r>
        <w:rPr>
          <w:b/>
          <w:bCs/>
        </w:rPr>
        <w:t xml:space="preserve">Sekundärerhebungen</w:t>
      </w:r>
      <w:r>
        <w:t xml:space="preserve">: Die Erhebungsmerkmale werden aus den Voranmeldungs- und Veranlagungsbescheiden von der Finanzverwaltung entnommen und über deren Rechenzentren an die Statistischen Ämter der Länder übermittelt.</w:t>
      </w:r>
    </w:p>
    <w:p>
      <w:pPr>
        <w:pStyle w:val="BodyText"/>
      </w:pPr>
      <w:r>
        <w:t xml:space="preserve">Rechtsgrundlage ist das</w:t>
      </w:r>
      <w:r>
        <w:t xml:space="preserve"> </w:t>
      </w:r>
      <w:hyperlink r:id="rId26">
        <w:r>
          <w:rPr>
            <w:rStyle w:val="Hyperlink"/>
          </w:rPr>
          <w:t xml:space="preserve">Gesetz über Steuerstatistiken (StStatG)</w:t>
        </w:r>
      </w:hyperlink>
      <w:r>
        <w:t xml:space="preserve"> </w:t>
      </w:r>
      <w:r>
        <w:t xml:space="preserve">vom 11. Oktober 1995.</w:t>
      </w:r>
    </w:p>
    <w:bookmarkEnd w:id="27"/>
    <w:bookmarkStart w:id="28" w:name="forschungspotenzial-und-nutzung"/>
    <w:p>
      <w:pPr>
        <w:pStyle w:val="Heading3"/>
      </w:pPr>
      <w:r>
        <w:t xml:space="preserve">2.3 Forschungspotenzial und Nutzung</w:t>
      </w:r>
    </w:p>
    <w:p>
      <w:pPr>
        <w:pStyle w:val="FirstParagraph"/>
      </w:pPr>
      <w:r>
        <w:rPr>
          <w:b/>
          <w:bCs/>
        </w:rPr>
        <w:t xml:space="preserve">Typische Forschungsfragen.</w:t>
      </w:r>
    </w:p>
    <w:p>
      <w:pPr>
        <w:pStyle w:val="BodyText"/>
      </w:pPr>
      <w:r>
        <w:t xml:space="preserve">Das BTP wird für eine Vielzahl von Forschungsfragen genutzt:</w:t>
      </w:r>
    </w:p>
    <w:p>
      <w:pPr>
        <w:pStyle w:val="Compact"/>
        <w:numPr>
          <w:ilvl w:val="0"/>
          <w:numId w:val="1004"/>
        </w:numPr>
      </w:pPr>
      <w:r>
        <w:rPr>
          <w:b/>
          <w:bCs/>
        </w:rPr>
        <w:t xml:space="preserve">Steuerliche Analysen:</w:t>
      </w:r>
      <w:r>
        <w:t xml:space="preserve"> </w:t>
      </w:r>
      <w:r>
        <w:t xml:space="preserve">Effekte von Steuerreformen auf Unternehmensentscheidungen</w:t>
      </w:r>
    </w:p>
    <w:p>
      <w:pPr>
        <w:pStyle w:val="Compact"/>
        <w:numPr>
          <w:ilvl w:val="0"/>
          <w:numId w:val="1004"/>
        </w:numPr>
      </w:pPr>
      <w:r>
        <w:rPr>
          <w:b/>
          <w:bCs/>
        </w:rPr>
        <w:t xml:space="preserve">Unternehmensdynamik:</w:t>
      </w:r>
      <w:r>
        <w:t xml:space="preserve"> </w:t>
      </w:r>
      <w:r>
        <w:t xml:space="preserve">Gründungen, Wachstum und Marktaustritte</w:t>
      </w:r>
    </w:p>
    <w:p>
      <w:pPr>
        <w:pStyle w:val="Compact"/>
        <w:numPr>
          <w:ilvl w:val="0"/>
          <w:numId w:val="1004"/>
        </w:numPr>
      </w:pPr>
      <w:r>
        <w:rPr>
          <w:b/>
          <w:bCs/>
        </w:rPr>
        <w:t xml:space="preserve">Wirtschaftsstruktur:</w:t>
      </w:r>
      <w:r>
        <w:t xml:space="preserve"> </w:t>
      </w:r>
      <w:r>
        <w:t xml:space="preserve">Branchenentwicklung und regionale Unterschiede</w:t>
      </w:r>
    </w:p>
    <w:p>
      <w:pPr>
        <w:pStyle w:val="Compact"/>
        <w:numPr>
          <w:ilvl w:val="0"/>
          <w:numId w:val="1004"/>
        </w:numPr>
      </w:pPr>
      <w:r>
        <w:rPr>
          <w:b/>
          <w:bCs/>
        </w:rPr>
        <w:t xml:space="preserve">Krisenanalysen:</w:t>
      </w:r>
      <w:r>
        <w:t xml:space="preserve"> </w:t>
      </w:r>
      <w:r>
        <w:t xml:space="preserve">Auswirkungen von wirtschaftlichen Schocks auf Unternehmen</w:t>
      </w:r>
    </w:p>
    <w:p>
      <w:pPr>
        <w:pStyle w:val="FirstParagraph"/>
      </w:pPr>
      <w:r>
        <w:rPr>
          <w:b/>
          <w:bCs/>
        </w:rPr>
        <w:t xml:space="preserve">Herausforderungen bei der Datenauswertung.</w:t>
      </w:r>
    </w:p>
    <w:p>
      <w:pPr>
        <w:pStyle w:val="BodyText"/>
      </w:pPr>
      <w:r>
        <w:t xml:space="preserve">Die Größe und Komplexität des BTP stellt besondere Anforderungen an die Auswertungsinfrastruktur:</w:t>
      </w:r>
    </w:p>
    <w:p>
      <w:pPr>
        <w:pStyle w:val="Compact"/>
        <w:numPr>
          <w:ilvl w:val="0"/>
          <w:numId w:val="1005"/>
        </w:numPr>
      </w:pPr>
      <w:r>
        <w:rPr>
          <w:b/>
          <w:bCs/>
        </w:rPr>
        <w:t xml:space="preserve">Rechenleistung:</w:t>
      </w:r>
      <w:r>
        <w:t xml:space="preserve"> </w:t>
      </w:r>
      <w:r>
        <w:t xml:space="preserve">Analysen über den gesamten Datensatz erfordern erhebliche Rechenkapazitäten</w:t>
      </w:r>
    </w:p>
    <w:p>
      <w:pPr>
        <w:pStyle w:val="Compact"/>
        <w:numPr>
          <w:ilvl w:val="0"/>
          <w:numId w:val="1005"/>
        </w:numPr>
      </w:pPr>
      <w:r>
        <w:rPr>
          <w:b/>
          <w:bCs/>
        </w:rPr>
        <w:t xml:space="preserve">Speicherbedarf:</w:t>
      </w:r>
      <w:r>
        <w:t xml:space="preserve"> </w:t>
      </w:r>
      <w:r>
        <w:t xml:space="preserve">Das Vorhalten des Datensatzes im Arbeitsspeicher ist oft nicht möglich</w:t>
      </w:r>
    </w:p>
    <w:p>
      <w:pPr>
        <w:pStyle w:val="Compact"/>
        <w:numPr>
          <w:ilvl w:val="0"/>
          <w:numId w:val="1005"/>
        </w:numPr>
      </w:pPr>
      <w:r>
        <w:rPr>
          <w:b/>
          <w:bCs/>
        </w:rPr>
        <w:t xml:space="preserve">Komplexe Verknüpfungen:</w:t>
      </w:r>
      <w:r>
        <w:t xml:space="preserve"> </w:t>
      </w:r>
      <w:r>
        <w:t xml:space="preserve">Die Zusammenführung verschiedener Datenquellen erfordert effiziente Join-Operationen</w:t>
      </w:r>
    </w:p>
    <w:p>
      <w:pPr>
        <w:pStyle w:val="Compact"/>
        <w:numPr>
          <w:ilvl w:val="0"/>
          <w:numId w:val="1005"/>
        </w:numPr>
      </w:pPr>
      <w:r>
        <w:rPr>
          <w:b/>
          <w:bCs/>
        </w:rPr>
        <w:t xml:space="preserve">Datenschutz:</w:t>
      </w:r>
      <w:r>
        <w:t xml:space="preserve"> </w:t>
      </w:r>
      <w:r>
        <w:t xml:space="preserve">Strenge Anforderungen an den Umgang mit sensiblen Unternehmensdaten</w:t>
      </w:r>
    </w:p>
    <w:bookmarkEnd w:id="28"/>
    <w:bookmarkStart w:id="29" w:name="zugangsformen-im-fdz"/>
    <w:p>
      <w:pPr>
        <w:pStyle w:val="Heading3"/>
      </w:pPr>
      <w:r>
        <w:t xml:space="preserve">2.4 Zugangsformen im FDZ</w:t>
      </w:r>
    </w:p>
    <w:p>
      <w:pPr>
        <w:pStyle w:val="FirstParagraph"/>
      </w:pPr>
      <w:r>
        <w:t xml:space="preserve">Das BTP ist über verschiedene Zugangsformen verfügbar:</w:t>
      </w:r>
    </w:p>
    <w:p>
      <w:pPr>
        <w:pStyle w:val="Compact"/>
        <w:numPr>
          <w:ilvl w:val="0"/>
          <w:numId w:val="1006"/>
        </w:numPr>
      </w:pPr>
      <w:r>
        <w:rPr>
          <w:b/>
          <w:bCs/>
        </w:rPr>
        <w:t xml:space="preserve">Gastwissenschaftsarbeitsplatz (GWAP):</w:t>
      </w:r>
      <w:r>
        <w:t xml:space="preserve"> </w:t>
      </w:r>
      <w:r>
        <w:t xml:space="preserve">On-Site-Zugang mit vollständigen Daten, auswertbar mit SAS oder Stata. Bedingt durch die Speicherplatzgröße kann die Nutzung einer Stichprobe erforderlich sein.</w:t>
      </w:r>
    </w:p>
    <w:p>
      <w:pPr>
        <w:pStyle w:val="Compact"/>
        <w:numPr>
          <w:ilvl w:val="0"/>
          <w:numId w:val="1006"/>
        </w:numPr>
      </w:pPr>
      <w:r>
        <w:rPr>
          <w:b/>
          <w:bCs/>
        </w:rPr>
        <w:t xml:space="preserve">Kontrollierte Datenfernverarbeitung (KDFV):</w:t>
      </w:r>
      <w:r>
        <w:t xml:space="preserve"> </w:t>
      </w:r>
      <w:r>
        <w:t xml:space="preserve">Remote-Zugang mit Ergebnisfreigabe über KDFV</w:t>
      </w:r>
    </w:p>
    <w:p>
      <w:pPr>
        <w:pStyle w:val="Compact"/>
        <w:numPr>
          <w:ilvl w:val="0"/>
          <w:numId w:val="1006"/>
        </w:numPr>
      </w:pPr>
      <w:r>
        <w:t xml:space="preserve">Die Gemeindekennziffer für Bayern steht am GWAP lediglich pseudonymisiert zur Verfügung</w:t>
      </w:r>
    </w:p>
    <w:bookmarkEnd w:id="29"/>
    <w:bookmarkStart w:id="30" w:name="btp-als-benchmark-datensatz"/>
    <w:p>
      <w:pPr>
        <w:pStyle w:val="Heading3"/>
      </w:pPr>
      <w:r>
        <w:t xml:space="preserve">2.5 BTP als Benchmark-Datensatz</w:t>
      </w:r>
    </w:p>
    <w:p>
      <w:pPr>
        <w:pStyle w:val="FirstParagraph"/>
      </w:pPr>
      <w:r>
        <w:t xml:space="preserve">Aufgrund seiner Größe (&gt;66 Millionen Einheiten), Komplexität (&gt;2.700 Variablen) und realen Datenstruktur eignet sich das BTP hervorragend als Benchmark für die Evaluation verschiedener Auswertungsmethoden. Die Herausforderungen des BTP sind repräsentativ für viele Forschungsprojekte im FDZ:</w:t>
      </w:r>
    </w:p>
    <w:p>
      <w:pPr>
        <w:pStyle w:val="Compact"/>
        <w:numPr>
          <w:ilvl w:val="0"/>
          <w:numId w:val="1007"/>
        </w:numPr>
      </w:pPr>
      <w:r>
        <w:rPr>
          <w:b/>
          <w:bCs/>
        </w:rPr>
        <w:t xml:space="preserve">Datengröße:</w:t>
      </w:r>
      <w:r>
        <w:t xml:space="preserve"> </w:t>
      </w:r>
      <w:r>
        <w:t xml:space="preserve">Der Datensatz übersteigt oft die verfügbare RAM-Kapazität</w:t>
      </w:r>
    </w:p>
    <w:p>
      <w:pPr>
        <w:pStyle w:val="Compact"/>
        <w:numPr>
          <w:ilvl w:val="0"/>
          <w:numId w:val="1007"/>
        </w:numPr>
      </w:pPr>
      <w:r>
        <w:rPr>
          <w:b/>
          <w:bCs/>
        </w:rPr>
        <w:t xml:space="preserve">Komplexe Joins:</w:t>
      </w:r>
      <w:r>
        <w:t xml:space="preserve"> </w:t>
      </w:r>
      <w:r>
        <w:t xml:space="preserve">Verknüpfung verschiedener Steuerstatistiken erforderlich</w:t>
      </w:r>
      <w:r>
        <w:br/>
      </w:r>
    </w:p>
    <w:p>
      <w:pPr>
        <w:pStyle w:val="Compact"/>
        <w:numPr>
          <w:ilvl w:val="0"/>
          <w:numId w:val="1007"/>
        </w:numPr>
      </w:pPr>
      <w:r>
        <w:rPr>
          <w:b/>
          <w:bCs/>
        </w:rPr>
        <w:t xml:space="preserve">Aggregationen:</w:t>
      </w:r>
      <w:r>
        <w:t xml:space="preserve"> </w:t>
      </w:r>
      <w:r>
        <w:t xml:space="preserve">Über verschiedene Dimensionen (Zeit, Region, Wirtschaftszweig)</w:t>
      </w:r>
    </w:p>
    <w:p>
      <w:pPr>
        <w:pStyle w:val="Compact"/>
        <w:numPr>
          <w:ilvl w:val="0"/>
          <w:numId w:val="1007"/>
        </w:numPr>
      </w:pPr>
      <w:r>
        <w:rPr>
          <w:b/>
          <w:bCs/>
        </w:rPr>
        <w:t xml:space="preserve">Filteroperationen:</w:t>
      </w:r>
      <w:r>
        <w:t xml:space="preserve"> </w:t>
      </w:r>
      <w:r>
        <w:t xml:space="preserve">Selektion relevanter Unternehmensgruppen</w:t>
      </w:r>
    </w:p>
    <w:p>
      <w:pPr>
        <w:pStyle w:val="Compact"/>
        <w:numPr>
          <w:ilvl w:val="0"/>
          <w:numId w:val="1007"/>
        </w:numPr>
      </w:pPr>
      <w:r>
        <w:rPr>
          <w:b/>
          <w:bCs/>
        </w:rPr>
        <w:t xml:space="preserve">Zeitreihenanalysen:</w:t>
      </w:r>
      <w:r>
        <w:t xml:space="preserve"> </w:t>
      </w:r>
      <w:r>
        <w:t xml:space="preserve">Panel-Struktur über mehrere Jahre</w:t>
      </w:r>
    </w:p>
    <w:p>
      <w:pPr>
        <w:pStyle w:val="FirstParagraph"/>
      </w:pPr>
      <w:r>
        <w:t xml:space="preserve">Diese realitätsnahen Szenarien ermöglichen es, die Praxistauglichkeit verschiedener Auswertungsmethoden unter den tatsächlichen Bedingungen eines Forschungsdatenzentrums zu bewerten.</w:t>
      </w:r>
    </w:p>
    <w:bookmarkEnd w:id="30"/>
    <w:bookmarkEnd w:id="31"/>
    <w:bookmarkStart w:id="44" w:name="sec-infrastruktur"/>
    <w:p>
      <w:pPr>
        <w:pStyle w:val="Heading2"/>
      </w:pPr>
      <w:r>
        <w:t xml:space="preserve">3 Infrastruktur des FDZ-Bund</w:t>
      </w:r>
    </w:p>
    <w:bookmarkStart w:id="32" w:name="X82621f0015b42ec3947de1dcc77901a3c7c4c6a"/>
    <w:p>
      <w:pPr>
        <w:pStyle w:val="Heading3"/>
      </w:pPr>
      <w:r>
        <w:t xml:space="preserve">3.1 Die Forschungsdatenzentren der amtlichen Statistik</w:t>
      </w:r>
    </w:p>
    <w:p>
      <w:pPr>
        <w:pStyle w:val="FirstParagraph"/>
      </w:pPr>
      <w:r>
        <w:t xml:space="preserve">Die Forschungsdatenzentren (FDZ) der amtlichen Statistik bestehen aus zwei organisatorisch voneinander getrennten Einrichtungen: dem</w:t>
      </w:r>
      <w:r>
        <w:t xml:space="preserve"> </w:t>
      </w:r>
      <w:r>
        <w:rPr>
          <w:b/>
          <w:bCs/>
        </w:rPr>
        <w:t xml:space="preserve">Forschungsdatenzentrum des Statistischen Bundesamts</w:t>
      </w:r>
      <w:r>
        <w:t xml:space="preserve"> </w:t>
      </w:r>
      <w:r>
        <w:t xml:space="preserve">und dem</w:t>
      </w:r>
      <w:r>
        <w:t xml:space="preserve"> </w:t>
      </w:r>
      <w:r>
        <w:rPr>
          <w:b/>
          <w:bCs/>
        </w:rPr>
        <w:t xml:space="preserve">Forschungsdatenzentrum der Statistischen Ämter der Länder</w:t>
      </w:r>
      <w:r>
        <w:t xml:space="preserve">. Beide FDZ arbeiten eng zusammen und bieten ein abgestimmtes Daten- und Dienstleistungsangebot für die wissenschaftliche Nutzung von Mikrodaten der amtlichen Statistiken.</w:t>
      </w:r>
    </w:p>
    <w:p>
      <w:pPr>
        <w:pStyle w:val="BodyText"/>
      </w:pPr>
      <w:r>
        <w:rPr>
          <w:b/>
          <w:bCs/>
        </w:rPr>
        <w:t xml:space="preserve">Entstehung und Entwicklung.</w:t>
      </w:r>
    </w:p>
    <w:p>
      <w:pPr>
        <w:pStyle w:val="BodyText"/>
      </w:pPr>
      <w:r>
        <w:t xml:space="preserve">Die Gründung der FDZ geht auf ein Gutachten der „Kommission zur Verbesserung der informationellen Infrastruktur zwischen Wissenschaft und Statistik” (KVI) von 1999 zurück. Mit finanzieller Förderung des Bundesministeriums für Bildung und Forschung (BMBF) wurde im Herbst 2001 zunächst das FDZ des Statistischen Bundesamts gegründet. Das FDZ der Statistischen Ämter der Länder folgte im April 2002.</w:t>
      </w:r>
    </w:p>
    <w:p>
      <w:pPr>
        <w:pStyle w:val="BodyText"/>
      </w:pPr>
      <w:r>
        <w:rPr>
          <w:b/>
          <w:bCs/>
        </w:rPr>
        <w:t xml:space="preserve">Aufgaben und Ziele.</w:t>
      </w:r>
    </w:p>
    <w:p>
      <w:pPr>
        <w:pStyle w:val="BodyText"/>
      </w:pPr>
      <w:r>
        <w:t xml:space="preserve">Die FDZ verfolgen das Ziel, den Zugang zu Mikrodaten der amtlichen Statistik für die Wissenschaft nicht nur zu ermöglichen, sondern fortlaufend zu verbessern und an die sich ändernden Bedarfe anzupassen:</w:t>
      </w:r>
    </w:p>
    <w:p>
      <w:pPr>
        <w:pStyle w:val="Compact"/>
        <w:numPr>
          <w:ilvl w:val="0"/>
          <w:numId w:val="1008"/>
        </w:numPr>
      </w:pPr>
      <w:r>
        <w:rPr>
          <w:b/>
          <w:bCs/>
        </w:rPr>
        <w:t xml:space="preserve">Datenzugang:</w:t>
      </w:r>
      <w:r>
        <w:t xml:space="preserve"> </w:t>
      </w:r>
      <w:r>
        <w:t xml:space="preserve">Bereitstellung hochwertiger Mikrodaten für die wissenschaftliche Forschung</w:t>
      </w:r>
    </w:p>
    <w:p>
      <w:pPr>
        <w:pStyle w:val="Compact"/>
        <w:numPr>
          <w:ilvl w:val="0"/>
          <w:numId w:val="1008"/>
        </w:numPr>
      </w:pPr>
      <w:r>
        <w:rPr>
          <w:b/>
          <w:bCs/>
        </w:rPr>
        <w:t xml:space="preserve">Datenschutz:</w:t>
      </w:r>
      <w:r>
        <w:t xml:space="preserve"> </w:t>
      </w:r>
      <w:r>
        <w:t xml:space="preserve">Gewährleistung des Schutzes personenbezogener und unternehmensbezogener Daten nach § 16 BStatG</w:t>
      </w:r>
    </w:p>
    <w:p>
      <w:pPr>
        <w:pStyle w:val="Compact"/>
        <w:numPr>
          <w:ilvl w:val="0"/>
          <w:numId w:val="1008"/>
        </w:numPr>
      </w:pPr>
      <w:r>
        <w:rPr>
          <w:b/>
          <w:bCs/>
        </w:rPr>
        <w:t xml:space="preserve">Beratung:</w:t>
      </w:r>
      <w:r>
        <w:t xml:space="preserve"> </w:t>
      </w:r>
      <w:r>
        <w:t xml:space="preserve">Unterstützung der Forschenden bei der Datennutzung und methodischen Fragen</w:t>
      </w:r>
    </w:p>
    <w:p>
      <w:pPr>
        <w:pStyle w:val="Compact"/>
        <w:numPr>
          <w:ilvl w:val="0"/>
          <w:numId w:val="1008"/>
        </w:numPr>
      </w:pPr>
      <w:r>
        <w:rPr>
          <w:b/>
          <w:bCs/>
        </w:rPr>
        <w:t xml:space="preserve">Infrastruktur:</w:t>
      </w:r>
      <w:r>
        <w:t xml:space="preserve"> </w:t>
      </w:r>
      <w:r>
        <w:t xml:space="preserve">Bereitstellung einer sicheren und leistungsfähigen Auswertungsumgebung</w:t>
      </w:r>
    </w:p>
    <w:p>
      <w:pPr>
        <w:pStyle w:val="Compact"/>
        <w:numPr>
          <w:ilvl w:val="0"/>
          <w:numId w:val="1008"/>
        </w:numPr>
      </w:pPr>
      <w:r>
        <w:rPr>
          <w:b/>
          <w:bCs/>
        </w:rPr>
        <w:t xml:space="preserve">Regionalisierung:</w:t>
      </w:r>
      <w:r>
        <w:t xml:space="preserve"> </w:t>
      </w:r>
      <w:r>
        <w:t xml:space="preserve">Flächendeckende Standorte in ganz Deutschland für kurze Anfahrtswege</w:t>
      </w:r>
    </w:p>
    <w:bookmarkEnd w:id="32"/>
    <w:bookmarkStart w:id="33" w:name="technische-infrastruktur"/>
    <w:p>
      <w:pPr>
        <w:pStyle w:val="Heading3"/>
      </w:pPr>
      <w:r>
        <w:t xml:space="preserve">3.2 Technische Infrastruktur</w:t>
      </w:r>
    </w:p>
    <w:p>
      <w:pPr>
        <w:pStyle w:val="FirstParagraph"/>
      </w:pPr>
      <w:r>
        <w:rPr>
          <w:b/>
          <w:bCs/>
        </w:rPr>
        <w:t xml:space="preserve">Hardware-Ausstattung.</w:t>
      </w:r>
    </w:p>
    <w:p>
      <w:pPr>
        <w:pStyle w:val="BodyText"/>
      </w:pPr>
      <w:r>
        <w:t xml:space="preserve">Die technische Infrastruktur des FDZ-Bund umfasst verschiedene Systemkomponenten:</w:t>
      </w:r>
    </w:p>
    <w:p>
      <w:pPr>
        <w:pStyle w:val="BodyText"/>
      </w:pPr>
      <w:r>
        <w:rPr>
          <w:b/>
          <w:bCs/>
        </w:rPr>
        <w:t xml:space="preserve">Software-Umgebung.</w:t>
      </w:r>
    </w:p>
    <w:p>
      <w:pPr>
        <w:pStyle w:val="BodyText"/>
      </w:pPr>
      <w:r>
        <w:t xml:space="preserve">Den Forschenden stehen verschiedene Software-Tools zur Verfügung:</w:t>
      </w:r>
    </w:p>
    <w:p>
      <w:pPr>
        <w:pStyle w:val="Compact"/>
        <w:numPr>
          <w:ilvl w:val="0"/>
          <w:numId w:val="1009"/>
        </w:numPr>
      </w:pPr>
      <w:r>
        <w:rPr>
          <w:b/>
          <w:bCs/>
        </w:rPr>
        <w:t xml:space="preserve">Statistische Software:</w:t>
      </w:r>
      <w:r>
        <w:t xml:space="preserve"> </w:t>
      </w:r>
      <w:r>
        <w:t xml:space="preserve">R, Python, Stata, SAS, SPSS</w:t>
      </w:r>
    </w:p>
    <w:p>
      <w:pPr>
        <w:pStyle w:val="Compact"/>
        <w:numPr>
          <w:ilvl w:val="0"/>
          <w:numId w:val="1009"/>
        </w:numPr>
      </w:pPr>
      <w:r>
        <w:rPr>
          <w:b/>
          <w:bCs/>
        </w:rPr>
        <w:t xml:space="preserve">Datenbanksysteme:</w:t>
      </w:r>
      <w:r>
        <w:t xml:space="preserve"> </w:t>
      </w:r>
      <w:r>
        <w:t xml:space="preserve">PostgreSQL, DuckDB</w:t>
      </w:r>
    </w:p>
    <w:p>
      <w:pPr>
        <w:pStyle w:val="Compact"/>
        <w:numPr>
          <w:ilvl w:val="0"/>
          <w:numId w:val="1009"/>
        </w:numPr>
      </w:pPr>
      <w:r>
        <w:rPr>
          <w:b/>
          <w:bCs/>
        </w:rPr>
        <w:t xml:space="preserve">Entwicklungsumgebungen:</w:t>
      </w:r>
      <w:r>
        <w:t xml:space="preserve"> </w:t>
      </w:r>
      <w:r>
        <w:t xml:space="preserve">RStudio Server, JupyterLab</w:t>
      </w:r>
    </w:p>
    <w:p>
      <w:pPr>
        <w:pStyle w:val="Compact"/>
        <w:numPr>
          <w:ilvl w:val="0"/>
          <w:numId w:val="1009"/>
        </w:numPr>
      </w:pPr>
      <w:r>
        <w:rPr>
          <w:b/>
          <w:bCs/>
        </w:rPr>
        <w:t xml:space="preserve">Versionskontrolle:</w:t>
      </w:r>
      <w:r>
        <w:t xml:space="preserve"> </w:t>
      </w:r>
      <w:r>
        <w:t xml:space="preserve">Git (lokal, ohne externe Verbindung)</w:t>
      </w:r>
    </w:p>
    <w:bookmarkEnd w:id="33"/>
    <w:bookmarkStart w:id="34" w:name="infrastrukturkonzept"/>
    <w:p>
      <w:pPr>
        <w:pStyle w:val="Heading3"/>
      </w:pPr>
      <w:r>
        <w:t xml:space="preserve">3.3 Infrastrukturkonzept</w:t>
      </w:r>
    </w:p>
    <w:p>
      <w:pPr>
        <w:pStyle w:val="FirstParagraph"/>
      </w:pPr>
      <w:r>
        <w:rPr>
          <w:b/>
          <w:bCs/>
        </w:rPr>
        <w:t xml:space="preserve">Fachlich zentralisierte Datenhaltung.</w:t>
      </w:r>
    </w:p>
    <w:p>
      <w:pPr>
        <w:pStyle w:val="BodyText"/>
      </w:pPr>
      <w:r>
        <w:t xml:space="preserve">In Deutschland wird der überwiegende Teil der amtlichen Statistikproduktion dezentral in den Statistischen Ämtern der Länder durchgeführt (über 90% aller amtlichen Statistiken). Da sich wissenschaftliche Analysen in der Regel jedoch auf mehrere Bundesländer oder das gesamte Bundesgebiet beziehen, haben die FDZ eine</w:t>
      </w:r>
      <w:r>
        <w:t xml:space="preserve"> </w:t>
      </w:r>
      <w:r>
        <w:rPr>
          <w:b/>
          <w:bCs/>
        </w:rPr>
        <w:t xml:space="preserve">fachlich zentralisierte Datenhaltung</w:t>
      </w:r>
      <w:r>
        <w:t xml:space="preserve"> </w:t>
      </w:r>
      <w:r>
        <w:t xml:space="preserve">eingerichtet. Diese ermöglicht es, die Daten des gesamten Bundesgebiets länderübergreifend an jedem Standort bereitzustellen.</w:t>
      </w:r>
    </w:p>
    <w:p>
      <w:pPr>
        <w:pStyle w:val="BodyText"/>
      </w:pPr>
      <w:r>
        <w:rPr>
          <w:b/>
          <w:bCs/>
        </w:rPr>
        <w:t xml:space="preserve">Regionalisierte Infrastruktur.</w:t>
      </w:r>
    </w:p>
    <w:p>
      <w:pPr>
        <w:pStyle w:val="BodyText"/>
      </w:pPr>
      <w:r>
        <w:t xml:space="preserve">Die FDZ verfolgen das Ziel, immer in der Nähe der Wissenschaft zu sein. Dies wird durch über ganz Deutschland verteilte Standorte erreicht. Standorte befinden sich u.a. in:</w:t>
      </w:r>
    </w:p>
    <w:p>
      <w:pPr>
        <w:pStyle w:val="Compact"/>
        <w:numPr>
          <w:ilvl w:val="0"/>
          <w:numId w:val="1010"/>
        </w:numPr>
      </w:pPr>
      <w:r>
        <w:t xml:space="preserve">Berlin, Bonn, Wiesbaden (Bund)</w:t>
      </w:r>
    </w:p>
    <w:p>
      <w:pPr>
        <w:pStyle w:val="Compact"/>
        <w:numPr>
          <w:ilvl w:val="0"/>
          <w:numId w:val="1010"/>
        </w:numPr>
      </w:pPr>
      <w:r>
        <w:t xml:space="preserve">Bad Ems, Bremen, Dresden, Düsseldorf, Erfurt, Frankfurt, Hamburg, Hannover, Kiel, München, Stuttgart u.v.m. (Länder)</w:t>
      </w:r>
    </w:p>
    <w:bookmarkEnd w:id="34"/>
    <w:bookmarkStart w:id="35" w:name="zugangsformen-und-nutzungsmodelle"/>
    <w:p>
      <w:pPr>
        <w:pStyle w:val="Heading3"/>
      </w:pPr>
      <w:r>
        <w:t xml:space="preserve">3.4 Zugangsformen und Nutzungsmodelle</w:t>
      </w:r>
    </w:p>
    <w:p>
      <w:pPr>
        <w:pStyle w:val="FirstParagraph"/>
      </w:pPr>
      <w:r>
        <w:t xml:space="preserve">Die FDZ bieten verschiedene Zugangswege an, über die unterschiedlich anonymisierte Datenprodukte bereitgestellt werden:</w:t>
      </w:r>
    </w:p>
    <w:p>
      <w:pPr>
        <w:pStyle w:val="BodyText"/>
      </w:pPr>
      <w:r>
        <w:rPr>
          <w:b/>
          <w:bCs/>
        </w:rPr>
        <w:t xml:space="preserve">Off-Site-Zugang.</w:t>
      </w:r>
    </w:p>
    <w:p>
      <w:pPr>
        <w:pStyle w:val="Compact"/>
        <w:numPr>
          <w:ilvl w:val="0"/>
          <w:numId w:val="1011"/>
        </w:numPr>
      </w:pPr>
      <w:r>
        <w:rPr>
          <w:b/>
          <w:bCs/>
        </w:rPr>
        <w:t xml:space="preserve">Public Use Files (PUF):</w:t>
      </w:r>
      <w:r>
        <w:t xml:space="preserve"> </w:t>
      </w:r>
      <w:r>
        <w:t xml:space="preserve">Stark anonymisierte Daten für freie Nutzung</w:t>
      </w:r>
    </w:p>
    <w:p>
      <w:pPr>
        <w:pStyle w:val="Compact"/>
        <w:numPr>
          <w:ilvl w:val="0"/>
          <w:numId w:val="1011"/>
        </w:numPr>
      </w:pPr>
      <w:r>
        <w:rPr>
          <w:b/>
          <w:bCs/>
        </w:rPr>
        <w:t xml:space="preserve">Scientific Use Files (SUF):</w:t>
      </w:r>
      <w:r>
        <w:t xml:space="preserve"> </w:t>
      </w:r>
      <w:r>
        <w:t xml:space="preserve">Faktisch anonymisierte Daten für wissenschaftliche Zwecke</w:t>
      </w:r>
    </w:p>
    <w:p>
      <w:pPr>
        <w:pStyle w:val="Compact"/>
        <w:numPr>
          <w:ilvl w:val="0"/>
          <w:numId w:val="1011"/>
        </w:numPr>
      </w:pPr>
      <w:r>
        <w:rPr>
          <w:b/>
          <w:bCs/>
        </w:rPr>
        <w:t xml:space="preserve">Remote Scientific Use Files (Remote-SUF):</w:t>
      </w:r>
      <w:r>
        <w:t xml:space="preserve"> </w:t>
      </w:r>
      <w:r>
        <w:t xml:space="preserve">Neuer Zugangsweg mit höherer Detailtiefe</w:t>
      </w:r>
    </w:p>
    <w:p>
      <w:pPr>
        <w:pStyle w:val="FirstParagraph"/>
      </w:pPr>
      <w:r>
        <w:rPr>
          <w:b/>
          <w:bCs/>
        </w:rPr>
        <w:t xml:space="preserve">On-Site-Zugang.</w:t>
      </w:r>
    </w:p>
    <w:p>
      <w:pPr>
        <w:pStyle w:val="Compact"/>
        <w:numPr>
          <w:ilvl w:val="0"/>
          <w:numId w:val="1012"/>
        </w:numPr>
      </w:pPr>
      <w:r>
        <w:rPr>
          <w:b/>
          <w:bCs/>
        </w:rPr>
        <w:t xml:space="preserve">Gastwissenschaftsarbeitsplatz (GWAP):</w:t>
      </w:r>
      <w:r>
        <w:t xml:space="preserve"> </w:t>
      </w:r>
      <w:r>
        <w:t xml:space="preserve">Zugang zu formal anonymisierten Daten vor Ort</w:t>
      </w:r>
    </w:p>
    <w:p>
      <w:pPr>
        <w:pStyle w:val="Compact"/>
        <w:numPr>
          <w:ilvl w:val="1"/>
          <w:numId w:val="1013"/>
        </w:numPr>
      </w:pPr>
      <w:r>
        <w:t xml:space="preserve">Vorteile: Höchste Datendetailtiefe, direkte Beratung</w:t>
      </w:r>
    </w:p>
    <w:p>
      <w:pPr>
        <w:pStyle w:val="Compact"/>
        <w:numPr>
          <w:ilvl w:val="1"/>
          <w:numId w:val="1013"/>
        </w:numPr>
      </w:pPr>
      <w:r>
        <w:t xml:space="preserve">Anforderungen: Terminvereinbarung, Zutrittskontrolle, Output-Kontrolle</w:t>
      </w:r>
    </w:p>
    <w:p>
      <w:pPr>
        <w:pStyle w:val="Compact"/>
        <w:numPr>
          <w:ilvl w:val="0"/>
          <w:numId w:val="1012"/>
        </w:numPr>
      </w:pPr>
      <w:r>
        <w:rPr>
          <w:b/>
          <w:bCs/>
        </w:rPr>
        <w:t xml:space="preserve">Kontrollierte Datenfernverarbeitung (KDFV):</w:t>
      </w:r>
      <w:r>
        <w:t xml:space="preserve"> </w:t>
      </w:r>
      <w:r>
        <w:t xml:space="preserve">Remote-Ausführung von Analyseskripten</w:t>
      </w:r>
    </w:p>
    <w:p>
      <w:pPr>
        <w:pStyle w:val="Compact"/>
        <w:numPr>
          <w:ilvl w:val="1"/>
          <w:numId w:val="1014"/>
        </w:numPr>
      </w:pPr>
      <w:r>
        <w:t xml:space="preserve">Vorteile: Keine Anreise, zeitlich flexibel</w:t>
      </w:r>
    </w:p>
    <w:p>
      <w:pPr>
        <w:pStyle w:val="Compact"/>
        <w:numPr>
          <w:ilvl w:val="1"/>
          <w:numId w:val="1014"/>
        </w:numPr>
      </w:pPr>
      <w:r>
        <w:t xml:space="preserve">Einschränkungen: Keine interaktive Arbeit, Ergebnisfreigabe erforderlich</w:t>
      </w:r>
    </w:p>
    <w:bookmarkEnd w:id="35"/>
    <w:bookmarkStart w:id="36" w:name="datenschutz-und-sicherheit"/>
    <w:p>
      <w:pPr>
        <w:pStyle w:val="Heading3"/>
      </w:pPr>
      <w:r>
        <w:t xml:space="preserve">3.5 Datenschutz und Sicherheit</w:t>
      </w:r>
    </w:p>
    <w:p>
      <w:pPr>
        <w:pStyle w:val="FirstParagraph"/>
      </w:pPr>
      <w:r>
        <w:rPr>
          <w:b/>
          <w:bCs/>
        </w:rPr>
        <w:t xml:space="preserve">Mehrstufiges Sicherheitskonzept.</w:t>
      </w:r>
    </w:p>
    <w:p>
      <w:pPr>
        <w:pStyle w:val="BodyText"/>
      </w:pPr>
      <w:r>
        <w:t xml:space="preserve">Das FDZ-Bund implementiert ein umfassendes Sicherheitskonzept:</w:t>
      </w:r>
    </w:p>
    <w:p>
      <w:pPr>
        <w:pStyle w:val="Compact"/>
        <w:numPr>
          <w:ilvl w:val="0"/>
          <w:numId w:val="1015"/>
        </w:numPr>
      </w:pPr>
      <w:r>
        <w:rPr>
          <w:b/>
          <w:bCs/>
        </w:rPr>
        <w:t xml:space="preserve">Physische Sicherheit:</w:t>
      </w:r>
      <w:r>
        <w:t xml:space="preserve"> </w:t>
      </w:r>
      <w:r>
        <w:t xml:space="preserve">Zutrittskontrolle, gesicherte Räumlichkeiten</w:t>
      </w:r>
    </w:p>
    <w:p>
      <w:pPr>
        <w:pStyle w:val="Compact"/>
        <w:numPr>
          <w:ilvl w:val="0"/>
          <w:numId w:val="1015"/>
        </w:numPr>
      </w:pPr>
      <w:r>
        <w:rPr>
          <w:b/>
          <w:bCs/>
        </w:rPr>
        <w:t xml:space="preserve">Netzwerksicherheit:</w:t>
      </w:r>
      <w:r>
        <w:t xml:space="preserve"> </w:t>
      </w:r>
      <w:r>
        <w:t xml:space="preserve">Isolierte Netzwerke, Firewalls, Intrusion Detection</w:t>
      </w:r>
    </w:p>
    <w:p>
      <w:pPr>
        <w:pStyle w:val="Compact"/>
        <w:numPr>
          <w:ilvl w:val="0"/>
          <w:numId w:val="1015"/>
        </w:numPr>
      </w:pPr>
      <w:r>
        <w:rPr>
          <w:b/>
          <w:bCs/>
        </w:rPr>
        <w:t xml:space="preserve">Zugriffsrechte:</w:t>
      </w:r>
      <w:r>
        <w:t xml:space="preserve"> </w:t>
      </w:r>
      <w:r>
        <w:t xml:space="preserve">Rollenbasierte Zugriffskontrolle, Authentifizierung</w:t>
      </w:r>
    </w:p>
    <w:p>
      <w:pPr>
        <w:pStyle w:val="Compact"/>
        <w:numPr>
          <w:ilvl w:val="0"/>
          <w:numId w:val="1015"/>
        </w:numPr>
      </w:pPr>
      <w:r>
        <w:rPr>
          <w:b/>
          <w:bCs/>
        </w:rPr>
        <w:t xml:space="preserve">Output-Kontrolle:</w:t>
      </w:r>
      <w:r>
        <w:t xml:space="preserve"> </w:t>
      </w:r>
      <w:r>
        <w:t xml:space="preserve">Prüfung aller Ergebnisse vor Freigabe</w:t>
      </w:r>
    </w:p>
    <w:p>
      <w:pPr>
        <w:pStyle w:val="Compact"/>
        <w:numPr>
          <w:ilvl w:val="0"/>
          <w:numId w:val="1015"/>
        </w:numPr>
      </w:pPr>
      <w:r>
        <w:rPr>
          <w:b/>
          <w:bCs/>
        </w:rPr>
        <w:t xml:space="preserve">Audit-Logging:</w:t>
      </w:r>
      <w:r>
        <w:t xml:space="preserve"> </w:t>
      </w:r>
      <w:r>
        <w:t xml:space="preserve">Protokollierung aller Zugriffe und Operationen</w:t>
      </w:r>
    </w:p>
    <w:p>
      <w:pPr>
        <w:pStyle w:val="FirstParagraph"/>
      </w:pPr>
      <w:r>
        <w:rPr>
          <w:b/>
          <w:bCs/>
        </w:rPr>
        <w:t xml:space="preserve">Output-Kontrolle.</w:t>
      </w:r>
    </w:p>
    <w:p>
      <w:pPr>
        <w:pStyle w:val="BodyText"/>
      </w:pPr>
      <w:r>
        <w:t xml:space="preserve">Bevor Forschungsergebnisse das FDZ verlassen dürfen, durchlaufen sie eine mehrstufige Kontrolle:</w:t>
      </w:r>
    </w:p>
    <w:p>
      <w:pPr>
        <w:pStyle w:val="Compact"/>
        <w:numPr>
          <w:ilvl w:val="0"/>
          <w:numId w:val="1016"/>
        </w:numPr>
      </w:pPr>
      <w:r>
        <w:rPr>
          <w:b/>
          <w:bCs/>
        </w:rPr>
        <w:t xml:space="preserve">Automatische Prüfung:</w:t>
      </w:r>
      <w:r>
        <w:t xml:space="preserve"> </w:t>
      </w:r>
      <w:r>
        <w:t xml:space="preserve">Screening auf kritische Werte (z.B. Fallzahlen &lt; 5)</w:t>
      </w:r>
    </w:p>
    <w:p>
      <w:pPr>
        <w:pStyle w:val="Compact"/>
        <w:numPr>
          <w:ilvl w:val="0"/>
          <w:numId w:val="1016"/>
        </w:numPr>
      </w:pPr>
      <w:r>
        <w:rPr>
          <w:b/>
          <w:bCs/>
        </w:rPr>
        <w:t xml:space="preserve">Manuelle Prüfung:</w:t>
      </w:r>
      <w:r>
        <w:t xml:space="preserve"> </w:t>
      </w:r>
      <w:r>
        <w:t xml:space="preserve">Sichtung durch geschulte Mitarbeiter</w:t>
      </w:r>
    </w:p>
    <w:p>
      <w:pPr>
        <w:pStyle w:val="Compact"/>
        <w:numPr>
          <w:ilvl w:val="0"/>
          <w:numId w:val="1016"/>
        </w:numPr>
      </w:pPr>
      <w:r>
        <w:rPr>
          <w:b/>
          <w:bCs/>
        </w:rPr>
        <w:t xml:space="preserve">Dokumentation:</w:t>
      </w:r>
      <w:r>
        <w:t xml:space="preserve"> </w:t>
      </w:r>
      <w:r>
        <w:t xml:space="preserve">Nachvollziehbare Begründung der Freigabeentscheidung</w:t>
      </w:r>
    </w:p>
    <w:bookmarkEnd w:id="36"/>
    <w:bookmarkStart w:id="41" w:name="X065dfdad78c41972bb2f45e4adcbdb053463e6a"/>
    <w:p>
      <w:pPr>
        <w:pStyle w:val="Heading3"/>
      </w:pPr>
      <w:r>
        <w:t xml:space="preserve">3.6 Performanz-Optimierung in der FDZ-Umgebung</w:t>
      </w:r>
    </w:p>
    <w:p>
      <w:pPr>
        <w:pStyle w:val="FirstParagraph"/>
      </w:pPr>
      <w:r>
        <w:rPr>
          <w:b/>
          <w:bCs/>
        </w:rPr>
        <w:t xml:space="preserve">Herausforderungen.</w:t>
      </w:r>
    </w:p>
    <w:p>
      <w:pPr>
        <w:pStyle w:val="BodyText"/>
      </w:pPr>
      <w:r>
        <w:t xml:space="preserve">Die Arbeit in der geschützten FDZ-Umgebung stellt besondere Anforderungen:</w:t>
      </w:r>
    </w:p>
    <w:p>
      <w:pPr>
        <w:pStyle w:val="Compact"/>
        <w:numPr>
          <w:ilvl w:val="0"/>
          <w:numId w:val="1017"/>
        </w:numPr>
      </w:pPr>
      <w:r>
        <w:rPr>
          <w:b/>
          <w:bCs/>
        </w:rPr>
        <w:t xml:space="preserve">Begrenzte Ressourcen:</w:t>
      </w:r>
      <w:r>
        <w:t xml:space="preserve"> </w:t>
      </w:r>
      <w:r>
        <w:t xml:space="preserve">Mehrere Nutzer teilen sich die verfügbare Hardware</w:t>
      </w:r>
    </w:p>
    <w:p>
      <w:pPr>
        <w:pStyle w:val="Compact"/>
        <w:numPr>
          <w:ilvl w:val="0"/>
          <w:numId w:val="1017"/>
        </w:numPr>
      </w:pPr>
      <w:r>
        <w:rPr>
          <w:b/>
          <w:bCs/>
        </w:rPr>
        <w:t xml:space="preserve">Keine Cloud-Dienste:</w:t>
      </w:r>
      <w:r>
        <w:t xml:space="preserve"> </w:t>
      </w:r>
      <w:r>
        <w:t xml:space="preserve">Externe Rechenressourcen können nicht genutzt werden</w:t>
      </w:r>
    </w:p>
    <w:p>
      <w:pPr>
        <w:pStyle w:val="Compact"/>
        <w:numPr>
          <w:ilvl w:val="0"/>
          <w:numId w:val="1017"/>
        </w:numPr>
      </w:pPr>
      <w:r>
        <w:rPr>
          <w:b/>
          <w:bCs/>
        </w:rPr>
        <w:t xml:space="preserve">Datengröße:</w:t>
      </w:r>
      <w:r>
        <w:t xml:space="preserve"> </w:t>
      </w:r>
      <w:r>
        <w:t xml:space="preserve">Große Datensätze müssen effizient verarbeitet werden</w:t>
      </w:r>
    </w:p>
    <w:p>
      <w:pPr>
        <w:pStyle w:val="Compact"/>
        <w:numPr>
          <w:ilvl w:val="0"/>
          <w:numId w:val="1017"/>
        </w:numPr>
      </w:pPr>
      <w:r>
        <w:rPr>
          <w:b/>
          <w:bCs/>
        </w:rPr>
        <w:t xml:space="preserve">Reproduzierbarkeit:</w:t>
      </w:r>
      <w:r>
        <w:t xml:space="preserve"> </w:t>
      </w:r>
      <w:r>
        <w:t xml:space="preserve">Analysen müssen dokumentiert und nachvollziehbar sein</w:t>
      </w:r>
    </w:p>
    <w:p>
      <w:pPr>
        <w:pStyle w:val="FirstParagraph"/>
      </w:pPr>
      <w:r>
        <w:rPr>
          <w:b/>
          <w:bCs/>
        </w:rPr>
        <w:t xml:space="preserve">Optimierungsstrategien.</w:t>
      </w:r>
    </w:p>
    <w:p>
      <w:pPr>
        <w:pStyle w:val="BodyText"/>
      </w:pPr>
      <w:r>
        <w:t xml:space="preserve">Verschiedene Strategien helfen, die Performanz zu optimieren:</w:t>
      </w:r>
    </w:p>
    <w:tbl>
      <w:tblPr>
        <w:tblStyle w:val="Table"/>
        <w:tblW w:type="pct" w:w="5000"/>
        <w:tblLayout w:type="fixed"/>
        <w:tblLook w:firstRow="0" w:lastRow="0" w:firstColumn="0" w:lastColumn="0" w:noHBand="0" w:noVBand="0" w:val="0000"/>
      </w:tblPr>
      <w:tblGrid>
        <w:gridCol w:w="7920"/>
      </w:tblGrid>
      <w:tr>
        <w:tc>
          <w:tcPr/>
          <w:bookmarkStart w:id="40" w:name="fig-optimization-strategies"/>
          <w:p>
            <w:pPr>
              <w:pStyle w:val="Compact"/>
              <w:jc w:val="center"/>
            </w:pPr>
            <w:r>
              <w:drawing>
                <wp:inline>
                  <wp:extent cx="6108700" cy="3054350"/>
                  <wp:effectExtent b="0" l="0" r="0" t="0"/>
                  <wp:docPr descr="" title="" id="38" name="Picture"/>
                  <a:graphic>
                    <a:graphicData uri="http://schemas.openxmlformats.org/drawingml/2006/picture">
                      <pic:pic>
                        <pic:nvPicPr>
                          <pic:cNvPr descr="index_files/figure-docx/fig-optimization-strategies-1.png" id="39" name="Picture"/>
                          <pic:cNvPicPr>
                            <a:picLocks noChangeArrowheads="1" noChangeAspect="1"/>
                          </pic:cNvPicPr>
                        </pic:nvPicPr>
                        <pic:blipFill>
                          <a:blip r:embed="rId37"/>
                          <a:stretch>
                            <a:fillRect/>
                          </a:stretch>
                        </pic:blipFill>
                        <pic:spPr bwMode="auto">
                          <a:xfrm>
                            <a:off x="0" y="0"/>
                            <a:ext cx="6108700" cy="3054350"/>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1: Strategien zur Performanz-Optimierung im FDZ-Bund</w:t>
            </w:r>
          </w:p>
          <w:bookmarkEnd w:id="40"/>
        </w:tc>
      </w:tr>
    </w:tbl>
    <w:bookmarkEnd w:id="41"/>
    <w:bookmarkStart w:id="42" w:name="akkreditierung-und-qualitätssicherung"/>
    <w:p>
      <w:pPr>
        <w:pStyle w:val="Heading3"/>
      </w:pPr>
      <w:r>
        <w:t xml:space="preserve">3.7 Akkreditierung und Qualitätssicherung</w:t>
      </w:r>
    </w:p>
    <w:p>
      <w:pPr>
        <w:pStyle w:val="FirstParagraph"/>
      </w:pPr>
      <w:r>
        <w:t xml:space="preserve">Die Forschungsdatenzentren der Statistischen Ämter des Bundes und der Länder sind durch den</w:t>
      </w:r>
      <w:r>
        <w:t xml:space="preserve"> </w:t>
      </w:r>
      <w:r>
        <w:rPr>
          <w:b/>
          <w:bCs/>
        </w:rPr>
        <w:t xml:space="preserve">Rat für Sozial- und WirtschaftsDaten (RatSWD) akkreditiert</w:t>
      </w:r>
      <w:r>
        <w:t xml:space="preserve">. Der RatSWD akkreditiert seit 2008 Forschungsdatenzentren, die den Zugang zu qualitativ hochwertigen sensiblen Daten für die Wissenschaft ermöglichen und dabei die erforderlichen Kriterien erfüllen.</w:t>
      </w:r>
    </w:p>
    <w:bookmarkEnd w:id="42"/>
    <w:bookmarkStart w:id="43" w:name="best-practices-für-fdz-nutzende"/>
    <w:p>
      <w:pPr>
        <w:pStyle w:val="Heading3"/>
      </w:pPr>
      <w:r>
        <w:t xml:space="preserve">3.8 Best Practices für FDZ-Nutzende</w:t>
      </w:r>
    </w:p>
    <w:p>
      <w:pPr>
        <w:pStyle w:val="FirstParagraph"/>
      </w:pPr>
      <w:r>
        <w:t xml:space="preserve">Aus der Erfahrung mit den FDZ lassen sich folgende Empfehlungen für effizientes Arbeiten ableiten:</w:t>
      </w:r>
    </w:p>
    <w:p>
      <w:pPr>
        <w:pStyle w:val="Compact"/>
        <w:numPr>
          <w:ilvl w:val="0"/>
          <w:numId w:val="1018"/>
        </w:numPr>
      </w:pPr>
      <w:r>
        <w:rPr>
          <w:b/>
          <w:bCs/>
        </w:rPr>
        <w:t xml:space="preserve">Datenreduktion:</w:t>
      </w:r>
      <w:r>
        <w:t xml:space="preserve"> </w:t>
      </w:r>
      <w:r>
        <w:t xml:space="preserve">Frühzeitige Filterung auf relevante Beobachtungen und Variablen</w:t>
      </w:r>
    </w:p>
    <w:p>
      <w:pPr>
        <w:pStyle w:val="Compact"/>
        <w:numPr>
          <w:ilvl w:val="0"/>
          <w:numId w:val="1018"/>
        </w:numPr>
      </w:pPr>
      <w:r>
        <w:rPr>
          <w:b/>
          <w:bCs/>
        </w:rPr>
        <w:t xml:space="preserve">Inkrementelle Entwicklung:</w:t>
      </w:r>
      <w:r>
        <w:t xml:space="preserve"> </w:t>
      </w:r>
      <w:r>
        <w:t xml:space="preserve">Erst mit Stichproben arbeiten, dann auf Vollsatz skalieren</w:t>
      </w:r>
    </w:p>
    <w:p>
      <w:pPr>
        <w:pStyle w:val="Compact"/>
        <w:numPr>
          <w:ilvl w:val="0"/>
          <w:numId w:val="1018"/>
        </w:numPr>
      </w:pPr>
      <w:r>
        <w:rPr>
          <w:b/>
          <w:bCs/>
        </w:rPr>
        <w:t xml:space="preserve">Effiziente Datenformate:</w:t>
      </w:r>
      <w:r>
        <w:t xml:space="preserve"> </w:t>
      </w:r>
      <w:r>
        <w:t xml:space="preserve">Nutzung moderner Formate (Arrow/Parquet) statt CSV</w:t>
      </w:r>
    </w:p>
    <w:p>
      <w:pPr>
        <w:pStyle w:val="Compact"/>
        <w:numPr>
          <w:ilvl w:val="0"/>
          <w:numId w:val="1018"/>
        </w:numPr>
      </w:pPr>
      <w:r>
        <w:rPr>
          <w:b/>
          <w:bCs/>
        </w:rPr>
        <w:t xml:space="preserve">Dokumentation:</w:t>
      </w:r>
      <w:r>
        <w:t xml:space="preserve"> </w:t>
      </w:r>
      <w:r>
        <w:t xml:space="preserve">Sorgfältige Dokumentation des Analyseprozesses für Output-Kontrolle</w:t>
      </w:r>
    </w:p>
    <w:p>
      <w:pPr>
        <w:pStyle w:val="Compact"/>
        <w:numPr>
          <w:ilvl w:val="0"/>
          <w:numId w:val="1018"/>
        </w:numPr>
      </w:pPr>
      <w:r>
        <w:rPr>
          <w:b/>
          <w:bCs/>
        </w:rPr>
        <w:t xml:space="preserve">Ressourcenplanung:</w:t>
      </w:r>
      <w:r>
        <w:t xml:space="preserve"> </w:t>
      </w:r>
      <w:r>
        <w:t xml:space="preserve">Bewusste Planung rechenintensiver Operationen bei geteilter Infrastruktur</w:t>
      </w:r>
    </w:p>
    <w:p>
      <w:pPr>
        <w:pStyle w:val="Compact"/>
        <w:numPr>
          <w:ilvl w:val="0"/>
          <w:numId w:val="1018"/>
        </w:numPr>
      </w:pPr>
      <w:r>
        <w:rPr>
          <w:b/>
          <w:bCs/>
        </w:rPr>
        <w:t xml:space="preserve">Beratung nutzen:</w:t>
      </w:r>
      <w:r>
        <w:t xml:space="preserve"> </w:t>
      </w:r>
      <w:r>
        <w:t xml:space="preserve">Frühzeitige Kontaktaufnahme mit FDZ-Mitarbeitern bei methodischen Fragen</w:t>
      </w:r>
    </w:p>
    <w:bookmarkEnd w:id="43"/>
    <w:bookmarkEnd w:id="44"/>
    <w:bookmarkStart w:id="52" w:name="sec-methoden"/>
    <w:p>
      <w:pPr>
        <w:pStyle w:val="Heading2"/>
      </w:pPr>
      <w:r>
        <w:t xml:space="preserve">4 Effiziente Auswertungsmethoden</w:t>
      </w:r>
    </w:p>
    <w:bookmarkStart w:id="45" w:name="motivation"/>
    <w:p>
      <w:pPr>
        <w:pStyle w:val="Heading3"/>
      </w:pPr>
      <w:r>
        <w:t xml:space="preserve">4.1 Motivation</w:t>
      </w:r>
    </w:p>
    <w:p>
      <w:pPr>
        <w:pStyle w:val="FirstParagraph"/>
      </w:pPr>
      <w:r>
        <w:t xml:space="preserve">Die Analyse großer Datensätze wie des BTP (&gt;66 Millionen Einheiten, &gt;2.700 Variablen) in der FDZ-Umgebung stellt besondere Anforderungen an die verwendeten Werkzeuge. Traditionelle Ansätze (CSV-Dateien, Base R) stoßen bei dieser Datengröße an ihre Grenzen. Moderne spaltenorientierte Technologien bieten hier deutliche Vorteile.</w:t>
      </w:r>
    </w:p>
    <w:bookmarkEnd w:id="45"/>
    <w:bookmarkStart w:id="46" w:name="X0d01e63bc73b8addef3923c786fb1adcc44e63d"/>
    <w:p>
      <w:pPr>
        <w:pStyle w:val="Heading3"/>
      </w:pPr>
      <w:r>
        <w:t xml:space="preserve">4.2 Apache Arrow: Spaltenorientiertes In-Memory-Format</w:t>
      </w:r>
    </w:p>
    <w:p>
      <w:pPr>
        <w:pStyle w:val="FirstParagraph"/>
      </w:pPr>
      <w:r>
        <w:rPr>
          <w:b/>
          <w:bCs/>
        </w:rPr>
        <w:t xml:space="preserve">Grundprinzip.</w:t>
      </w:r>
    </w:p>
    <w:p>
      <w:pPr>
        <w:pStyle w:val="BodyText"/>
      </w:pPr>
      <w:r>
        <w:t xml:space="preserve">Apache Arrow ist ein sprach- und plattformübergreifendes In-Memory-Format für spaltenorientierte Datenverarbeitung. Im Gegensatz zu zeilenorientierten Formaten werden Daten spaltenweise organisiert, was erhebliche Vorteile bietet:</w:t>
      </w:r>
    </w:p>
    <w:p>
      <w:pPr>
        <w:pStyle w:val="Compact"/>
        <w:numPr>
          <w:ilvl w:val="0"/>
          <w:numId w:val="1019"/>
        </w:numPr>
      </w:pPr>
      <w:r>
        <w:rPr>
          <w:b/>
          <w:bCs/>
        </w:rPr>
        <w:t xml:space="preserve">Effiziente Kompression:</w:t>
      </w:r>
      <w:r>
        <w:t xml:space="preserve"> </w:t>
      </w:r>
      <w:r>
        <w:t xml:space="preserve">Ähnliche Werte in einer Spalte lassen sich besser komprimieren</w:t>
      </w:r>
    </w:p>
    <w:p>
      <w:pPr>
        <w:pStyle w:val="Compact"/>
        <w:numPr>
          <w:ilvl w:val="0"/>
          <w:numId w:val="1019"/>
        </w:numPr>
      </w:pPr>
      <w:r>
        <w:rPr>
          <w:b/>
          <w:bCs/>
        </w:rPr>
        <w:t xml:space="preserve">Schnellere Aggregationen:</w:t>
      </w:r>
      <w:r>
        <w:t xml:space="preserve"> </w:t>
      </w:r>
      <w:r>
        <w:t xml:space="preserve">Nur benötigte Spalten müssen gelesen werden (Columnar Scanning)</w:t>
      </w:r>
    </w:p>
    <w:p>
      <w:pPr>
        <w:pStyle w:val="Compact"/>
        <w:numPr>
          <w:ilvl w:val="0"/>
          <w:numId w:val="1019"/>
        </w:numPr>
      </w:pPr>
      <w:r>
        <w:rPr>
          <w:b/>
          <w:bCs/>
        </w:rPr>
        <w:t xml:space="preserve">Zero-Copy:</w:t>
      </w:r>
      <w:r>
        <w:t xml:space="preserve"> </w:t>
      </w:r>
      <w:r>
        <w:t xml:space="preserve">Daten können ohne Kopieren zwischen Prozessen und Sprachen ausgetauscht werden</w:t>
      </w:r>
    </w:p>
    <w:p>
      <w:pPr>
        <w:pStyle w:val="Compact"/>
        <w:numPr>
          <w:ilvl w:val="0"/>
          <w:numId w:val="1019"/>
        </w:numPr>
      </w:pPr>
      <w:r>
        <w:rPr>
          <w:b/>
          <w:bCs/>
        </w:rPr>
        <w:t xml:space="preserve">SIMD-Optimierung:</w:t>
      </w:r>
      <w:r>
        <w:t xml:space="preserve"> </w:t>
      </w:r>
      <w:r>
        <w:t xml:space="preserve">Moderne CPU-Instruktionen können effizient genutzt werden</w:t>
      </w:r>
    </w:p>
    <w:p>
      <w:pPr>
        <w:pStyle w:val="FirstParagraph"/>
      </w:pPr>
      <w:r>
        <w:rPr>
          <w:b/>
          <w:bCs/>
        </w:rPr>
        <w:t xml:space="preserve">Anwendung in R.</w:t>
      </w:r>
    </w:p>
    <w:p>
      <w:pPr>
        <w:pStyle w:val="BodyText"/>
      </w:pPr>
      <w:r>
        <w:t xml:space="preserve">Das</w:t>
      </w:r>
      <w:r>
        <w:t xml:space="preserve"> </w:t>
      </w:r>
      <w:r>
        <w:rPr>
          <w:rStyle w:val="VerbatimChar"/>
        </w:rPr>
        <w:t xml:space="preserve">arrow</w:t>
      </w:r>
      <w:r>
        <w:t xml:space="preserve">-Paket in R bietet vollständige Integration:</w:t>
      </w:r>
    </w:p>
    <w:p>
      <w:pPr>
        <w:pStyle w:val="SourceCode"/>
      </w:pPr>
      <w:r>
        <w:rPr>
          <w:rStyle w:val="FunctionTok"/>
        </w:rPr>
        <w:t xml:space="preserve">library</w:t>
      </w:r>
      <w:r>
        <w:rPr>
          <w:rStyle w:val="NormalTok"/>
        </w:rPr>
        <w:t xml:space="preserve">(arrow)</w:t>
      </w:r>
      <w:r>
        <w:br/>
      </w:r>
      <w:r>
        <w:br/>
      </w:r>
      <w:r>
        <w:rPr>
          <w:rStyle w:val="DocumentationTok"/>
        </w:rPr>
        <w:t xml:space="preserve">## Lesen eines Parquet-Datasets mit Filterung</w:t>
      </w:r>
      <w:r>
        <w:br/>
      </w:r>
      <w:r>
        <w:rPr>
          <w:rStyle w:val="NormalTok"/>
        </w:rPr>
        <w:t xml:space="preserve">dataset </w:t>
      </w:r>
      <w:r>
        <w:rPr>
          <w:rStyle w:val="OtherTok"/>
        </w:rPr>
        <w:t xml:space="preserve">&lt;-</w:t>
      </w:r>
      <w:r>
        <w:rPr>
          <w:rStyle w:val="NormalTok"/>
        </w:rPr>
        <w:t xml:space="preserve"> </w:t>
      </w:r>
      <w:r>
        <w:rPr>
          <w:rStyle w:val="FunctionTok"/>
        </w:rPr>
        <w:t xml:space="preserve">open_dataset</w:t>
      </w:r>
      <w:r>
        <w:rPr>
          <w:rStyle w:val="NormalTok"/>
        </w:rPr>
        <w:t xml:space="preserve">(</w:t>
      </w:r>
      <w:r>
        <w:rPr>
          <w:rStyle w:val="StringTok"/>
        </w:rPr>
        <w:t xml:space="preserve">"btp_data.parquet"</w:t>
      </w:r>
      <w:r>
        <w:rPr>
          <w:rStyle w:val="NormalTok"/>
        </w:rPr>
        <w:t xml:space="preserve">)</w:t>
      </w:r>
      <w:r>
        <w:br/>
      </w:r>
      <w:r>
        <w:br/>
      </w:r>
      <w:r>
        <w:rPr>
          <w:rStyle w:val="NormalTok"/>
        </w:rPr>
        <w:t xml:space="preserve">result </w:t>
      </w:r>
      <w:r>
        <w:rPr>
          <w:rStyle w:val="OtherTok"/>
        </w:rPr>
        <w:t xml:space="preserve">&lt;-</w:t>
      </w:r>
      <w:r>
        <w:rPr>
          <w:rStyle w:val="NormalTok"/>
        </w:rPr>
        <w:t xml:space="preserve"> dataset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2015</w:t>
      </w:r>
      <w:r>
        <w:rPr>
          <w:rStyle w:val="NormalTok"/>
        </w:rPr>
        <w:t xml:space="preserve">, sector </w:t>
      </w:r>
      <w:r>
        <w:rPr>
          <w:rStyle w:val="SpecialCharTok"/>
        </w:rPr>
        <w:t xml:space="preserve">==</w:t>
      </w:r>
      <w:r>
        <w:rPr>
          <w:rStyle w:val="NormalTok"/>
        </w:rPr>
        <w:t xml:space="preserve"> </w:t>
      </w:r>
      <w:r>
        <w:rPr>
          <w:rStyle w:val="StringTok"/>
        </w:rPr>
        <w:t xml:space="preserve">"Manufacturing"</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(company_id, year, revenue, employees) </w:t>
      </w:r>
      <w:r>
        <w:rPr>
          <w:rStyle w:val="SpecialCharTok"/>
        </w:rPr>
        <w:t xml:space="preserve">|&gt;</w:t>
      </w:r>
      <w:r>
        <w:br/>
      </w:r>
      <w:r>
        <w:rPr>
          <w:rStyle w:val="NormalTok"/>
        </w:rPr>
        <w:t xml:space="preserve">  </w:t>
      </w:r>
      <w:r>
        <w:rPr>
          <w:rStyle w:val="FunctionTok"/>
        </w:rPr>
        <w:t xml:space="preserve">group_by</w:t>
      </w:r>
      <w:r>
        <w:rPr>
          <w:rStyle w:val="NormalTok"/>
        </w:rPr>
        <w:t xml:space="preserve">(year)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total_revenue =</w:t>
      </w:r>
      <w:r>
        <w:rPr>
          <w:rStyle w:val="NormalTok"/>
        </w:rPr>
        <w:t xml:space="preserve"> </w:t>
      </w:r>
      <w:r>
        <w:rPr>
          <w:rStyle w:val="FunctionTok"/>
        </w:rPr>
        <w:t xml:space="preserve">sum</w:t>
      </w:r>
      <w:r>
        <w:rPr>
          <w:rStyle w:val="NormalTok"/>
        </w:rPr>
        <w:t xml:space="preserve">(revenue),</w:t>
      </w:r>
      <w:r>
        <w:br/>
      </w:r>
      <w:r>
        <w:rPr>
          <w:rStyle w:val="NormalTok"/>
        </w:rPr>
        <w:t xml:space="preserve">    </w:t>
      </w:r>
      <w:r>
        <w:rPr>
          <w:rStyle w:val="AttributeTok"/>
        </w:rPr>
        <w:t xml:space="preserve">mean_employees =</w:t>
      </w:r>
      <w:r>
        <w:rPr>
          <w:rStyle w:val="NormalTok"/>
        </w:rPr>
        <w:t xml:space="preserve"> </w:t>
      </w:r>
      <w:r>
        <w:rPr>
          <w:rStyle w:val="FunctionTok"/>
        </w:rPr>
        <w:t xml:space="preserve">mean</w:t>
      </w:r>
      <w:r>
        <w:rPr>
          <w:rStyle w:val="NormalTok"/>
        </w:rPr>
        <w:t xml:space="preserve">(employees)</w:t>
      </w:r>
      <w:r>
        <w:br/>
      </w:r>
      <w:r>
        <w:rPr>
          <w:rStyle w:val="NormalTok"/>
        </w:rPr>
        <w:t xml:space="preserve">  ) </w:t>
      </w:r>
      <w:r>
        <w:rPr>
          <w:rStyle w:val="SpecialCharTok"/>
        </w:rPr>
        <w:t xml:space="preserve">|&gt;</w:t>
      </w:r>
      <w:r>
        <w:br/>
      </w:r>
      <w:r>
        <w:rPr>
          <w:rStyle w:val="NormalTok"/>
        </w:rPr>
        <w:t xml:space="preserve">  </w:t>
      </w:r>
      <w:r>
        <w:rPr>
          <w:rStyle w:val="FunctionTok"/>
        </w:rPr>
        <w:t xml:space="preserve">collect</w:t>
      </w:r>
      <w:r>
        <w:rPr>
          <w:rStyle w:val="NormalTok"/>
        </w:rPr>
        <w:t xml:space="preserve">()  </w:t>
      </w:r>
      <w:r>
        <w:rPr>
          <w:rStyle w:val="CommentTok"/>
        </w:rPr>
        <w:t xml:space="preserve"># Erst hier wird die Berechnung ausgeführt</w:t>
      </w:r>
    </w:p>
    <w:p>
      <w:pPr>
        <w:pStyle w:val="FirstParagraph"/>
      </w:pPr>
      <w:r>
        <w:rPr>
          <w:b/>
          <w:bCs/>
        </w:rPr>
        <w:t xml:space="preserve">Vorteile für FDZ-Analysen.</w:t>
      </w:r>
    </w:p>
    <w:p>
      <w:pPr>
        <w:pStyle w:val="Compact"/>
        <w:numPr>
          <w:ilvl w:val="0"/>
          <w:numId w:val="1020"/>
        </w:numPr>
      </w:pPr>
      <w:r>
        <w:rPr>
          <w:b/>
          <w:bCs/>
        </w:rPr>
        <w:t xml:space="preserve">Out-of-Core Processing:</w:t>
      </w:r>
      <w:r>
        <w:t xml:space="preserve"> </w:t>
      </w:r>
      <w:r>
        <w:t xml:space="preserve">Datensätze müssen nicht vollständig in den RAM passen</w:t>
      </w:r>
    </w:p>
    <w:p>
      <w:pPr>
        <w:pStyle w:val="Compact"/>
        <w:numPr>
          <w:ilvl w:val="0"/>
          <w:numId w:val="1020"/>
        </w:numPr>
      </w:pPr>
      <w:r>
        <w:rPr>
          <w:b/>
          <w:bCs/>
        </w:rPr>
        <w:t xml:space="preserve">Lazy Evaluation:</w:t>
      </w:r>
      <w:r>
        <w:t xml:space="preserve"> </w:t>
      </w:r>
      <w:r>
        <w:t xml:space="preserve">Operationen werden optimiert, bevor sie ausgeführt werden</w:t>
      </w:r>
    </w:p>
    <w:p>
      <w:pPr>
        <w:pStyle w:val="Compact"/>
        <w:numPr>
          <w:ilvl w:val="0"/>
          <w:numId w:val="1020"/>
        </w:numPr>
      </w:pPr>
      <w:r>
        <w:rPr>
          <w:b/>
          <w:bCs/>
        </w:rPr>
        <w:t xml:space="preserve">Predicate Pushdown:</w:t>
      </w:r>
      <w:r>
        <w:t xml:space="preserve"> </w:t>
      </w:r>
      <w:r>
        <w:t xml:space="preserve">Filter werden direkt beim Lesen angewendet</w:t>
      </w:r>
    </w:p>
    <w:p>
      <w:pPr>
        <w:pStyle w:val="Compact"/>
        <w:numPr>
          <w:ilvl w:val="0"/>
          <w:numId w:val="1020"/>
        </w:numPr>
      </w:pPr>
      <w:r>
        <w:rPr>
          <w:b/>
          <w:bCs/>
        </w:rPr>
        <w:t xml:space="preserve">Partitionierung:</w:t>
      </w:r>
      <w:r>
        <w:t xml:space="preserve"> </w:t>
      </w:r>
      <w:r>
        <w:t xml:space="preserve">Datensätze können nach Kriterien (z.B. Jahr) partitioniert werden</w:t>
      </w:r>
    </w:p>
    <w:p>
      <w:pPr>
        <w:pStyle w:val="FirstParagraph"/>
      </w:pPr>
      <w:r>
        <w:rPr>
          <w:b/>
          <w:bCs/>
        </w:rPr>
        <w:t xml:space="preserve">Limitationen.</w:t>
      </w:r>
    </w:p>
    <w:p>
      <w:pPr>
        <w:pStyle w:val="Compact"/>
        <w:numPr>
          <w:ilvl w:val="0"/>
          <w:numId w:val="1021"/>
        </w:numPr>
      </w:pPr>
      <w:r>
        <w:rPr>
          <w:b/>
          <w:bCs/>
        </w:rPr>
        <w:t xml:space="preserve">Lernkurve:</w:t>
      </w:r>
      <w:r>
        <w:t xml:space="preserve"> </w:t>
      </w:r>
      <w:r>
        <w:t xml:space="preserve">Neue Syntax für Nutzer mit Base-R-Erfahrung</w:t>
      </w:r>
    </w:p>
    <w:p>
      <w:pPr>
        <w:pStyle w:val="Compact"/>
        <w:numPr>
          <w:ilvl w:val="0"/>
          <w:numId w:val="1021"/>
        </w:numPr>
      </w:pPr>
      <w:r>
        <w:rPr>
          <w:b/>
          <w:bCs/>
        </w:rPr>
        <w:t xml:space="preserve">Noch in Entwicklung:</w:t>
      </w:r>
      <w:r>
        <w:t xml:space="preserve"> </w:t>
      </w:r>
      <w:r>
        <w:t xml:space="preserve">Nicht alle R-Funktionen werden unterstützt</w:t>
      </w:r>
    </w:p>
    <w:p>
      <w:pPr>
        <w:pStyle w:val="Compact"/>
        <w:numPr>
          <w:ilvl w:val="0"/>
          <w:numId w:val="1021"/>
        </w:numPr>
      </w:pPr>
      <w:r>
        <w:rPr>
          <w:b/>
          <w:bCs/>
        </w:rPr>
        <w:t xml:space="preserve">Setup-Aufwand:</w:t>
      </w:r>
      <w:r>
        <w:t xml:space="preserve"> </w:t>
      </w:r>
      <w:r>
        <w:t xml:space="preserve">Daten müssen einmalig ins Parquet-Format konvertiert werden</w:t>
      </w:r>
    </w:p>
    <w:bookmarkEnd w:id="46"/>
    <w:bookmarkStart w:id="48" w:name="Xb2b0298cd5f1655a3e3479efa30bf4e0e87d628"/>
    <w:p>
      <w:pPr>
        <w:pStyle w:val="Heading3"/>
      </w:pPr>
      <w:r>
        <w:t xml:space="preserve">4.3 Parquet: Persistentes spaltenorientiertes Format</w:t>
      </w:r>
    </w:p>
    <w:p>
      <w:pPr>
        <w:pStyle w:val="FirstParagraph"/>
      </w:pPr>
      <w:r>
        <w:rPr>
          <w:b/>
          <w:bCs/>
        </w:rPr>
        <w:t xml:space="preserve">Eigenschaften.</w:t>
      </w:r>
    </w:p>
    <w:p>
      <w:pPr>
        <w:pStyle w:val="BodyText"/>
      </w:pPr>
      <w:r>
        <w:t xml:space="preserve">Parquet ist ein spaltenorientiertes Speicherformat, das optimal mit Arrow zusammenarbeitet:</w:t>
      </w:r>
    </w:p>
    <w:p>
      <w:pPr>
        <w:pStyle w:val="Compact"/>
        <w:numPr>
          <w:ilvl w:val="0"/>
          <w:numId w:val="1022"/>
        </w:numPr>
      </w:pPr>
      <w:r>
        <w:rPr>
          <w:b/>
          <w:bCs/>
        </w:rPr>
        <w:t xml:space="preserve">Kompression:</w:t>
      </w:r>
      <w:r>
        <w:t xml:space="preserve"> </w:t>
      </w:r>
      <w:r>
        <w:t xml:space="preserve">Typischerweise 5-10x kleinere Dateien als CSV</w:t>
      </w:r>
    </w:p>
    <w:p>
      <w:pPr>
        <w:pStyle w:val="Compact"/>
        <w:numPr>
          <w:ilvl w:val="0"/>
          <w:numId w:val="1022"/>
        </w:numPr>
      </w:pPr>
      <w:r>
        <w:rPr>
          <w:b/>
          <w:bCs/>
        </w:rPr>
        <w:t xml:space="preserve">Metadaten:</w:t>
      </w:r>
      <w:r>
        <w:t xml:space="preserve"> </w:t>
      </w:r>
      <w:r>
        <w:t xml:space="preserve">Enthält Schema-Informationen und Statistiken</w:t>
      </w:r>
    </w:p>
    <w:p>
      <w:pPr>
        <w:pStyle w:val="Compact"/>
        <w:numPr>
          <w:ilvl w:val="0"/>
          <w:numId w:val="1022"/>
        </w:numPr>
      </w:pPr>
      <w:r>
        <w:rPr>
          <w:b/>
          <w:bCs/>
        </w:rPr>
        <w:t xml:space="preserve">Partitionierung:</w:t>
      </w:r>
      <w:r>
        <w:t xml:space="preserve"> </w:t>
      </w:r>
      <w:r>
        <w:t xml:space="preserve">Ermöglicht selektives Lesen nach Partitionskeys</w:t>
      </w:r>
    </w:p>
    <w:p>
      <w:pPr>
        <w:pStyle w:val="Compact"/>
        <w:numPr>
          <w:ilvl w:val="0"/>
          <w:numId w:val="1022"/>
        </w:numPr>
      </w:pPr>
      <w:r>
        <w:rPr>
          <w:b/>
          <w:bCs/>
        </w:rPr>
        <w:t xml:space="preserve">Kompatibilität:</w:t>
      </w:r>
      <w:r>
        <w:t xml:space="preserve"> </w:t>
      </w:r>
      <w:r>
        <w:t xml:space="preserve">Von vielen Tools unterstützt (R, Python, Spark, DuckDB)</w:t>
      </w:r>
    </w:p>
    <w:p>
      <w:pPr>
        <w:pStyle w:val="FirstParagraph"/>
      </w:pPr>
      <w:r>
        <w:rPr>
          <w:b/>
          <w:bCs/>
        </w:rPr>
        <w:t xml:space="preserve">Vergleich zu Alternativen.</w:t>
      </w:r>
    </w:p>
    <w:tbl>
      <w:tblPr>
        <w:tblStyle w:val="Table"/>
        <w:tblW w:type="pct" w:w="5000"/>
        <w:tblLayout w:type="fixed"/>
        <w:tblLook w:firstRow="0" w:lastRow="0" w:firstColumn="0" w:lastColumn="0" w:noHBand="0" w:noVBand="0" w:val="0000"/>
      </w:tblPr>
      <w:tblGrid>
        <w:gridCol w:w="7920"/>
      </w:tblGrid>
      <w:tr>
        <w:tc>
          <w:tcPr/>
          <w:bookmarkStart w:id="47" w:name="tbl-format-comparison"/>
          <w:p>
            <w:pPr>
              <w:jc w:val="center"/>
            </w:pPr>
            <w:pPr>
              <w:jc w:val="left"/>
              <w:spacing w:before="200"/>
              <w:pStyle w:val="ImageCaption"/>
            </w:pPr>
            <w:r>
              <w:t xml:space="preserve">Tabelle 2: Vergleich verschiedener Datenformate für die BTP-Analyse</w:t>
            </w:r>
          </w:p>
          <w:tbl>
            <w:tblPr>
              <w:tblStyle w:val="Table"/>
              <w:tblW w:type="pct" w:w="5000"/>
              <w:tblLayout w:type="fixed"/>
              <w:tblLook w:firstRow="1" w:lastRow="0" w:firstColumn="0" w:lastColumn="0" w:noHBand="0" w:noVBand="0" w:val="0020"/>
            </w:tblPr>
            <w:tblGrid>
              <w:gridCol w:w="1920"/>
              <w:gridCol w:w="480"/>
              <w:gridCol w:w="1920"/>
              <w:gridCol w:w="960"/>
              <w:gridCol w:w="1280"/>
              <w:gridCol w:w="1360"/>
            </w:tblGrid>
            <w:tr>
              <w:trPr>
                <w:tblHeader w:val="on"/>
              </w:trPr>
              <w:tc>
                <w:tcPr/>
                <w:p>
                  <w:pPr>
                    <w:pStyle w:val="Compact"/>
                    <w:jc w:val="left"/>
                    <w:jc w:val="center"/>
                  </w:pPr>
                  <w:r>
                    <w:t xml:space="preserve">Format</w:t>
                  </w:r>
                </w:p>
              </w:tc>
              <w:tc>
                <w:tcPr/>
                <w:p>
                  <w:pPr>
                    <w:pStyle w:val="Compact"/>
                    <w:jc w:val="left"/>
                    <w:jc w:val="center"/>
                  </w:pPr>
                  <w:r>
                    <w:t xml:space="preserve">Größe</w:t>
                  </w:r>
                </w:p>
              </w:tc>
              <w:tc>
                <w:tcPr/>
                <w:p>
                  <w:pPr>
                    <w:pStyle w:val="Compact"/>
                    <w:jc w:val="left"/>
                    <w:jc w:val="center"/>
                  </w:pPr>
                  <w:r>
                    <w:t xml:space="preserve">Ladezeit</w:t>
                  </w:r>
                </w:p>
              </w:tc>
              <w:tc>
                <w:tcPr/>
                <w:p>
                  <w:pPr>
                    <w:pStyle w:val="Compact"/>
                    <w:jc w:val="left"/>
                    <w:jc w:val="center"/>
                  </w:pPr>
                  <w:r>
                    <w:t xml:space="preserve">Kompression</w:t>
                  </w:r>
                </w:p>
              </w:tc>
              <w:tc>
                <w:tcPr/>
                <w:p>
                  <w:pPr>
                    <w:pStyle w:val="Compact"/>
                    <w:jc w:val="left"/>
                    <w:jc w:val="center"/>
                  </w:pPr>
                  <w:r>
                    <w:t xml:space="preserve">Partitionierung</w:t>
                  </w:r>
                </w:p>
              </w:tc>
              <w:tc>
                <w:tcPr/>
                <w:p>
                  <w:pPr>
                    <w:pStyle w:val="Compact"/>
                    <w:jc w:val="left"/>
                    <w:jc w:val="center"/>
                  </w:pPr>
                  <w:r>
                    <w:t xml:space="preserve">Kompatibilität</w:t>
                  </w:r>
                </w:p>
              </w:tc>
            </w:tr>
            <w:tr>
              <w:tc>
                <w:tcPr/>
                <w:p>
                  <w:pPr>
                    <w:pStyle w:val="Compact"/>
                    <w:jc w:val="left"/>
                    <w:jc w:val="center"/>
                  </w:pPr>
                  <w:r>
                    <w:t xml:space="preserve">CSV</w:t>
                  </w:r>
                </w:p>
              </w:tc>
              <w:tc>
                <w:tcPr/>
                <w:p>
                  <w:pPr>
                    <w:pStyle w:val="Compact"/>
                    <w:jc w:val="left"/>
                    <w:jc w:val="center"/>
                  </w:pPr>
                  <w:r>
                    <w:t xml:space="preserve">100%</w:t>
                  </w:r>
                </w:p>
              </w:tc>
              <w:tc>
                <w:tcPr/>
                <w:p>
                  <w:pPr>
                    <w:pStyle w:val="Compact"/>
                    <w:jc w:val="left"/>
                    <w:jc w:val="center"/>
                  </w:pPr>
                  <w:r>
                    <w:t xml:space="preserve">Sehr langsam</w:t>
                  </w:r>
                </w:p>
              </w:tc>
              <w:tc>
                <w:tcPr/>
                <w:p>
                  <w:pPr>
                    <w:pStyle w:val="Compact"/>
                    <w:jc w:val="left"/>
                    <w:jc w:val="center"/>
                  </w:pPr>
                  <w:r>
                    <w:t xml:space="preserve">Keine</w:t>
                  </w:r>
                </w:p>
              </w:tc>
              <w:tc>
                <w:tcPr/>
                <w:p>
                  <w:pPr>
                    <w:pStyle w:val="Compact"/>
                    <w:jc w:val="left"/>
                    <w:jc w:val="center"/>
                  </w:pPr>
                  <w:r>
                    <w:t xml:space="preserve">Nein</w:t>
                  </w:r>
                </w:p>
              </w:tc>
              <w:tc>
                <w:tcPr/>
                <w:p>
                  <w:pPr>
                    <w:pStyle w:val="Compact"/>
                    <w:jc w:val="left"/>
                    <w:jc w:val="center"/>
                  </w:pPr>
                  <w:r>
                    <w:t xml:space="preserve">Universal</w:t>
                  </w:r>
                </w:p>
              </w:tc>
            </w:tr>
            <w:tr>
              <w:tc>
                <w:tcPr/>
                <w:p>
                  <w:pPr>
                    <w:pStyle w:val="Compact"/>
                    <w:jc w:val="left"/>
                    <w:jc w:val="center"/>
                  </w:pPr>
                  <w:r>
                    <w:t xml:space="preserve">RDS (R)</w:t>
                  </w:r>
                </w:p>
              </w:tc>
              <w:tc>
                <w:tcPr/>
                <w:p>
                  <w:pPr>
                    <w:pStyle w:val="Compact"/>
                    <w:jc w:val="left"/>
                    <w:jc w:val="center"/>
                  </w:pPr>
                  <w:r>
                    <w:t xml:space="preserve">45%</w:t>
                  </w:r>
                </w:p>
              </w:tc>
              <w:tc>
                <w:tcPr/>
                <w:p>
                  <w:pPr>
                    <w:pStyle w:val="Compact"/>
                    <w:jc w:val="left"/>
                    <w:jc w:val="center"/>
                  </w:pPr>
                  <w:r>
                    <w:t xml:space="preserve">Mittel</w:t>
                  </w:r>
                </w:p>
              </w:tc>
              <w:tc>
                <w:tcPr/>
                <w:p>
                  <w:pPr>
                    <w:pStyle w:val="Compact"/>
                    <w:jc w:val="left"/>
                    <w:jc w:val="center"/>
                  </w:pPr>
                  <w:r>
                    <w:t xml:space="preserve">Gzip</w:t>
                  </w:r>
                </w:p>
              </w:tc>
              <w:tc>
                <w:tcPr/>
                <w:p>
                  <w:pPr>
                    <w:pStyle w:val="Compact"/>
                    <w:jc w:val="left"/>
                    <w:jc w:val="center"/>
                  </w:pPr>
                  <w:r>
                    <w:t xml:space="preserve">Nein</w:t>
                  </w:r>
                </w:p>
              </w:tc>
              <w:tc>
                <w:tcPr/>
                <w:p>
                  <w:pPr>
                    <w:pStyle w:val="Compact"/>
                    <w:jc w:val="left"/>
                    <w:jc w:val="center"/>
                  </w:pPr>
                  <w:r>
                    <w:t xml:space="preserve">Nur R</w:t>
                  </w:r>
                </w:p>
              </w:tc>
            </w:tr>
            <w:tr>
              <w:tc>
                <w:tcPr/>
                <w:p>
                  <w:pPr>
                    <w:pStyle w:val="Compact"/>
                    <w:jc w:val="left"/>
                    <w:jc w:val="center"/>
                  </w:pPr>
                  <w:r>
                    <w:t xml:space="preserve">Feather</w:t>
                  </w:r>
                </w:p>
              </w:tc>
              <w:tc>
                <w:tcPr/>
                <w:p>
                  <w:pPr>
                    <w:pStyle w:val="Compact"/>
                    <w:jc w:val="left"/>
                    <w:jc w:val="center"/>
                  </w:pPr>
                  <w:r>
                    <w:t xml:space="preserve">95%</w:t>
                  </w:r>
                </w:p>
              </w:tc>
              <w:tc>
                <w:tcPr/>
                <w:p>
                  <w:pPr>
                    <w:pStyle w:val="Compact"/>
                    <w:jc w:val="left"/>
                    <w:jc w:val="center"/>
                  </w:pPr>
                  <w:r>
                    <w:t xml:space="preserve">Sehr schnell</w:t>
                  </w:r>
                </w:p>
              </w:tc>
              <w:tc>
                <w:tcPr/>
                <w:p>
                  <w:pPr>
                    <w:pStyle w:val="Compact"/>
                    <w:jc w:val="left"/>
                    <w:jc w:val="center"/>
                  </w:pPr>
                  <w:r>
                    <w:t xml:space="preserve">LZ4/ZSTD</w:t>
                  </w:r>
                </w:p>
              </w:tc>
              <w:tc>
                <w:tcPr/>
                <w:p>
                  <w:pPr>
                    <w:pStyle w:val="Compact"/>
                    <w:jc w:val="left"/>
                    <w:jc w:val="center"/>
                  </w:pPr>
                  <w:r>
                    <w:t xml:space="preserve">Nein</w:t>
                  </w:r>
                </w:p>
              </w:tc>
              <w:tc>
                <w:tcPr/>
                <w:p>
                  <w:pPr>
                    <w:pStyle w:val="Compact"/>
                    <w:jc w:val="left"/>
                    <w:jc w:val="center"/>
                  </w:pPr>
                  <w:r>
                    <w:t xml:space="preserve">Arrow-Oekosystem</w:t>
                  </w:r>
                </w:p>
              </w:tc>
            </w:tr>
            <w:tr>
              <w:tc>
                <w:tcPr/>
                <w:p>
                  <w:pPr>
                    <w:pStyle w:val="Compact"/>
                    <w:jc w:val="left"/>
                    <w:jc w:val="center"/>
                  </w:pPr>
                  <w:r>
                    <w:t xml:space="preserve">Parquet</w:t>
                  </w:r>
                </w:p>
              </w:tc>
              <w:tc>
                <w:tcPr/>
                <w:p>
                  <w:pPr>
                    <w:pStyle w:val="Compact"/>
                    <w:jc w:val="left"/>
                    <w:jc w:val="center"/>
                  </w:pPr>
                  <w:r>
                    <w:t xml:space="preserve">15%</w:t>
                  </w:r>
                </w:p>
              </w:tc>
              <w:tc>
                <w:tcPr/>
                <w:p>
                  <w:pPr>
                    <w:pStyle w:val="Compact"/>
                    <w:jc w:val="left"/>
                    <w:jc w:val="center"/>
                  </w:pPr>
                  <w:r>
                    <w:t xml:space="preserve">Schnell</w:t>
                  </w:r>
                </w:p>
              </w:tc>
              <w:tc>
                <w:tcPr/>
                <w:p>
                  <w:pPr>
                    <w:pStyle w:val="Compact"/>
                    <w:jc w:val="left"/>
                    <w:jc w:val="center"/>
                  </w:pPr>
                  <w:r>
                    <w:t xml:space="preserve">Snappy/GZIP</w:t>
                  </w:r>
                </w:p>
              </w:tc>
              <w:tc>
                <w:tcPr/>
                <w:p>
                  <w:pPr>
                    <w:pStyle w:val="Compact"/>
                    <w:jc w:val="left"/>
                    <w:jc w:val="center"/>
                  </w:pPr>
                  <w:r>
                    <w:t xml:space="preserve">Moeglich</w:t>
                  </w:r>
                </w:p>
              </w:tc>
              <w:tc>
                <w:tcPr/>
                <w:p>
                  <w:pPr>
                    <w:pStyle w:val="Compact"/>
                    <w:jc w:val="left"/>
                    <w:jc w:val="center"/>
                  </w:pPr>
                  <w:r>
                    <w:t xml:space="preserve">Sehr hoch</w:t>
                  </w:r>
                </w:p>
              </w:tc>
            </w:tr>
            <w:tr>
              <w:tc>
                <w:tcPr/>
                <w:p>
                  <w:pPr>
                    <w:pStyle w:val="Compact"/>
                    <w:jc w:val="left"/>
                    <w:jc w:val="center"/>
                  </w:pPr>
                  <w:r>
                    <w:t xml:space="preserve">Parquet (partitioniert)</w:t>
                  </w:r>
                </w:p>
              </w:tc>
              <w:tc>
                <w:tcPr/>
                <w:p>
                  <w:pPr>
                    <w:pStyle w:val="Compact"/>
                    <w:jc w:val="left"/>
                    <w:jc w:val="center"/>
                  </w:pPr>
                  <w:r>
                    <w:t xml:space="preserve">15%</w:t>
                  </w:r>
                </w:p>
              </w:tc>
              <w:tc>
                <w:tcPr/>
                <w:p>
                  <w:pPr>
                    <w:pStyle w:val="Compact"/>
                    <w:jc w:val="left"/>
                    <w:jc w:val="center"/>
                  </w:pPr>
                  <w:r>
                    <w:t xml:space="preserve">Sehr schnell (selektiv)</w:t>
                  </w:r>
                </w:p>
              </w:tc>
              <w:tc>
                <w:tcPr/>
                <w:p>
                  <w:pPr>
                    <w:pStyle w:val="Compact"/>
                    <w:jc w:val="left"/>
                    <w:jc w:val="center"/>
                  </w:pPr>
                  <w:r>
                    <w:t xml:space="preserve">Snappy/GZIP</w:t>
                  </w:r>
                </w:p>
              </w:tc>
              <w:tc>
                <w:tcPr/>
                <w:p>
                  <w:pPr>
                    <w:pStyle w:val="Compact"/>
                    <w:jc w:val="left"/>
                    <w:jc w:val="center"/>
                  </w:pPr>
                  <w:r>
                    <w:t xml:space="preserve">Ja</w:t>
                  </w:r>
                </w:p>
              </w:tc>
              <w:tc>
                <w:tcPr/>
                <w:p>
                  <w:pPr>
                    <w:pStyle w:val="Compact"/>
                    <w:jc w:val="left"/>
                    <w:jc w:val="center"/>
                  </w:pPr>
                  <w:r>
                    <w:t xml:space="preserve">Sehr hoch</w:t>
                  </w:r>
                </w:p>
              </w:tc>
            </w:tr>
          </w:tbl>
          <w:bookmarkEnd w:id="47"/>
          <w:p/>
        </w:tc>
      </w:tr>
    </w:tbl>
    <w:p>
      <w:pPr>
        <w:pStyle w:val="BodyText"/>
      </w:pPr>
      <w:r>
        <w:rPr>
          <w:b/>
          <w:bCs/>
        </w:rPr>
        <w:t xml:space="preserve">Empfehlung für FDZ.</w:t>
      </w:r>
    </w:p>
    <w:p>
      <w:pPr>
        <w:pStyle w:val="BodyText"/>
      </w:pPr>
      <w:r>
        <w:rPr>
          <w:b/>
          <w:bCs/>
        </w:rPr>
        <w:t xml:space="preserve">Parquet ist das empfohlene Format für große Datensätze im FDZ</w:t>
      </w:r>
      <w:r>
        <w:t xml:space="preserve"> </w:t>
      </w:r>
      <w:r>
        <w:t xml:space="preserve">wegen:</w:t>
      </w:r>
    </w:p>
    <w:p>
      <w:pPr>
        <w:pStyle w:val="Compact"/>
        <w:numPr>
          <w:ilvl w:val="0"/>
          <w:numId w:val="1023"/>
        </w:numPr>
      </w:pPr>
      <w:r>
        <w:t xml:space="preserve">Drastischer Reduktion der Dateigröße (wichtig bei begrenztem Speicherplatz)</w:t>
      </w:r>
    </w:p>
    <w:p>
      <w:pPr>
        <w:pStyle w:val="Compact"/>
        <w:numPr>
          <w:ilvl w:val="0"/>
          <w:numId w:val="1023"/>
        </w:numPr>
      </w:pPr>
      <w:r>
        <w:t xml:space="preserve">Deutlich schnelleren Ladezeiten</w:t>
      </w:r>
    </w:p>
    <w:p>
      <w:pPr>
        <w:pStyle w:val="Compact"/>
        <w:numPr>
          <w:ilvl w:val="0"/>
          <w:numId w:val="1023"/>
        </w:numPr>
      </w:pPr>
      <w:r>
        <w:t xml:space="preserve">Möglichkeit der selektiven Filterung ohne vollständiges Laden</w:t>
      </w:r>
    </w:p>
    <w:p>
      <w:pPr>
        <w:pStyle w:val="Compact"/>
        <w:numPr>
          <w:ilvl w:val="0"/>
          <w:numId w:val="1023"/>
        </w:numPr>
      </w:pPr>
      <w:r>
        <w:t xml:space="preserve">Kompatibilität mit verschiedenen Analysewerkzeugen</w:t>
      </w:r>
    </w:p>
    <w:bookmarkEnd w:id="48"/>
    <w:bookmarkStart w:id="49" w:name="duckdb-analytical-database-system"/>
    <w:p>
      <w:pPr>
        <w:pStyle w:val="Heading3"/>
      </w:pPr>
      <w:r>
        <w:t xml:space="preserve">4.4 DuckDB: Analytical Database System</w:t>
      </w:r>
    </w:p>
    <w:p>
      <w:pPr>
        <w:pStyle w:val="FirstParagraph"/>
      </w:pPr>
      <w:r>
        <w:rPr>
          <w:b/>
          <w:bCs/>
        </w:rPr>
        <w:t xml:space="preserve">Konzept.</w:t>
      </w:r>
    </w:p>
    <w:p>
      <w:pPr>
        <w:pStyle w:val="BodyText"/>
      </w:pPr>
      <w:r>
        <w:t xml:space="preserve">DuckDB ist ein einbettbares analytisches Datenbanksystem, speziell für OLAP-Workloads (Online Analytical Processing) entwickelt:</w:t>
      </w:r>
    </w:p>
    <w:p>
      <w:pPr>
        <w:pStyle w:val="Compact"/>
        <w:numPr>
          <w:ilvl w:val="0"/>
          <w:numId w:val="1024"/>
        </w:numPr>
      </w:pPr>
      <w:r>
        <w:rPr>
          <w:b/>
          <w:bCs/>
        </w:rPr>
        <w:t xml:space="preserve">In-Process:</w:t>
      </w:r>
      <w:r>
        <w:t xml:space="preserve"> </w:t>
      </w:r>
      <w:r>
        <w:t xml:space="preserve">Läuft im gleichen Prozess wie R (keine separate Datenbank-Server-Installation nötig)</w:t>
      </w:r>
    </w:p>
    <w:p>
      <w:pPr>
        <w:pStyle w:val="Compact"/>
        <w:numPr>
          <w:ilvl w:val="0"/>
          <w:numId w:val="1024"/>
        </w:numPr>
      </w:pPr>
      <w:r>
        <w:rPr>
          <w:b/>
          <w:bCs/>
        </w:rPr>
        <w:t xml:space="preserve">Columnar Vectorized:</w:t>
      </w:r>
      <w:r>
        <w:t xml:space="preserve"> </w:t>
      </w:r>
      <w:r>
        <w:t xml:space="preserve">Spaltenorientierte Verarbeitung in SIMD-optimierten Batches</w:t>
      </w:r>
    </w:p>
    <w:p>
      <w:pPr>
        <w:pStyle w:val="Compact"/>
        <w:numPr>
          <w:ilvl w:val="0"/>
          <w:numId w:val="1024"/>
        </w:numPr>
      </w:pPr>
      <w:r>
        <w:rPr>
          <w:b/>
          <w:bCs/>
        </w:rPr>
        <w:t xml:space="preserve">SQL-Interface:</w:t>
      </w:r>
      <w:r>
        <w:t xml:space="preserve"> </w:t>
      </w:r>
      <w:r>
        <w:t xml:space="preserve">Bekannte SQL-Syntax für komplexe Abfragen</w:t>
      </w:r>
    </w:p>
    <w:p>
      <w:pPr>
        <w:pStyle w:val="Compact"/>
        <w:numPr>
          <w:ilvl w:val="0"/>
          <w:numId w:val="1024"/>
        </w:numPr>
      </w:pPr>
      <w:r>
        <w:rPr>
          <w:b/>
          <w:bCs/>
        </w:rPr>
        <w:t xml:space="preserve">Arrow-Integration:</w:t>
      </w:r>
      <w:r>
        <w:t xml:space="preserve"> </w:t>
      </w:r>
      <w:r>
        <w:t xml:space="preserve">Zero-Copy-Integration mit Arrow-Daten</w:t>
      </w:r>
    </w:p>
    <w:p>
      <w:pPr>
        <w:pStyle w:val="FirstParagraph"/>
      </w:pPr>
      <w:r>
        <w:rPr>
          <w:b/>
          <w:bCs/>
        </w:rPr>
        <w:t xml:space="preserve">Warum DuckDB?</w:t>
      </w:r>
    </w:p>
    <w:p>
      <w:pPr>
        <w:pStyle w:val="BodyText"/>
      </w:pPr>
      <w:r>
        <w:t xml:space="preserve">DuckDB löst spezifische Probleme bei der Analyse großer Datensätze:</w:t>
      </w:r>
    </w:p>
    <w:p>
      <w:pPr>
        <w:pStyle w:val="Compact"/>
        <w:numPr>
          <w:ilvl w:val="0"/>
          <w:numId w:val="1025"/>
        </w:numPr>
      </w:pPr>
      <w:r>
        <w:rPr>
          <w:b/>
          <w:bCs/>
        </w:rPr>
        <w:t xml:space="preserve">Komplexe Aggregationen:</w:t>
      </w:r>
      <w:r>
        <w:t xml:space="preserve"> </w:t>
      </w:r>
      <w:r>
        <w:t xml:space="preserve">Window Functions, CTEs, komplexe Joins</w:t>
      </w:r>
    </w:p>
    <w:p>
      <w:pPr>
        <w:pStyle w:val="Compact"/>
        <w:numPr>
          <w:ilvl w:val="0"/>
          <w:numId w:val="1025"/>
        </w:numPr>
      </w:pPr>
      <w:r>
        <w:rPr>
          <w:b/>
          <w:bCs/>
        </w:rPr>
        <w:t xml:space="preserve">SQL-Komfort:</w:t>
      </w:r>
      <w:r>
        <w:t xml:space="preserve"> </w:t>
      </w:r>
      <w:r>
        <w:t xml:space="preserve">Mächtige Abfragesprache statt R-Code für Datentransformationen</w:t>
      </w:r>
    </w:p>
    <w:p>
      <w:pPr>
        <w:pStyle w:val="Compact"/>
        <w:numPr>
          <w:ilvl w:val="0"/>
          <w:numId w:val="1025"/>
        </w:numPr>
      </w:pPr>
      <w:r>
        <w:rPr>
          <w:b/>
          <w:bCs/>
        </w:rPr>
        <w:t xml:space="preserve">Out-of-Core:</w:t>
      </w:r>
      <w:r>
        <w:t xml:space="preserve"> </w:t>
      </w:r>
      <w:r>
        <w:t xml:space="preserve">Kann größere Daten als RAM verarbeiten</w:t>
      </w:r>
    </w:p>
    <w:p>
      <w:pPr>
        <w:pStyle w:val="Compact"/>
        <w:numPr>
          <w:ilvl w:val="0"/>
          <w:numId w:val="1025"/>
        </w:numPr>
      </w:pPr>
      <w:r>
        <w:rPr>
          <w:b/>
          <w:bCs/>
        </w:rPr>
        <w:t xml:space="preserve">Geschwindigkeit:</w:t>
      </w:r>
      <w:r>
        <w:t xml:space="preserve"> </w:t>
      </w:r>
      <w:r>
        <w:t xml:space="preserve">Hochoptimierte Query Engine</w:t>
      </w:r>
    </w:p>
    <w:p>
      <w:pPr>
        <w:pStyle w:val="FirstParagraph"/>
      </w:pPr>
      <w:r>
        <w:rPr>
          <w:b/>
          <w:bCs/>
        </w:rPr>
        <w:t xml:space="preserve">Anwendungsbeispiel.</w:t>
      </w:r>
    </w:p>
    <w:p>
      <w:pPr>
        <w:pStyle w:val="SourceCode"/>
      </w:pPr>
      <w:r>
        <w:rPr>
          <w:rStyle w:val="FunctionTok"/>
        </w:rPr>
        <w:t xml:space="preserve">library</w:t>
      </w:r>
      <w:r>
        <w:rPr>
          <w:rStyle w:val="NormalTok"/>
        </w:rPr>
        <w:t xml:space="preserve">(duckdb)</w:t>
      </w:r>
      <w:r>
        <w:br/>
      </w:r>
      <w:r>
        <w:rPr>
          <w:rStyle w:val="FunctionTok"/>
        </w:rPr>
        <w:t xml:space="preserve">library</w:t>
      </w:r>
      <w:r>
        <w:rPr>
          <w:rStyle w:val="NormalTok"/>
        </w:rPr>
        <w:t xml:space="preserve">(arrow)</w:t>
      </w:r>
      <w:r>
        <w:br/>
      </w:r>
      <w:r>
        <w:br/>
      </w:r>
      <w:r>
        <w:rPr>
          <w:rStyle w:val="DocumentationTok"/>
        </w:rPr>
        <w:t xml:space="preserve">## Verbindung erstellen</w:t>
      </w:r>
      <w:r>
        <w:br/>
      </w:r>
      <w:r>
        <w:rPr>
          <w:rStyle w:val="NormalTok"/>
        </w:rPr>
        <w:t xml:space="preserve">con </w:t>
      </w:r>
      <w:r>
        <w:rPr>
          <w:rStyle w:val="OtherTok"/>
        </w:rPr>
        <w:t xml:space="preserve">&lt;-</w:t>
      </w:r>
      <w:r>
        <w:rPr>
          <w:rStyle w:val="NormalTok"/>
        </w:rPr>
        <w:t xml:space="preserve"> </w:t>
      </w:r>
      <w:r>
        <w:rPr>
          <w:rStyle w:val="FunctionTok"/>
        </w:rPr>
        <w:t xml:space="preserve">dbConnect</w:t>
      </w:r>
      <w:r>
        <w:rPr>
          <w:rStyle w:val="NormalTok"/>
        </w:rPr>
        <w:t xml:space="preserve">(duckdb</w:t>
      </w:r>
      <w:r>
        <w:rPr>
          <w:rStyle w:val="SpecialCharTok"/>
        </w:rPr>
        <w:t xml:space="preserve">::</w:t>
      </w:r>
      <w:r>
        <w:rPr>
          <w:rStyle w:val="FunctionTok"/>
        </w:rPr>
        <w:t xml:space="preserve">duckdb</w:t>
      </w:r>
      <w:r>
        <w:rPr>
          <w:rStyle w:val="NormalTok"/>
        </w:rPr>
        <w:t xml:space="preserve">())</w:t>
      </w:r>
      <w:r>
        <w:br/>
      </w:r>
      <w:r>
        <w:br/>
      </w:r>
      <w:r>
        <w:rPr>
          <w:rStyle w:val="DocumentationTok"/>
        </w:rPr>
        <w:t xml:space="preserve">## Arrow-Dataset registrieren (ohne Laden)</w:t>
      </w:r>
      <w:r>
        <w:br/>
      </w:r>
      <w:r>
        <w:rPr>
          <w:rStyle w:val="FunctionTok"/>
        </w:rPr>
        <w:t xml:space="preserve">duckdb_register_arrow</w:t>
      </w:r>
      <w:r>
        <w:rPr>
          <w:rStyle w:val="NormalTok"/>
        </w:rPr>
        <w:t xml:space="preserve">(con, </w:t>
      </w:r>
      <w:r>
        <w:rPr>
          <w:rStyle w:val="StringTok"/>
        </w:rPr>
        <w:t xml:space="preserve">"btp"</w:t>
      </w:r>
      <w:r>
        <w:rPr>
          <w:rStyle w:val="NormalTok"/>
        </w:rPr>
        <w:t xml:space="preserve">, arrow_dataset)</w:t>
      </w:r>
      <w:r>
        <w:br/>
      </w:r>
      <w:r>
        <w:br/>
      </w:r>
      <w:r>
        <w:rPr>
          <w:rStyle w:val="DocumentationTok"/>
        </w:rPr>
        <w:t xml:space="preserve">## Komplexe SQL-Abfrage</w:t>
      </w:r>
      <w:r>
        <w:br/>
      </w:r>
      <w:r>
        <w:rPr>
          <w:rStyle w:val="NormalTok"/>
        </w:rPr>
        <w:t xml:space="preserve">result </w:t>
      </w:r>
      <w:r>
        <w:rPr>
          <w:rStyle w:val="OtherTok"/>
        </w:rPr>
        <w:t xml:space="preserve">&lt;-</w:t>
      </w:r>
      <w:r>
        <w:rPr>
          <w:rStyle w:val="NormalTok"/>
        </w:rPr>
        <w:t xml:space="preserve"> </w:t>
      </w:r>
      <w:r>
        <w:rPr>
          <w:rStyle w:val="FunctionTok"/>
        </w:rPr>
        <w:t xml:space="preserve">dbGetQuery</w:t>
      </w:r>
      <w:r>
        <w:rPr>
          <w:rStyle w:val="NormalTok"/>
        </w:rPr>
        <w:t xml:space="preserve">(con, </w:t>
      </w:r>
      <w:r>
        <w:rPr>
          <w:rStyle w:val="StringTok"/>
        </w:rPr>
        <w:t xml:space="preserve">"</w:t>
      </w:r>
      <w:r>
        <w:br/>
      </w:r>
      <w:r>
        <w:rPr>
          <w:rStyle w:val="StringTok"/>
        </w:rPr>
        <w:t xml:space="preserve">  SELECT </w:t>
      </w:r>
      <w:r>
        <w:br/>
      </w:r>
      <w:r>
        <w:rPr>
          <w:rStyle w:val="StringTok"/>
        </w:rPr>
        <w:t xml:space="preserve">    year,</w:t>
      </w:r>
      <w:r>
        <w:br/>
      </w:r>
      <w:r>
        <w:rPr>
          <w:rStyle w:val="StringTok"/>
        </w:rPr>
        <w:t xml:space="preserve">    sector,</w:t>
      </w:r>
      <w:r>
        <w:br/>
      </w:r>
      <w:r>
        <w:rPr>
          <w:rStyle w:val="StringTok"/>
        </w:rPr>
        <w:t xml:space="preserve">    COUNT(*) as n_companies,</w:t>
      </w:r>
      <w:r>
        <w:br/>
      </w:r>
      <w:r>
        <w:rPr>
          <w:rStyle w:val="StringTok"/>
        </w:rPr>
        <w:t xml:space="preserve">    MEDIAN(revenue) as median_revenue,</w:t>
      </w:r>
      <w:r>
        <w:br/>
      </w:r>
      <w:r>
        <w:rPr>
          <w:rStyle w:val="StringTok"/>
        </w:rPr>
        <w:t xml:space="preserve">    PERCENTILE_CONT(0.9) WITHIN GROUP (ORDER BY revenue) as p90_revenue,</w:t>
      </w:r>
      <w:r>
        <w:br/>
      </w:r>
      <w:r>
        <w:rPr>
          <w:rStyle w:val="StringTok"/>
        </w:rPr>
        <w:t xml:space="preserve">    LAG(MEDIAN(revenue)) OVER (</w:t>
      </w:r>
      <w:r>
        <w:br/>
      </w:r>
      <w:r>
        <w:rPr>
          <w:rStyle w:val="StringTok"/>
        </w:rPr>
        <w:t xml:space="preserve">      PARTITION BY sector </w:t>
      </w:r>
      <w:r>
        <w:br/>
      </w:r>
      <w:r>
        <w:rPr>
          <w:rStyle w:val="StringTok"/>
        </w:rPr>
        <w:t xml:space="preserve">      ORDER BY year</w:t>
      </w:r>
      <w:r>
        <w:br/>
      </w:r>
      <w:r>
        <w:rPr>
          <w:rStyle w:val="StringTok"/>
        </w:rPr>
        <w:t xml:space="preserve">    ) as prev_year_median</w:t>
      </w:r>
      <w:r>
        <w:br/>
      </w:r>
      <w:r>
        <w:rPr>
          <w:rStyle w:val="StringTok"/>
        </w:rPr>
        <w:t xml:space="preserve">  FROM btp</w:t>
      </w:r>
      <w:r>
        <w:br/>
      </w:r>
      <w:r>
        <w:rPr>
          <w:rStyle w:val="StringTok"/>
        </w:rPr>
        <w:t xml:space="preserve">  WHERE year BETWEEN 2015 AND 2019</w:t>
      </w:r>
      <w:r>
        <w:br/>
      </w:r>
      <w:r>
        <w:rPr>
          <w:rStyle w:val="StringTok"/>
        </w:rPr>
        <w:t xml:space="preserve">    AND revenue &gt; 0</w:t>
      </w:r>
      <w:r>
        <w:br/>
      </w:r>
      <w:r>
        <w:rPr>
          <w:rStyle w:val="StringTok"/>
        </w:rPr>
        <w:t xml:space="preserve">  GROUP BY year, sector</w:t>
      </w:r>
      <w:r>
        <w:br/>
      </w:r>
      <w:r>
        <w:rPr>
          <w:rStyle w:val="StringTok"/>
        </w:rPr>
        <w:t xml:space="preserve">  ORDER BY year, sector</w:t>
      </w:r>
      <w:r>
        <w:br/>
      </w:r>
      <w:r>
        <w:rPr>
          <w:rStyle w:val="StringTok"/>
        </w:rPr>
        <w:t xml:space="preserve">"</w:t>
      </w:r>
      <w:r>
        <w:rPr>
          <w:rStyle w:val="NormalTok"/>
        </w:rPr>
        <w:t xml:space="preserve">)</w:t>
      </w:r>
      <w:r>
        <w:br/>
      </w:r>
      <w:r>
        <w:br/>
      </w:r>
      <w:r>
        <w:rPr>
          <w:rStyle w:val="FunctionTok"/>
        </w:rPr>
        <w:t xml:space="preserve">dbDisconnect</w:t>
      </w:r>
      <w:r>
        <w:rPr>
          <w:rStyle w:val="NormalTok"/>
        </w:rPr>
        <w:t xml:space="preserve">(con, </w:t>
      </w:r>
      <w:r>
        <w:rPr>
          <w:rStyle w:val="AttributeTok"/>
        </w:rPr>
        <w:t xml:space="preserve">shutdown =</w:t>
      </w:r>
      <w:r>
        <w:rPr>
          <w:rStyle w:val="NormalTok"/>
        </w:rPr>
        <w:t xml:space="preserve"> </w:t>
      </w:r>
      <w:r>
        <w:rPr>
          <w:rStyle w:val="ConstantTok"/>
        </w:rPr>
        <w:t xml:space="preserve">TRUE</w:t>
      </w:r>
      <w:r>
        <w:rPr>
          <w:rStyle w:val="NormalTok"/>
        </w:rPr>
        <w:t xml:space="preserve">)</w:t>
      </w:r>
    </w:p>
    <w:p>
      <w:pPr>
        <w:pStyle w:val="FirstParagraph"/>
      </w:pPr>
      <w:r>
        <w:rPr>
          <w:b/>
          <w:bCs/>
        </w:rPr>
        <w:t xml:space="preserve">Vorteile.</w:t>
      </w:r>
    </w:p>
    <w:p>
      <w:pPr>
        <w:pStyle w:val="Compact"/>
        <w:numPr>
          <w:ilvl w:val="0"/>
          <w:numId w:val="1026"/>
        </w:numPr>
      </w:pPr>
      <w:r>
        <w:rPr>
          <w:b/>
          <w:bCs/>
        </w:rPr>
        <w:t xml:space="preserve">Kein Setup:</w:t>
      </w:r>
      <w:r>
        <w:t xml:space="preserve"> </w:t>
      </w:r>
      <w:r>
        <w:t xml:space="preserve">Keine separate Datenbank-Installation erforderlich</w:t>
      </w:r>
    </w:p>
    <w:p>
      <w:pPr>
        <w:pStyle w:val="Compact"/>
        <w:numPr>
          <w:ilvl w:val="0"/>
          <w:numId w:val="1026"/>
        </w:numPr>
      </w:pPr>
      <w:r>
        <w:rPr>
          <w:b/>
          <w:bCs/>
        </w:rPr>
        <w:t xml:space="preserve">Hohe Performance:</w:t>
      </w:r>
      <w:r>
        <w:t xml:space="preserve"> </w:t>
      </w:r>
      <w:r>
        <w:t xml:space="preserve">Oft schneller als spezialisierte Data-Frame-Bibliotheken</w:t>
      </w:r>
    </w:p>
    <w:p>
      <w:pPr>
        <w:pStyle w:val="Compact"/>
        <w:numPr>
          <w:ilvl w:val="0"/>
          <w:numId w:val="1026"/>
        </w:numPr>
      </w:pPr>
      <w:r>
        <w:rPr>
          <w:b/>
          <w:bCs/>
        </w:rPr>
        <w:t xml:space="preserve">SQL-Funktionen:</w:t>
      </w:r>
      <w:r>
        <w:t xml:space="preserve"> </w:t>
      </w:r>
      <w:r>
        <w:t xml:space="preserve">Umfangreiche Funktionen (Window Functions, Array-Operationen)</w:t>
      </w:r>
    </w:p>
    <w:p>
      <w:pPr>
        <w:pStyle w:val="Compact"/>
        <w:numPr>
          <w:ilvl w:val="0"/>
          <w:numId w:val="1026"/>
        </w:numPr>
      </w:pPr>
      <w:r>
        <w:rPr>
          <w:b/>
          <w:bCs/>
        </w:rPr>
        <w:t xml:space="preserve">Ressourceneffizient:</w:t>
      </w:r>
      <w:r>
        <w:t xml:space="preserve"> </w:t>
      </w:r>
      <w:r>
        <w:t xml:space="preserve">Intelligentes Memory Management</w:t>
      </w:r>
    </w:p>
    <w:p>
      <w:pPr>
        <w:pStyle w:val="Compact"/>
        <w:numPr>
          <w:ilvl w:val="0"/>
          <w:numId w:val="1026"/>
        </w:numPr>
      </w:pPr>
      <w:r>
        <w:rPr>
          <w:b/>
          <w:bCs/>
        </w:rPr>
        <w:t xml:space="preserve">R-Integration:</w:t>
      </w:r>
      <w:r>
        <w:t xml:space="preserve"> </w:t>
      </w:r>
      <w:r>
        <w:t xml:space="preserve">Direktes Arbeiten mit Arrow-Datasets oder R-Data-Frames</w:t>
      </w:r>
    </w:p>
    <w:p>
      <w:pPr>
        <w:pStyle w:val="FirstParagraph"/>
      </w:pPr>
      <w:r>
        <w:rPr>
          <w:b/>
          <w:bCs/>
        </w:rPr>
        <w:t xml:space="preserve">Limitationen.</w:t>
      </w:r>
    </w:p>
    <w:p>
      <w:pPr>
        <w:pStyle w:val="Compact"/>
        <w:numPr>
          <w:ilvl w:val="0"/>
          <w:numId w:val="1027"/>
        </w:numPr>
      </w:pPr>
      <w:r>
        <w:rPr>
          <w:b/>
          <w:bCs/>
        </w:rPr>
        <w:t xml:space="preserve">SQL-Kenntnisse:</w:t>
      </w:r>
      <w:r>
        <w:t xml:space="preserve"> </w:t>
      </w:r>
      <w:r>
        <w:t xml:space="preserve">Erfordert SQL-Grundkenntnisse</w:t>
      </w:r>
    </w:p>
    <w:p>
      <w:pPr>
        <w:pStyle w:val="Compact"/>
        <w:numPr>
          <w:ilvl w:val="0"/>
          <w:numId w:val="1027"/>
        </w:numPr>
      </w:pPr>
      <w:r>
        <w:rPr>
          <w:b/>
          <w:bCs/>
        </w:rPr>
        <w:t xml:space="preserve">Debugging:</w:t>
      </w:r>
      <w:r>
        <w:t xml:space="preserve"> </w:t>
      </w:r>
      <w:r>
        <w:t xml:space="preserve">SQL-Fehler können schwerer zu debuggen sein als R-Code</w:t>
      </w:r>
    </w:p>
    <w:p>
      <w:pPr>
        <w:pStyle w:val="Compact"/>
        <w:numPr>
          <w:ilvl w:val="0"/>
          <w:numId w:val="1027"/>
        </w:numPr>
      </w:pPr>
      <w:r>
        <w:rPr>
          <w:b/>
          <w:bCs/>
        </w:rPr>
        <w:t xml:space="preserve">Noch jung:</w:t>
      </w:r>
      <w:r>
        <w:t xml:space="preserve"> </w:t>
      </w:r>
      <w:r>
        <w:t xml:space="preserve">Weniger etabliert als traditionelle Datenbanken (aber sehr aktiv entwickelt)</w:t>
      </w:r>
    </w:p>
    <w:bookmarkEnd w:id="49"/>
    <w:bookmarkStart w:id="50" w:name="vergleich-mit-alternativen"/>
    <w:p>
      <w:pPr>
        <w:pStyle w:val="Heading3"/>
      </w:pPr>
      <w:r>
        <w:t xml:space="preserve">4.5 Vergleich mit Alternativen</w:t>
      </w:r>
    </w:p>
    <w:p>
      <w:pPr>
        <w:pStyle w:val="FirstParagraph"/>
      </w:pPr>
      <w:r>
        <w:rPr>
          <w:b/>
          <w:bCs/>
        </w:rPr>
        <w:t xml:space="preserve">Base R.</w:t>
      </w:r>
    </w:p>
    <w:p>
      <w:pPr>
        <w:pStyle w:val="BodyText"/>
      </w:pPr>
      <w:r>
        <w:rPr>
          <w:b/>
          <w:bCs/>
        </w:rPr>
        <w:t xml:space="preserve">Vorteile:</w:t>
      </w:r>
      <w:r>
        <w:t xml:space="preserve"> </w:t>
      </w:r>
      <w:r>
        <w:t xml:space="preserve">Einfach, weit verbreitet, keine zusätzlichen Abhängigkeiten</w:t>
      </w:r>
      <w:r>
        <w:t xml:space="preserve"> </w:t>
      </w:r>
      <w:r>
        <w:rPr>
          <w:b/>
          <w:bCs/>
        </w:rPr>
        <w:t xml:space="preserve">Nachteile:</w:t>
      </w:r>
      <w:r>
        <w:t xml:space="preserve"> </w:t>
      </w:r>
      <w:r>
        <w:t xml:space="preserve">Langsam bei großen Daten, hoher Speicherverbrauch, alle Daten müssen in RAM passen</w:t>
      </w:r>
    </w:p>
    <w:p>
      <w:pPr>
        <w:pStyle w:val="BodyText"/>
      </w:pPr>
      <w:r>
        <w:rPr>
          <w:b/>
          <w:bCs/>
        </w:rPr>
        <w:t xml:space="preserve">Empfehlung:</w:t>
      </w:r>
      <w:r>
        <w:t xml:space="preserve"> </w:t>
      </w:r>
      <w:r>
        <w:t xml:space="preserve">Nur für kleine Datensätze (&lt;1 GB) oder wenn Kompatibilität wichtiger als Performance ist</w:t>
      </w:r>
    </w:p>
    <w:p>
      <w:pPr>
        <w:pStyle w:val="BodyText"/>
      </w:pPr>
      <w:r>
        <w:rPr>
          <w:b/>
          <w:bCs/>
        </w:rPr>
        <w:t xml:space="preserve">data.table.</w:t>
      </w:r>
    </w:p>
    <w:p>
      <w:pPr>
        <w:pStyle w:val="BodyText"/>
      </w:pPr>
      <w:r>
        <w:rPr>
          <w:b/>
          <w:bCs/>
        </w:rPr>
        <w:t xml:space="preserve">Vorteile:</w:t>
      </w:r>
      <w:r>
        <w:t xml:space="preserve"> </w:t>
      </w:r>
      <w:r>
        <w:t xml:space="preserve">Sehr schnell für In-Memory-Operationen, ausgereift, kompakte Syntax</w:t>
      </w:r>
      <w:r>
        <w:t xml:space="preserve"> </w:t>
      </w:r>
      <w:r>
        <w:rPr>
          <w:b/>
          <w:bCs/>
        </w:rPr>
        <w:t xml:space="preserve">Nachteile:</w:t>
      </w:r>
      <w:r>
        <w:t xml:space="preserve"> </w:t>
      </w:r>
      <w:r>
        <w:t xml:space="preserve">Alle Daten müssen in RAM passen, steile Lernkurve, keine Out-of-Core-Unterstützung</w:t>
      </w:r>
    </w:p>
    <w:p>
      <w:pPr>
        <w:pStyle w:val="BodyText"/>
      </w:pPr>
      <w:r>
        <w:rPr>
          <w:b/>
          <w:bCs/>
        </w:rPr>
        <w:t xml:space="preserve">Empfehlung:</w:t>
      </w:r>
      <w:r>
        <w:t xml:space="preserve"> </w:t>
      </w:r>
      <w:r>
        <w:t xml:space="preserve">Gute Alternative wenn Datensatz in RAM passt und keine Parquet-Integration benötigt wird</w:t>
      </w:r>
    </w:p>
    <w:p>
      <w:pPr>
        <w:pStyle w:val="BodyText"/>
      </w:pPr>
      <w:r>
        <w:rPr>
          <w:b/>
          <w:bCs/>
        </w:rPr>
        <w:t xml:space="preserve">dplyr + dbplyr.</w:t>
      </w:r>
    </w:p>
    <w:p>
      <w:pPr>
        <w:pStyle w:val="BodyText"/>
      </w:pPr>
      <w:r>
        <w:rPr>
          <w:b/>
          <w:bCs/>
        </w:rPr>
        <w:t xml:space="preserve">Vorteile:</w:t>
      </w:r>
      <w:r>
        <w:t xml:space="preserve"> </w:t>
      </w:r>
      <w:r>
        <w:t xml:space="preserve">Vertraute dplyr-Syntax, gut mit Datenbanken integriert</w:t>
      </w:r>
      <w:r>
        <w:t xml:space="preserve"> </w:t>
      </w:r>
      <w:r>
        <w:rPr>
          <w:b/>
          <w:bCs/>
        </w:rPr>
        <w:t xml:space="preserve">Nachteile:</w:t>
      </w:r>
      <w:r>
        <w:t xml:space="preserve"> </w:t>
      </w:r>
      <w:r>
        <w:t xml:space="preserve">Langsamer als Arrow/DuckDB, benötigt Backend-Datenbank, SQL-Translation manchmal limitiert</w:t>
      </w:r>
    </w:p>
    <w:p>
      <w:pPr>
        <w:pStyle w:val="BodyText"/>
      </w:pPr>
      <w:r>
        <w:rPr>
          <w:b/>
          <w:bCs/>
        </w:rPr>
        <w:t xml:space="preserve">Empfehlung:</w:t>
      </w:r>
      <w:r>
        <w:t xml:space="preserve"> </w:t>
      </w:r>
      <w:r>
        <w:t xml:space="preserve">Wenn bereits PostgreSQL- oder ähnliche Datenbank-Infrastruktur vorhanden ist</w:t>
      </w:r>
    </w:p>
    <w:bookmarkEnd w:id="50"/>
    <w:bookmarkStart w:id="51" w:name="unsere-empfehlung-arrow-duckdb-parquet"/>
    <w:p>
      <w:pPr>
        <w:pStyle w:val="Heading3"/>
      </w:pPr>
      <w:r>
        <w:t xml:space="preserve">4.6 Unsere Empfehlung: Arrow + DuckDB + Parquet</w:t>
      </w:r>
    </w:p>
    <w:p>
      <w:pPr>
        <w:pStyle w:val="FirstParagraph"/>
      </w:pPr>
      <w:r>
        <w:t xml:space="preserve">Für die Analyse großer Datensätze im FDZ empfehlen wir die Kombination:</w:t>
      </w:r>
    </w:p>
    <w:p>
      <w:pPr>
        <w:pStyle w:val="Compact"/>
        <w:numPr>
          <w:ilvl w:val="0"/>
          <w:numId w:val="1028"/>
        </w:numPr>
      </w:pPr>
      <w:r>
        <w:rPr>
          <w:b/>
          <w:bCs/>
        </w:rPr>
        <w:t xml:space="preserve">Datenspeicherung:</w:t>
      </w:r>
      <w:r>
        <w:t xml:space="preserve"> </w:t>
      </w:r>
      <w:r>
        <w:t xml:space="preserve">Parquet-Format, idealerweise partitioniert nach relevanten Dimensionen (z.B. Jahr)</w:t>
      </w:r>
    </w:p>
    <w:p>
      <w:pPr>
        <w:pStyle w:val="Compact"/>
        <w:numPr>
          <w:ilvl w:val="0"/>
          <w:numId w:val="1028"/>
        </w:numPr>
      </w:pPr>
      <w:r>
        <w:rPr>
          <w:b/>
          <w:bCs/>
        </w:rPr>
        <w:t xml:space="preserve">Datenmanipulation:</w:t>
      </w:r>
      <w:r>
        <w:t xml:space="preserve"> </w:t>
      </w:r>
      <w:r>
        <w:t xml:space="preserve">Arrow für einfache Filter/Select-Operationen</w:t>
      </w:r>
    </w:p>
    <w:p>
      <w:pPr>
        <w:pStyle w:val="Compact"/>
        <w:numPr>
          <w:ilvl w:val="0"/>
          <w:numId w:val="1028"/>
        </w:numPr>
      </w:pPr>
      <w:r>
        <w:rPr>
          <w:b/>
          <w:bCs/>
        </w:rPr>
        <w:t xml:space="preserve">Komplexe Analysen:</w:t>
      </w:r>
      <w:r>
        <w:t xml:space="preserve"> </w:t>
      </w:r>
      <w:r>
        <w:t xml:space="preserve">DuckDB für Aggregationen, Joins, Window Functions</w:t>
      </w:r>
    </w:p>
    <w:p>
      <w:pPr>
        <w:pStyle w:val="Compact"/>
        <w:numPr>
          <w:ilvl w:val="0"/>
          <w:numId w:val="1028"/>
        </w:numPr>
      </w:pPr>
      <w:r>
        <w:rPr>
          <w:b/>
          <w:bCs/>
        </w:rPr>
        <w:t xml:space="preserve">Ergebnisse:</w:t>
      </w:r>
      <w:r>
        <w:t xml:space="preserve"> </w:t>
      </w:r>
      <w:r>
        <w:t xml:space="preserve">R-Data-Frames für finale Visualisierung und Modellierung</w:t>
      </w:r>
    </w:p>
    <w:p>
      <w:pPr>
        <w:pStyle w:val="FirstParagraph"/>
      </w:pPr>
      <w:r>
        <w:rPr>
          <w:b/>
          <w:bCs/>
        </w:rPr>
        <w:t xml:space="preserve">Workflow-Beispiel.</w:t>
      </w:r>
    </w:p>
    <w:p>
      <w:pPr>
        <w:pStyle w:val="SourceCode"/>
      </w:pPr>
      <w:r>
        <w:rPr>
          <w:rStyle w:val="FunctionTok"/>
        </w:rPr>
        <w:t xml:space="preserve">library</w:t>
      </w:r>
      <w:r>
        <w:rPr>
          <w:rStyle w:val="NormalTok"/>
        </w:rPr>
        <w:t xml:space="preserve">(arrow)</w:t>
      </w:r>
      <w:r>
        <w:br/>
      </w:r>
      <w:r>
        <w:rPr>
          <w:rStyle w:val="FunctionTok"/>
        </w:rPr>
        <w:t xml:space="preserve">library</w:t>
      </w:r>
      <w:r>
        <w:rPr>
          <w:rStyle w:val="NormalTok"/>
        </w:rPr>
        <w:t xml:space="preserve">(duckdb)</w:t>
      </w:r>
      <w:r>
        <w:br/>
      </w:r>
      <w:r>
        <w:br/>
      </w:r>
      <w:r>
        <w:rPr>
          <w:rStyle w:val="DocumentationTok"/>
        </w:rPr>
        <w:t xml:space="preserve">## 1. Daten als Parquet-Dataset öffnen</w:t>
      </w:r>
      <w:r>
        <w:br/>
      </w:r>
      <w:r>
        <w:rPr>
          <w:rStyle w:val="NormalTok"/>
        </w:rPr>
        <w:t xml:space="preserve">btp </w:t>
      </w:r>
      <w:r>
        <w:rPr>
          <w:rStyle w:val="OtherTok"/>
        </w:rPr>
        <w:t xml:space="preserve">&lt;-</w:t>
      </w:r>
      <w:r>
        <w:rPr>
          <w:rStyle w:val="NormalTok"/>
        </w:rPr>
        <w:t xml:space="preserve"> </w:t>
      </w:r>
      <w:r>
        <w:rPr>
          <w:rStyle w:val="FunctionTok"/>
        </w:rPr>
        <w:t xml:space="preserve">open_dataset</w:t>
      </w:r>
      <w:r>
        <w:rPr>
          <w:rStyle w:val="NormalTok"/>
        </w:rPr>
        <w:t xml:space="preserve">(</w:t>
      </w:r>
      <w:r>
        <w:rPr>
          <w:rStyle w:val="StringTok"/>
        </w:rPr>
        <w:t xml:space="preserve">"data/btp.parquet"</w:t>
      </w:r>
      <w:r>
        <w:rPr>
          <w:rStyle w:val="NormalTok"/>
        </w:rPr>
        <w:t xml:space="preserve">)</w:t>
      </w:r>
      <w:r>
        <w:br/>
      </w:r>
      <w:r>
        <w:br/>
      </w:r>
      <w:r>
        <w:rPr>
          <w:rStyle w:val="DocumentationTok"/>
        </w:rPr>
        <w:t xml:space="preserve">## 2. Einfache Filterung mit Arrow</w:t>
      </w:r>
      <w:r>
        <w:br/>
      </w:r>
      <w:r>
        <w:rPr>
          <w:rStyle w:val="NormalTok"/>
        </w:rPr>
        <w:t xml:space="preserve">filtered </w:t>
      </w:r>
      <w:r>
        <w:rPr>
          <w:rStyle w:val="OtherTok"/>
        </w:rPr>
        <w:t xml:space="preserve">&lt;-</w:t>
      </w:r>
      <w:r>
        <w:rPr>
          <w:rStyle w:val="NormalTok"/>
        </w:rPr>
        <w:t xml:space="preserve"> btp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2015</w:t>
      </w:r>
      <w:r>
        <w:rPr>
          <w:rStyle w:val="NormalTok"/>
        </w:rPr>
        <w:t xml:space="preserve">, revenue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(year, sector, revenue, employees)</w:t>
      </w:r>
      <w:r>
        <w:br/>
      </w:r>
      <w:r>
        <w:br/>
      </w:r>
      <w:r>
        <w:rPr>
          <w:rStyle w:val="DocumentationTok"/>
        </w:rPr>
        <w:t xml:space="preserve">## 3. Komplexe Aggregation mit DuckDB</w:t>
      </w:r>
      <w:r>
        <w:br/>
      </w:r>
      <w:r>
        <w:rPr>
          <w:rStyle w:val="NormalTok"/>
        </w:rPr>
        <w:t xml:space="preserve">con </w:t>
      </w:r>
      <w:r>
        <w:rPr>
          <w:rStyle w:val="OtherTok"/>
        </w:rPr>
        <w:t xml:space="preserve">&lt;-</w:t>
      </w:r>
      <w:r>
        <w:rPr>
          <w:rStyle w:val="NormalTok"/>
        </w:rPr>
        <w:t xml:space="preserve"> </w:t>
      </w:r>
      <w:r>
        <w:rPr>
          <w:rStyle w:val="FunctionTok"/>
        </w:rPr>
        <w:t xml:space="preserve">dbConnect</w:t>
      </w:r>
      <w:r>
        <w:rPr>
          <w:rStyle w:val="NormalTok"/>
        </w:rPr>
        <w:t xml:space="preserve">(duckdb</w:t>
      </w:r>
      <w:r>
        <w:rPr>
          <w:rStyle w:val="SpecialCharTok"/>
        </w:rPr>
        <w:t xml:space="preserve">::</w:t>
      </w:r>
      <w:r>
        <w:rPr>
          <w:rStyle w:val="FunctionTok"/>
        </w:rPr>
        <w:t xml:space="preserve">duckdb</w:t>
      </w:r>
      <w:r>
        <w:rPr>
          <w:rStyle w:val="NormalTok"/>
        </w:rPr>
        <w:t xml:space="preserve">())</w:t>
      </w:r>
      <w:r>
        <w:br/>
      </w:r>
      <w:r>
        <w:rPr>
          <w:rStyle w:val="FunctionTok"/>
        </w:rPr>
        <w:t xml:space="preserve">duckdb_register_arrow</w:t>
      </w:r>
      <w:r>
        <w:rPr>
          <w:rStyle w:val="NormalTok"/>
        </w:rPr>
        <w:t xml:space="preserve">(con, </w:t>
      </w:r>
      <w:r>
        <w:rPr>
          <w:rStyle w:val="StringTok"/>
        </w:rPr>
        <w:t xml:space="preserve">"btp_filtered"</w:t>
      </w:r>
      <w:r>
        <w:rPr>
          <w:rStyle w:val="NormalTok"/>
        </w:rPr>
        <w:t xml:space="preserve">, filtered)</w:t>
      </w:r>
      <w:r>
        <w:br/>
      </w:r>
      <w:r>
        <w:br/>
      </w:r>
      <w:r>
        <w:rPr>
          <w:rStyle w:val="NormalTok"/>
        </w:rPr>
        <w:t xml:space="preserve">result </w:t>
      </w:r>
      <w:r>
        <w:rPr>
          <w:rStyle w:val="OtherTok"/>
        </w:rPr>
        <w:t xml:space="preserve">&lt;-</w:t>
      </w:r>
      <w:r>
        <w:rPr>
          <w:rStyle w:val="NormalTok"/>
        </w:rPr>
        <w:t xml:space="preserve"> </w:t>
      </w:r>
      <w:r>
        <w:rPr>
          <w:rStyle w:val="FunctionTok"/>
        </w:rPr>
        <w:t xml:space="preserve">dbGetQuery</w:t>
      </w:r>
      <w:r>
        <w:rPr>
          <w:rStyle w:val="NormalTok"/>
        </w:rPr>
        <w:t xml:space="preserve">(con, </w:t>
      </w:r>
      <w:r>
        <w:rPr>
          <w:rStyle w:val="StringTok"/>
        </w:rPr>
        <w:t xml:space="preserve">"</w:t>
      </w:r>
      <w:r>
        <w:br/>
      </w:r>
      <w:r>
        <w:rPr>
          <w:rStyle w:val="StringTok"/>
        </w:rPr>
        <w:t xml:space="preserve">  SELECT sector,</w:t>
      </w:r>
      <w:r>
        <w:br/>
      </w:r>
      <w:r>
        <w:rPr>
          <w:rStyle w:val="StringTok"/>
        </w:rPr>
        <w:t xml:space="preserve">         AVG(revenue) as mean_revenue,</w:t>
      </w:r>
      <w:r>
        <w:br/>
      </w:r>
      <w:r>
        <w:rPr>
          <w:rStyle w:val="StringTok"/>
        </w:rPr>
        <w:t xml:space="preserve">         STDDEV(revenue) as sd_revenue</w:t>
      </w:r>
      <w:r>
        <w:br/>
      </w:r>
      <w:r>
        <w:rPr>
          <w:rStyle w:val="StringTok"/>
        </w:rPr>
        <w:t xml:space="preserve">  FROM btp_filtered</w:t>
      </w:r>
      <w:r>
        <w:br/>
      </w:r>
      <w:r>
        <w:rPr>
          <w:rStyle w:val="StringTok"/>
        </w:rPr>
        <w:t xml:space="preserve">  GROUP BY sector</w:t>
      </w:r>
      <w:r>
        <w:br/>
      </w:r>
      <w:r>
        <w:rPr>
          <w:rStyle w:val="StringTok"/>
        </w:rPr>
        <w:t xml:space="preserve">  HAVING COUNT(*) &gt;= 30</w:t>
      </w:r>
      <w:r>
        <w:br/>
      </w:r>
      <w:r>
        <w:rPr>
          <w:rStyle w:val="StringTok"/>
        </w:rPr>
        <w:t xml:space="preserve">"</w:t>
      </w:r>
      <w:r>
        <w:rPr>
          <w:rStyle w:val="NormalTok"/>
        </w:rPr>
        <w:t xml:space="preserve">)</w:t>
      </w:r>
      <w:r>
        <w:br/>
      </w:r>
      <w:r>
        <w:br/>
      </w:r>
      <w:r>
        <w:rPr>
          <w:rStyle w:val="DocumentationTok"/>
        </w:rPr>
        <w:t xml:space="preserve">## 4. Aufräumen</w:t>
      </w:r>
      <w:r>
        <w:br/>
      </w:r>
      <w:r>
        <w:rPr>
          <w:rStyle w:val="FunctionTok"/>
        </w:rPr>
        <w:t xml:space="preserve">dbDisconnect</w:t>
      </w:r>
      <w:r>
        <w:rPr>
          <w:rStyle w:val="NormalTok"/>
        </w:rPr>
        <w:t xml:space="preserve">(con, </w:t>
      </w:r>
      <w:r>
        <w:rPr>
          <w:rStyle w:val="AttributeTok"/>
        </w:rPr>
        <w:t xml:space="preserve">shutdown =</w:t>
      </w:r>
      <w:r>
        <w:rPr>
          <w:rStyle w:val="NormalTok"/>
        </w:rPr>
        <w:t xml:space="preserve"> </w:t>
      </w:r>
      <w:r>
        <w:rPr>
          <w:rStyle w:val="ConstantTok"/>
        </w:rPr>
        <w:t xml:space="preserve">TRUE</w:t>
      </w:r>
      <w:r>
        <w:rPr>
          <w:rStyle w:val="NormalTok"/>
        </w:rPr>
        <w:t xml:space="preserve">)</w:t>
      </w:r>
      <w:r>
        <w:br/>
      </w:r>
      <w:r>
        <w:br/>
      </w:r>
      <w:r>
        <w:rPr>
          <w:rStyle w:val="DocumentationTok"/>
        </w:rPr>
        <w:t xml:space="preserve">## 5. Weiterverarbeitung in R</w:t>
      </w:r>
      <w:r>
        <w:br/>
      </w:r>
      <w:r>
        <w:rPr>
          <w:rStyle w:val="NormalTok"/>
        </w:rPr>
        <w:t xml:space="preserve">result </w:t>
      </w:r>
      <w:r>
        <w:rPr>
          <w:rStyle w:val="OtherTok"/>
        </w:rPr>
        <w:t xml:space="preserve">&lt;-</w:t>
      </w:r>
      <w:r>
        <w:rPr>
          <w:rStyle w:val="NormalTok"/>
        </w:rPr>
        <w:t xml:space="preserve"> result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cv =</w:t>
      </w:r>
      <w:r>
        <w:rPr>
          <w:rStyle w:val="NormalTok"/>
        </w:rPr>
        <w:t xml:space="preserve"> sd_revenue </w:t>
      </w:r>
      <w:r>
        <w:rPr>
          <w:rStyle w:val="SpecialCharTok"/>
        </w:rPr>
        <w:t xml:space="preserve">/</w:t>
      </w:r>
      <w:r>
        <w:rPr>
          <w:rStyle w:val="NormalTok"/>
        </w:rPr>
        <w:t xml:space="preserve"> mean_revenue)</w:t>
      </w:r>
    </w:p>
    <w:p>
      <w:pPr>
        <w:pStyle w:val="FirstParagraph"/>
      </w:pPr>
      <w:r>
        <w:t xml:space="preserve">Dieser Workflow kombiniert die Stärken aller Werkzeuge und ist optimal für FDZ-Bedingungen geeignet.</w:t>
      </w:r>
    </w:p>
    <w:bookmarkEnd w:id="51"/>
    <w:bookmarkEnd w:id="52"/>
    <w:bookmarkStart w:id="80" w:name="sec-performance"/>
    <w:p>
      <w:pPr>
        <w:pStyle w:val="Heading2"/>
      </w:pPr>
      <w:r>
        <w:t xml:space="preserve">5 Performanzergebnisse</w:t>
      </w:r>
    </w:p>
    <w:bookmarkStart w:id="53" w:name="experimentelles-setup"/>
    <w:p>
      <w:pPr>
        <w:pStyle w:val="Heading3"/>
      </w:pPr>
      <w:r>
        <w:t xml:space="preserve">5.1 Experimentelles Setup</w:t>
      </w:r>
    </w:p>
    <w:p>
      <w:pPr>
        <w:pStyle w:val="FirstParagraph"/>
      </w:pPr>
      <w:r>
        <w:t xml:space="preserve">Die Performanzmessungen wurden auf einem repräsentativen FDZ-System durchgeführt (2x Intel Xeon Gold 6248R, 48 Kerne, 384 GB RAM, Ubuntu 22.04 LTS). Alle Tests wurden mit R 4.3.2 und aktuellen Versionen der verwendeten Pakete durchgeführt.</w:t>
      </w:r>
    </w:p>
    <w:p>
      <w:pPr>
        <w:pStyle w:val="BodyText"/>
      </w:pPr>
      <w:r>
        <w:rPr>
          <w:b/>
          <w:bCs/>
        </w:rPr>
        <w:t xml:space="preserve">Test-Szenarien.</w:t>
      </w:r>
    </w:p>
    <w:p>
      <w:pPr>
        <w:pStyle w:val="BodyText"/>
      </w:pPr>
      <w:r>
        <w:t xml:space="preserve">Die Evaluation umfasst realistische Auswertungsszenarien aus dem BTP:</w:t>
      </w:r>
    </w:p>
    <w:p>
      <w:pPr>
        <w:pStyle w:val="Compact"/>
        <w:numPr>
          <w:ilvl w:val="0"/>
          <w:numId w:val="1029"/>
        </w:numPr>
      </w:pPr>
      <w:r>
        <w:rPr>
          <w:b/>
          <w:bCs/>
        </w:rPr>
        <w:t xml:space="preserve">Szenario A: Einfache Aggregation</w:t>
      </w:r>
      <w:r>
        <w:t xml:space="preserve"> </w:t>
      </w:r>
      <w:r>
        <w:t xml:space="preserve">- Jahressummen nach Wirtschaftszweig</w:t>
      </w:r>
    </w:p>
    <w:p>
      <w:pPr>
        <w:pStyle w:val="Compact"/>
        <w:numPr>
          <w:ilvl w:val="0"/>
          <w:numId w:val="1029"/>
        </w:numPr>
      </w:pPr>
      <w:r>
        <w:rPr>
          <w:b/>
          <w:bCs/>
        </w:rPr>
        <w:t xml:space="preserve">Szenario B: Komplexe Aggregation</w:t>
      </w:r>
      <w:r>
        <w:t xml:space="preserve"> </w:t>
      </w:r>
      <w:r>
        <w:t xml:space="preserve">- Multi-dimensionale Gruppierung mit mehreren Kennzahlen</w:t>
      </w:r>
    </w:p>
    <w:p>
      <w:pPr>
        <w:pStyle w:val="Compact"/>
        <w:numPr>
          <w:ilvl w:val="0"/>
          <w:numId w:val="1029"/>
        </w:numPr>
      </w:pPr>
      <w:r>
        <w:rPr>
          <w:b/>
          <w:bCs/>
        </w:rPr>
        <w:t xml:space="preserve">Szenario C: Join-Operation</w:t>
      </w:r>
      <w:r>
        <w:t xml:space="preserve"> </w:t>
      </w:r>
      <w:r>
        <w:t xml:space="preserve">- Verknüpfung zweier großer Tabellen</w:t>
      </w:r>
    </w:p>
    <w:p>
      <w:pPr>
        <w:pStyle w:val="Compact"/>
        <w:numPr>
          <w:ilvl w:val="0"/>
          <w:numId w:val="1029"/>
        </w:numPr>
      </w:pPr>
      <w:r>
        <w:rPr>
          <w:b/>
          <w:bCs/>
        </w:rPr>
        <w:t xml:space="preserve">Szenario D: Filterkette</w:t>
      </w:r>
      <w:r>
        <w:t xml:space="preserve"> </w:t>
      </w:r>
      <w:r>
        <w:t xml:space="preserve">- Mehrere aufeinanderfolgende Filter- und Transformationsoperationen</w:t>
      </w:r>
    </w:p>
    <w:bookmarkEnd w:id="53"/>
    <w:bookmarkStart w:id="59" w:name="vergleich-der-datenformate"/>
    <w:p>
      <w:pPr>
        <w:pStyle w:val="Heading3"/>
      </w:pPr>
      <w:r>
        <w:t xml:space="preserve">5.2 Vergleich der Datenformate</w:t>
      </w:r>
    </w:p>
    <w:p>
      <w:pPr>
        <w:pStyle w:val="FirstParagraph"/>
      </w:pPr>
      <w:r>
        <w:rPr>
          <w:b/>
          <w:bCs/>
        </w:rPr>
        <w:t xml:space="preserve">Ladezeiten und Speicherverbrauch.</w:t>
      </w:r>
    </w:p>
    <w:tbl>
      <w:tblPr>
        <w:tblStyle w:val="Table"/>
        <w:tblW w:type="pct" w:w="5000"/>
        <w:tblLayout w:type="fixed"/>
        <w:tblLook w:firstRow="0" w:lastRow="0" w:firstColumn="0" w:lastColumn="0" w:noHBand="0" w:noVBand="0" w:val="0000"/>
      </w:tblPr>
      <w:tblGrid>
        <w:gridCol w:w="7920"/>
      </w:tblGrid>
      <w:tr>
        <w:tc>
          <w:tcPr/>
          <w:bookmarkStart w:id="57" w:name="fig-format-performance"/>
          <w:p>
            <w:pPr>
              <w:pStyle w:val="Compact"/>
              <w:jc w:val="center"/>
            </w:pPr>
            <w:r>
              <w:drawing>
                <wp:inline>
                  <wp:extent cx="6108700" cy="3054350"/>
                  <wp:effectExtent b="0" l="0" r="0" t="0"/>
                  <wp:docPr descr="" title="" id="55" name="Picture"/>
                  <a:graphic>
                    <a:graphicData uri="http://schemas.openxmlformats.org/drawingml/2006/picture">
                      <pic:pic>
                        <pic:nvPicPr>
                          <pic:cNvPr descr="index_files/figure-docx/fig-format-performance-1.png" id="56" name="Picture"/>
                          <pic:cNvPicPr>
                            <a:picLocks noChangeArrowheads="1" noChangeAspect="1"/>
                          </pic:cNvPicPr>
                        </pic:nvPicPr>
                        <pic:blipFill>
                          <a:blip r:embed="rId54"/>
                          <a:stretch>
                            <a:fillRect/>
                          </a:stretch>
                        </pic:blipFill>
                        <pic:spPr bwMode="auto">
                          <a:xfrm>
                            <a:off x="0" y="0"/>
                            <a:ext cx="6108700" cy="3054350"/>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2: Ladezeiten verschiedener Datenformate (BTP-Datensatz, 5 Mio. Zeilen, 50 Variablen)</w:t>
            </w:r>
          </w:p>
          <w:bookmarkEnd w:id="57"/>
        </w:tc>
      </w:tr>
    </w:tbl>
    <w:p>
      <w:pPr>
        <w:pStyle w:val="BodyText"/>
      </w:pPr>
      <w:r>
        <w:rPr>
          <w:b/>
          <w:bCs/>
        </w:rPr>
        <w:t xml:space="preserve">Aggregations-Performance.</w:t>
      </w:r>
    </w:p>
    <w:tbl>
      <w:tblPr>
        <w:tblStyle w:val="Table"/>
        <w:tblW w:type="pct" w:w="5000"/>
        <w:tblLayout w:type="fixed"/>
        <w:tblLook w:firstRow="0" w:lastRow="0" w:firstColumn="0" w:lastColumn="0" w:noHBand="0" w:noVBand="0" w:val="0000"/>
      </w:tblPr>
      <w:tblGrid>
        <w:gridCol w:w="7920"/>
      </w:tblGrid>
      <w:tr>
        <w:tc>
          <w:tcPr/>
          <w:bookmarkStart w:id="58" w:name="tbl-aggregation-performance"/>
          <w:p>
            <w:pPr>
              <w:jc w:val="center"/>
            </w:pPr>
            <w:pPr>
              <w:jc w:val="left"/>
              <w:spacing w:before="200"/>
              <w:pStyle w:val="ImageCaption"/>
            </w:pPr>
            <w:r>
              <w:t xml:space="preserve">Tabelle 3: Ausführungszeiten für Szenario A: Einfache Aggregation (in Sekunden)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Ansatz</w:t>
                  </w:r>
                </w:p>
              </w:tc>
              <w:tc>
                <w:tcPr/>
                <w:p>
                  <w:pPr>
                    <w:pStyle w:val="Compact"/>
                    <w:jc w:val="right"/>
                    <w:jc w:val="center"/>
                  </w:pPr>
                  <w:r>
                    <w:t xml:space="preserve">Laden</w:t>
                  </w:r>
                </w:p>
              </w:tc>
              <w:tc>
                <w:tcPr/>
                <w:p>
                  <w:pPr>
                    <w:pStyle w:val="Compact"/>
                    <w:jc w:val="right"/>
                    <w:jc w:val="center"/>
                  </w:pPr>
                  <w:r>
                    <w:t xml:space="preserve">Aggregation</w:t>
                  </w:r>
                </w:p>
              </w:tc>
              <w:tc>
                <w:tcPr/>
                <w:p>
                  <w:pPr>
                    <w:pStyle w:val="Compact"/>
                    <w:jc w:val="right"/>
                    <w:jc w:val="center"/>
                  </w:pPr>
                  <w:r>
                    <w:t xml:space="preserve">Gesamt</w:t>
                  </w:r>
                </w:p>
              </w:tc>
              <w:tc>
                <w:tcPr/>
                <w:p>
                  <w:pPr>
                    <w:pStyle w:val="Compact"/>
                    <w:jc w:val="right"/>
                    <w:jc w:val="center"/>
                  </w:pPr>
                  <w:r>
                    <w:t xml:space="preserve">Speedup</w:t>
                  </w:r>
                </w:p>
              </w:tc>
            </w:tr>
            <w:tr>
              <w:tc>
                <w:tcPr/>
                <w:p>
                  <w:pPr>
                    <w:pStyle w:val="Compact"/>
                    <w:jc w:val="left"/>
                    <w:jc w:val="center"/>
                  </w:pPr>
                  <w:r>
                    <w:t xml:space="preserve">Base R (read.csv + aggregate)</w:t>
                  </w:r>
                </w:p>
              </w:tc>
              <w:tc>
                <w:tcPr/>
                <w:p>
                  <w:pPr>
                    <w:pStyle w:val="Compact"/>
                    <w:jc w:val="right"/>
                    <w:jc w:val="center"/>
                  </w:pPr>
                  <w:r>
                    <w:t xml:space="preserve">45.2</w:t>
                  </w:r>
                </w:p>
              </w:tc>
              <w:tc>
                <w:tcPr/>
                <w:p>
                  <w:pPr>
                    <w:pStyle w:val="Compact"/>
                    <w:jc w:val="right"/>
                    <w:jc w:val="center"/>
                  </w:pPr>
                  <w:r>
                    <w:t xml:space="preserve">18.7</w:t>
                  </w:r>
                </w:p>
              </w:tc>
              <w:tc>
                <w:tcPr/>
                <w:p>
                  <w:pPr>
                    <w:pStyle w:val="Compact"/>
                    <w:jc w:val="right"/>
                    <w:jc w:val="center"/>
                  </w:pPr>
                  <w:r>
                    <w:t xml:space="preserve">63.9</w:t>
                  </w:r>
                </w:p>
              </w:tc>
              <w:tc>
                <w:tcPr/>
                <w:p>
                  <w:pPr>
                    <w:pStyle w:val="Compact"/>
                    <w:jc w:val="right"/>
                    <w:jc w:val="center"/>
                  </w:pPr>
                  <w:r>
                    <w:t xml:space="preserve">1.0</w:t>
                  </w:r>
                </w:p>
              </w:tc>
            </w:tr>
            <w:tr>
              <w:tc>
                <w:tcPr/>
                <w:p>
                  <w:pPr>
                    <w:pStyle w:val="Compact"/>
                    <w:jc w:val="left"/>
                    <w:jc w:val="center"/>
                  </w:pPr>
                  <w:r>
                    <w:t xml:space="preserve">data.table (fread + groupby)</w:t>
                  </w:r>
                </w:p>
              </w:tc>
              <w:tc>
                <w:tcPr/>
                <w:p>
                  <w:pPr>
                    <w:pStyle w:val="Compact"/>
                    <w:jc w:val="right"/>
                    <w:jc w:val="center"/>
                  </w:pPr>
                  <w:r>
                    <w:t xml:space="preserve">12.1</w:t>
                  </w:r>
                </w:p>
              </w:tc>
              <w:tc>
                <w:tcPr/>
                <w:p>
                  <w:pPr>
                    <w:pStyle w:val="Compact"/>
                    <w:jc w:val="right"/>
                    <w:jc w:val="center"/>
                  </w:pPr>
                  <w:r>
                    <w:t xml:space="preserve">2.3</w:t>
                  </w:r>
                </w:p>
              </w:tc>
              <w:tc>
                <w:tcPr/>
                <w:p>
                  <w:pPr>
                    <w:pStyle w:val="Compact"/>
                    <w:jc w:val="right"/>
                    <w:jc w:val="center"/>
                  </w:pPr>
                  <w:r>
                    <w:t xml:space="preserve">14.4</w:t>
                  </w:r>
                </w:p>
              </w:tc>
              <w:tc>
                <w:tcPr/>
                <w:p>
                  <w:pPr>
                    <w:pStyle w:val="Compact"/>
                    <w:jc w:val="right"/>
                    <w:jc w:val="center"/>
                  </w:pPr>
                  <w:r>
                    <w:t xml:space="preserve">4.4</w:t>
                  </w:r>
                </w:p>
              </w:tc>
            </w:tr>
            <w:tr>
              <w:tc>
                <w:tcPr/>
                <w:p>
                  <w:pPr>
                    <w:pStyle w:val="Compact"/>
                    <w:jc w:val="left"/>
                    <w:jc w:val="center"/>
                  </w:pPr>
                  <w:r>
                    <w:t xml:space="preserve">dplyr + CSV</w:t>
                  </w:r>
                </w:p>
              </w:tc>
              <w:tc>
                <w:tcPr/>
                <w:p>
                  <w:pPr>
                    <w:pStyle w:val="Compact"/>
                    <w:jc w:val="right"/>
                    <w:jc w:val="center"/>
                  </w:pPr>
                  <w:r>
                    <w:t xml:space="preserve">43.8</w:t>
                  </w:r>
                </w:p>
              </w:tc>
              <w:tc>
                <w:tcPr/>
                <w:p>
                  <w:pPr>
                    <w:pStyle w:val="Compact"/>
                    <w:jc w:val="right"/>
                    <w:jc w:val="center"/>
                  </w:pPr>
                  <w:r>
                    <w:t xml:space="preserve">8.9</w:t>
                  </w:r>
                </w:p>
              </w:tc>
              <w:tc>
                <w:tcPr/>
                <w:p>
                  <w:pPr>
                    <w:pStyle w:val="Compact"/>
                    <w:jc w:val="right"/>
                    <w:jc w:val="center"/>
                  </w:pPr>
                  <w:r>
                    <w:t xml:space="preserve">52.7</w:t>
                  </w:r>
                </w:p>
              </w:tc>
              <w:tc>
                <w:tcPr/>
                <w:p>
                  <w:pPr>
                    <w:pStyle w:val="Compact"/>
                    <w:jc w:val="right"/>
                    <w:jc w:val="center"/>
                  </w:pPr>
                  <w:r>
                    <w:t xml:space="preserve">1.2</w:t>
                  </w:r>
                </w:p>
              </w:tc>
            </w:tr>
            <w:tr>
              <w:tc>
                <w:tcPr/>
                <w:p>
                  <w:pPr>
                    <w:pStyle w:val="Compact"/>
                    <w:jc w:val="left"/>
                    <w:jc w:val="center"/>
                  </w:pPr>
                  <w:r>
                    <w:t xml:space="preserve">Arrow + Parquet</w:t>
                  </w:r>
                </w:p>
              </w:tc>
              <w:tc>
                <w:tcPr/>
                <w:p>
                  <w:pPr>
                    <w:pStyle w:val="Compact"/>
                    <w:jc w:val="right"/>
                    <w:jc w:val="center"/>
                  </w:pPr>
                  <w:r>
                    <w:t xml:space="preserve">4.8</w:t>
                  </w:r>
                </w:p>
              </w:tc>
              <w:tc>
                <w:tcPr/>
                <w:p>
                  <w:pPr>
                    <w:pStyle w:val="Compact"/>
                    <w:jc w:val="right"/>
                    <w:jc w:val="center"/>
                  </w:pPr>
                  <w:r>
                    <w:t xml:space="preserve">1.2</w:t>
                  </w:r>
                </w:p>
              </w:tc>
              <w:tc>
                <w:tcPr/>
                <w:p>
                  <w:pPr>
                    <w:pStyle w:val="Compact"/>
                    <w:jc w:val="right"/>
                    <w:jc w:val="center"/>
                  </w:pPr>
                  <w:r>
                    <w:t xml:space="preserve">6.0</w:t>
                  </w:r>
                </w:p>
              </w:tc>
              <w:tc>
                <w:tcPr/>
                <w:p>
                  <w:pPr>
                    <w:pStyle w:val="Compact"/>
                    <w:jc w:val="right"/>
                    <w:jc w:val="center"/>
                  </w:pPr>
                  <w:r>
                    <w:t xml:space="preserve">10.7</w:t>
                  </w:r>
                </w:p>
              </w:tc>
            </w:tr>
            <w:tr>
              <w:tc>
                <w:tcPr/>
                <w:p>
                  <w:pPr>
                    <w:pStyle w:val="Compact"/>
                    <w:jc w:val="left"/>
                    <w:jc w:val="center"/>
                  </w:pPr>
                  <w:r>
                    <w:t xml:space="preserve">DuckDB + Parquet</w:t>
                  </w:r>
                </w:p>
              </w:tc>
              <w:tc>
                <w:tcPr/>
                <w:p>
                  <w:pPr>
                    <w:pStyle w:val="Compact"/>
                    <w:jc w:val="right"/>
                    <w:jc w:val="center"/>
                  </w:pPr>
                  <w:r>
                    <w:t xml:space="preserve">0.3</w:t>
                  </w:r>
                </w:p>
              </w:tc>
              <w:tc>
                <w:tcPr/>
                <w:p>
                  <w:pPr>
                    <w:pStyle w:val="Compact"/>
                    <w:jc w:val="right"/>
                    <w:jc w:val="center"/>
                  </w:pPr>
                  <w:r>
                    <w:t xml:space="preserve">0.8</w:t>
                  </w:r>
                </w:p>
              </w:tc>
              <w:tc>
                <w:tcPr/>
                <w:p>
                  <w:pPr>
                    <w:pStyle w:val="Compact"/>
                    <w:jc w:val="right"/>
                    <w:jc w:val="center"/>
                  </w:pPr>
                  <w:r>
                    <w:t xml:space="preserve">1.1</w:t>
                  </w:r>
                </w:p>
              </w:tc>
              <w:tc>
                <w:tcPr/>
                <w:p>
                  <w:pPr>
                    <w:pStyle w:val="Compact"/>
                    <w:jc w:val="right"/>
                    <w:jc w:val="center"/>
                  </w:pPr>
                  <w:r>
                    <w:t xml:space="preserve">58.1</w:t>
                  </w:r>
                </w:p>
              </w:tc>
            </w:tr>
            <w:tr>
              <w:tc>
                <w:tcPr/>
                <w:p>
                  <w:pPr>
                    <w:pStyle w:val="Compact"/>
                    <w:jc w:val="left"/>
                    <w:jc w:val="center"/>
                  </w:pPr>
                  <w:r>
                    <w:t xml:space="preserve">Arrow + Parquet (partitioniert)</w:t>
                  </w:r>
                </w:p>
              </w:tc>
              <w:tc>
                <w:tcPr/>
                <w:p>
                  <w:pPr>
                    <w:pStyle w:val="Compact"/>
                    <w:jc w:val="right"/>
                    <w:jc w:val="center"/>
                  </w:pPr>
                  <w:r>
                    <w:t xml:space="preserve">0.2</w:t>
                  </w:r>
                </w:p>
              </w:tc>
              <w:tc>
                <w:tcPr/>
                <w:p>
                  <w:pPr>
                    <w:pStyle w:val="Compact"/>
                    <w:jc w:val="right"/>
                    <w:jc w:val="center"/>
                  </w:pPr>
                  <w:r>
                    <w:t xml:space="preserve">0.5</w:t>
                  </w:r>
                </w:p>
              </w:tc>
              <w:tc>
                <w:tcPr/>
                <w:p>
                  <w:pPr>
                    <w:pStyle w:val="Compact"/>
                    <w:jc w:val="right"/>
                    <w:jc w:val="center"/>
                  </w:pPr>
                  <w:r>
                    <w:t xml:space="preserve">0.7</w:t>
                  </w:r>
                </w:p>
              </w:tc>
              <w:tc>
                <w:tcPr/>
                <w:p>
                  <w:pPr>
                    <w:pStyle w:val="Compact"/>
                    <w:jc w:val="right"/>
                    <w:jc w:val="center"/>
                  </w:pPr>
                  <w:r>
                    <w:t xml:space="preserve">91.3</w:t>
                  </w:r>
                </w:p>
              </w:tc>
            </w:tr>
          </w:tbl>
          <w:bookmarkEnd w:id="58"/>
          <w:p/>
        </w:tc>
      </w:tr>
    </w:tbl>
    <w:bookmarkEnd w:id="59"/>
    <w:bookmarkStart w:id="64" w:name="skalierungsverhalten"/>
    <w:p>
      <w:pPr>
        <w:pStyle w:val="Heading3"/>
      </w:pPr>
      <w:r>
        <w:t xml:space="preserve">5.3 Skalierungsverhalten</w:t>
      </w:r>
    </w:p>
    <w:p>
      <w:pPr>
        <w:pStyle w:val="FirstParagraph"/>
      </w:pPr>
      <w:r>
        <w:rPr>
          <w:b/>
          <w:bCs/>
        </w:rPr>
        <w:t xml:space="preserve">Performance bei wachsender Datenmenge.</w:t>
      </w:r>
    </w:p>
    <w:tbl>
      <w:tblPr>
        <w:tblStyle w:val="Table"/>
        <w:tblW w:type="pct" w:w="5000"/>
        <w:tblLayout w:type="fixed"/>
        <w:tblLook w:firstRow="0" w:lastRow="0" w:firstColumn="0" w:lastColumn="0" w:noHBand="0" w:noVBand="0" w:val="0000"/>
      </w:tblPr>
      <w:tblGrid>
        <w:gridCol w:w="7920"/>
      </w:tblGrid>
      <w:tr>
        <w:tc>
          <w:tcPr/>
          <w:bookmarkStart w:id="63" w:name="fig-scaling-behavior"/>
          <w:p>
            <w:pPr>
              <w:pStyle w:val="Compact"/>
              <w:jc w:val="center"/>
            </w:pPr>
            <w:r>
              <w:drawing>
                <wp:inline>
                  <wp:extent cx="6108700" cy="3665220"/>
                  <wp:effectExtent b="0" l="0" r="0" t="0"/>
                  <wp:docPr descr="" title="" id="61" name="Picture"/>
                  <a:graphic>
                    <a:graphicData uri="http://schemas.openxmlformats.org/drawingml/2006/picture">
                      <pic:pic>
                        <pic:nvPicPr>
                          <pic:cNvPr descr="index_files/figure-docx/fig-scaling-behavior-1.png" id="62" name="Picture"/>
                          <pic:cNvPicPr>
                            <a:picLocks noChangeArrowheads="1" noChangeAspect="1"/>
                          </pic:cNvPicPr>
                        </pic:nvPicPr>
                        <pic:blipFill>
                          <a:blip r:embed="rId60"/>
                          <a:stretch>
                            <a:fillRect/>
                          </a:stretch>
                        </pic:blipFill>
                        <pic:spPr bwMode="auto">
                          <a:xfrm>
                            <a:off x="0" y="0"/>
                            <a:ext cx="6108700" cy="3665220"/>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3: Skalierungsverhalten verschiedener Ansätze (Szenario B: Komplexe Aggregation)</w:t>
            </w:r>
          </w:p>
          <w:bookmarkEnd w:id="63"/>
        </w:tc>
      </w:tr>
    </w:tbl>
    <w:bookmarkEnd w:id="64"/>
    <w:bookmarkStart w:id="69" w:name="join-performance"/>
    <w:p>
      <w:pPr>
        <w:pStyle w:val="Heading3"/>
      </w:pPr>
      <w:r>
        <w:t xml:space="preserve">5.4 Join-Performance</w:t>
      </w:r>
    </w:p>
    <w:p>
      <w:pPr>
        <w:pStyle w:val="FirstParagraph"/>
      </w:pPr>
      <w:r>
        <w:rPr>
          <w:b/>
          <w:bCs/>
        </w:rPr>
        <w:t xml:space="preserve">Verschiedene Join-Strategien.</w:t>
      </w:r>
    </w:p>
    <w:p>
      <w:pPr>
        <w:pStyle w:val="BodyText"/>
      </w:pPr>
      <w:r>
        <w:t xml:space="preserve">Die Verknüpfung großer Datensätze ist eine häufige Operation bei der Arbeit mit dem BTP:</w:t>
      </w:r>
    </w:p>
    <w:tbl>
      <w:tblPr>
        <w:tblStyle w:val="Table"/>
        <w:tblW w:type="pct" w:w="5000"/>
        <w:tblLayout w:type="fixed"/>
        <w:tblLook w:firstRow="0" w:lastRow="0" w:firstColumn="0" w:lastColumn="0" w:noHBand="0" w:noVBand="0" w:val="0000"/>
      </w:tblPr>
      <w:tblGrid>
        <w:gridCol w:w="7920"/>
      </w:tblGrid>
      <w:tr>
        <w:tc>
          <w:tcPr/>
          <w:bookmarkStart w:id="68" w:name="fig-join-performance"/>
          <w:p>
            <w:pPr>
              <w:pStyle w:val="Compact"/>
              <w:jc w:val="center"/>
            </w:pPr>
            <w:r>
              <w:drawing>
                <wp:inline>
                  <wp:extent cx="6108700" cy="3054350"/>
                  <wp:effectExtent b="0" l="0" r="0" t="0"/>
                  <wp:docPr descr="" title="" id="66" name="Picture"/>
                  <a:graphic>
                    <a:graphicData uri="http://schemas.openxmlformats.org/drawingml/2006/picture">
                      <pic:pic>
                        <pic:nvPicPr>
                          <pic:cNvPr descr="index_files/figure-docx/fig-join-performance-1.png" id="67" name="Picture"/>
                          <pic:cNvPicPr>
                            <a:picLocks noChangeArrowheads="1" noChangeAspect="1"/>
                          </pic:cNvPicPr>
                        </pic:nvPicPr>
                        <pic:blipFill>
                          <a:blip r:embed="rId65"/>
                          <a:stretch>
                            <a:fillRect/>
                          </a:stretch>
                        </pic:blipFill>
                        <pic:spPr bwMode="auto">
                          <a:xfrm>
                            <a:off x="0" y="0"/>
                            <a:ext cx="6108700" cy="3054350"/>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4: Join-Performance bei verschiedenen Datensatzgrößen (Inner Join zweier Tabellen)</w:t>
            </w:r>
          </w:p>
          <w:bookmarkEnd w:id="68"/>
        </w:tc>
      </w:tr>
    </w:tbl>
    <w:bookmarkEnd w:id="69"/>
    <w:bookmarkStart w:id="71" w:name="parallelisierungs-effizienz"/>
    <w:p>
      <w:pPr>
        <w:pStyle w:val="Heading3"/>
      </w:pPr>
      <w:r>
        <w:t xml:space="preserve">5.5 Parallelisierungs-Effizienz</w:t>
      </w:r>
    </w:p>
    <w:p>
      <w:pPr>
        <w:pStyle w:val="FirstParagraph"/>
      </w:pPr>
      <w:r>
        <w:rPr>
          <w:b/>
          <w:bCs/>
        </w:rPr>
        <w:t xml:space="preserve">Speedup durch Multi-Threading.</w:t>
      </w:r>
    </w:p>
    <w:tbl>
      <w:tblPr>
        <w:tblStyle w:val="Table"/>
        <w:tblW w:type="pct" w:w="5000"/>
        <w:tblLayout w:type="fixed"/>
        <w:tblLook w:firstRow="0" w:lastRow="0" w:firstColumn="0" w:lastColumn="0" w:noHBand="0" w:noVBand="0" w:val="0000"/>
      </w:tblPr>
      <w:tblGrid>
        <w:gridCol w:w="7920"/>
      </w:tblGrid>
      <w:tr>
        <w:tc>
          <w:tcPr/>
          <w:bookmarkStart w:id="70" w:name="tbl-parallel-speedup"/>
          <w:p>
            <w:pPr>
              <w:jc w:val="center"/>
            </w:pPr>
            <w:pPr>
              <w:jc w:val="left"/>
              <w:spacing w:before="200"/>
              <w:pStyle w:val="ImageCaption"/>
            </w:pPr>
            <w:r>
              <w:t xml:space="preserve">Tabelle 4: Speedup durch Parallelisierung (Szenario D: Filterkette, 10 Mio. Zeilen)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jc w:val="center"/>
                  </w:pPr>
                  <w:r>
                    <w:t xml:space="preserve">Kerne</w:t>
                  </w:r>
                </w:p>
              </w:tc>
              <w:tc>
                <w:tcPr/>
                <w:p>
                  <w:pPr>
                    <w:pStyle w:val="Compact"/>
                    <w:jc w:val="right"/>
                    <w:jc w:val="center"/>
                  </w:pPr>
                  <w:r>
                    <w:t xml:space="preserve">Arrow (s)</w:t>
                  </w:r>
                </w:p>
              </w:tc>
              <w:tc>
                <w:tcPr/>
                <w:p>
                  <w:pPr>
                    <w:pStyle w:val="Compact"/>
                    <w:jc w:val="right"/>
                    <w:jc w:val="center"/>
                  </w:pPr>
                  <w:r>
                    <w:t xml:space="preserve">DuckDB (s)</w:t>
                  </w:r>
                </w:p>
              </w:tc>
              <w:tc>
                <w:tcPr/>
                <w:p>
                  <w:pPr>
                    <w:pStyle w:val="Compact"/>
                    <w:jc w:val="right"/>
                    <w:jc w:val="center"/>
                  </w:pPr>
                  <w:r>
                    <w:t xml:space="preserve">Arrow Speedup</w:t>
                  </w:r>
                </w:p>
              </w:tc>
              <w:tc>
                <w:tcPr/>
                <w:p>
                  <w:pPr>
                    <w:pStyle w:val="Compact"/>
                    <w:jc w:val="right"/>
                    <w:jc w:val="center"/>
                  </w:pPr>
                  <w:r>
                    <w:t xml:space="preserve">DuckDB Speedup</w:t>
                  </w:r>
                </w:p>
              </w:tc>
            </w:tr>
            <w:tr>
              <w:tc>
                <w:tcPr/>
                <w:p>
                  <w:pPr>
                    <w:pStyle w:val="Compact"/>
                    <w:jc w:val="right"/>
                    <w:jc w:val="center"/>
                  </w:pPr>
                  <w:r>
                    <w:t xml:space="preserve">1</w:t>
                  </w:r>
                </w:p>
              </w:tc>
              <w:tc>
                <w:tcPr/>
                <w:p>
                  <w:pPr>
                    <w:pStyle w:val="Compact"/>
                    <w:jc w:val="right"/>
                    <w:jc w:val="center"/>
                  </w:pPr>
                  <w:r>
                    <w:t xml:space="preserve">25.3</w:t>
                  </w:r>
                </w:p>
              </w:tc>
              <w:tc>
                <w:tcPr/>
                <w:p>
                  <w:pPr>
                    <w:pStyle w:val="Compact"/>
                    <w:jc w:val="right"/>
                    <w:jc w:val="center"/>
                  </w:pPr>
                  <w:r>
                    <w:t xml:space="preserve">9.8</w:t>
                  </w:r>
                </w:p>
              </w:tc>
              <w:tc>
                <w:tcPr/>
                <w:p>
                  <w:pPr>
                    <w:pStyle w:val="Compact"/>
                    <w:jc w:val="right"/>
                    <w:jc w:val="center"/>
                  </w:pPr>
                  <w:r>
                    <w:t xml:space="preserve">1.0</w:t>
                  </w:r>
                </w:p>
              </w:tc>
              <w:tc>
                <w:tcPr/>
                <w:p>
                  <w:pPr>
                    <w:pStyle w:val="Compact"/>
                    <w:jc w:val="right"/>
                    <w:jc w:val="center"/>
                  </w:pPr>
                  <w:r>
                    <w:t xml:space="preserve">1.0</w:t>
                  </w:r>
                </w:p>
              </w:tc>
            </w:tr>
            <w:tr>
              <w:tc>
                <w:tcPr/>
                <w:p>
                  <w:pPr>
                    <w:pStyle w:val="Compact"/>
                    <w:jc w:val="right"/>
                    <w:jc w:val="center"/>
                  </w:pPr>
                  <w:r>
                    <w:t xml:space="preserve">2</w:t>
                  </w:r>
                </w:p>
              </w:tc>
              <w:tc>
                <w:tcPr/>
                <w:p>
                  <w:pPr>
                    <w:pStyle w:val="Compact"/>
                    <w:jc w:val="right"/>
                    <w:jc w:val="center"/>
                  </w:pPr>
                  <w:r>
                    <w:t xml:space="preserve">13.2</w:t>
                  </w:r>
                </w:p>
              </w:tc>
              <w:tc>
                <w:tcPr/>
                <w:p>
                  <w:pPr>
                    <w:pStyle w:val="Compact"/>
                    <w:jc w:val="right"/>
                    <w:jc w:val="center"/>
                  </w:pPr>
                  <w:r>
                    <w:t xml:space="preserve">5.1</w:t>
                  </w:r>
                </w:p>
              </w:tc>
              <w:tc>
                <w:tcPr/>
                <w:p>
                  <w:pPr>
                    <w:pStyle w:val="Compact"/>
                    <w:jc w:val="right"/>
                    <w:jc w:val="center"/>
                  </w:pPr>
                  <w:r>
                    <w:t xml:space="preserve">1.9</w:t>
                  </w:r>
                </w:p>
              </w:tc>
              <w:tc>
                <w:tcPr/>
                <w:p>
                  <w:pPr>
                    <w:pStyle w:val="Compact"/>
                    <w:jc w:val="right"/>
                    <w:jc w:val="center"/>
                  </w:pPr>
                  <w:r>
                    <w:t xml:space="preserve">1.9</w:t>
                  </w:r>
                </w:p>
              </w:tc>
            </w:tr>
            <w:tr>
              <w:tc>
                <w:tcPr/>
                <w:p>
                  <w:pPr>
                    <w:pStyle w:val="Compact"/>
                    <w:jc w:val="right"/>
                    <w:jc w:val="center"/>
                  </w:pPr>
                  <w:r>
                    <w:t xml:space="preserve">4</w:t>
                  </w:r>
                </w:p>
              </w:tc>
              <w:tc>
                <w:tcPr/>
                <w:p>
                  <w:pPr>
                    <w:pStyle w:val="Compact"/>
                    <w:jc w:val="right"/>
                    <w:jc w:val="center"/>
                  </w:pPr>
                  <w:r>
                    <w:t xml:space="preserve">7.1</w:t>
                  </w:r>
                </w:p>
              </w:tc>
              <w:tc>
                <w:tcPr/>
                <w:p>
                  <w:pPr>
                    <w:pStyle w:val="Compact"/>
                    <w:jc w:val="right"/>
                    <w:jc w:val="center"/>
                  </w:pPr>
                  <w:r>
                    <w:t xml:space="preserve">2.7</w:t>
                  </w:r>
                </w:p>
              </w:tc>
              <w:tc>
                <w:tcPr/>
                <w:p>
                  <w:pPr>
                    <w:pStyle w:val="Compact"/>
                    <w:jc w:val="right"/>
                    <w:jc w:val="center"/>
                  </w:pPr>
                  <w:r>
                    <w:t xml:space="preserve">3.6</w:t>
                  </w:r>
                </w:p>
              </w:tc>
              <w:tc>
                <w:tcPr/>
                <w:p>
                  <w:pPr>
                    <w:pStyle w:val="Compact"/>
                    <w:jc w:val="right"/>
                    <w:jc w:val="center"/>
                  </w:pPr>
                  <w:r>
                    <w:t xml:space="preserve">3.6</w:t>
                  </w:r>
                </w:p>
              </w:tc>
            </w:tr>
            <w:tr>
              <w:tc>
                <w:tcPr/>
                <w:p>
                  <w:pPr>
                    <w:pStyle w:val="Compact"/>
                    <w:jc w:val="right"/>
                    <w:jc w:val="center"/>
                  </w:pPr>
                  <w:r>
                    <w:t xml:space="preserve">8</w:t>
                  </w:r>
                </w:p>
              </w:tc>
              <w:tc>
                <w:tcPr/>
                <w:p>
                  <w:pPr>
                    <w:pStyle w:val="Compact"/>
                    <w:jc w:val="right"/>
                    <w:jc w:val="center"/>
                  </w:pPr>
                  <w:r>
                    <w:t xml:space="preserve">3.9</w:t>
                  </w:r>
                </w:p>
              </w:tc>
              <w:tc>
                <w:tcPr/>
                <w:p>
                  <w:pPr>
                    <w:pStyle w:val="Compact"/>
                    <w:jc w:val="right"/>
                    <w:jc w:val="center"/>
                  </w:pPr>
                  <w:r>
                    <w:t xml:space="preserve">1.5</w:t>
                  </w:r>
                </w:p>
              </w:tc>
              <w:tc>
                <w:tcPr/>
                <w:p>
                  <w:pPr>
                    <w:pStyle w:val="Compact"/>
                    <w:jc w:val="right"/>
                    <w:jc w:val="center"/>
                  </w:pPr>
                  <w:r>
                    <w:t xml:space="preserve">6.5</w:t>
                  </w:r>
                </w:p>
              </w:tc>
              <w:tc>
                <w:tcPr/>
                <w:p>
                  <w:pPr>
                    <w:pStyle w:val="Compact"/>
                    <w:jc w:val="right"/>
                    <w:jc w:val="center"/>
                  </w:pPr>
                  <w:r>
                    <w:t xml:space="preserve">6.5</w:t>
                  </w:r>
                </w:p>
              </w:tc>
            </w:tr>
            <w:tr>
              <w:tc>
                <w:tcPr/>
                <w:p>
                  <w:pPr>
                    <w:pStyle w:val="Compact"/>
                    <w:jc w:val="right"/>
                    <w:jc w:val="center"/>
                  </w:pPr>
                  <w:r>
                    <w:t xml:space="preserve">16</w:t>
                  </w:r>
                </w:p>
              </w:tc>
              <w:tc>
                <w:tcPr/>
                <w:p>
                  <w:pPr>
                    <w:pStyle w:val="Compact"/>
                    <w:jc w:val="right"/>
                    <w:jc w:val="center"/>
                  </w:pPr>
                  <w:r>
                    <w:t xml:space="preserve">2.3</w:t>
                  </w:r>
                </w:p>
              </w:tc>
              <w:tc>
                <w:tcPr/>
                <w:p>
                  <w:pPr>
                    <w:pStyle w:val="Compact"/>
                    <w:jc w:val="right"/>
                    <w:jc w:val="center"/>
                  </w:pPr>
                  <w:r>
                    <w:t xml:space="preserve">0.9</w:t>
                  </w:r>
                </w:p>
              </w:tc>
              <w:tc>
                <w:tcPr/>
                <w:p>
                  <w:pPr>
                    <w:pStyle w:val="Compact"/>
                    <w:jc w:val="right"/>
                    <w:jc w:val="center"/>
                  </w:pPr>
                  <w:r>
                    <w:t xml:space="preserve">11.0</w:t>
                  </w:r>
                </w:p>
              </w:tc>
              <w:tc>
                <w:tcPr/>
                <w:p>
                  <w:pPr>
                    <w:pStyle w:val="Compact"/>
                    <w:jc w:val="right"/>
                    <w:jc w:val="center"/>
                  </w:pPr>
                  <w:r>
                    <w:t xml:space="preserve">10.9</w:t>
                  </w:r>
                </w:p>
              </w:tc>
            </w:tr>
            <w:tr>
              <w:tc>
                <w:tcPr/>
                <w:p>
                  <w:pPr>
                    <w:pStyle w:val="Compact"/>
                    <w:jc w:val="right"/>
                    <w:jc w:val="center"/>
                  </w:pPr>
                  <w:r>
                    <w:t xml:space="preserve">32</w:t>
                  </w:r>
                </w:p>
              </w:tc>
              <w:tc>
                <w:tcPr/>
                <w:p>
                  <w:pPr>
                    <w:pStyle w:val="Compact"/>
                    <w:jc w:val="right"/>
                    <w:jc w:val="center"/>
                  </w:pPr>
                  <w:r>
                    <w:t xml:space="preserve">1.8</w:t>
                  </w:r>
                </w:p>
              </w:tc>
              <w:tc>
                <w:tcPr/>
                <w:p>
                  <w:pPr>
                    <w:pStyle w:val="Compact"/>
                    <w:jc w:val="right"/>
                    <w:jc w:val="center"/>
                  </w:pPr>
                  <w:r>
                    <w:t xml:space="preserve">0.7</w:t>
                  </w:r>
                </w:p>
              </w:tc>
              <w:tc>
                <w:tcPr/>
                <w:p>
                  <w:pPr>
                    <w:pStyle w:val="Compact"/>
                    <w:jc w:val="right"/>
                    <w:jc w:val="center"/>
                  </w:pPr>
                  <w:r>
                    <w:t xml:space="preserve">14.1</w:t>
                  </w:r>
                </w:p>
              </w:tc>
              <w:tc>
                <w:tcPr/>
                <w:p>
                  <w:pPr>
                    <w:pStyle w:val="Compact"/>
                    <w:jc w:val="right"/>
                    <w:jc w:val="center"/>
                  </w:pPr>
                  <w:r>
                    <w:t xml:space="preserve">14.0</w:t>
                  </w:r>
                </w:p>
              </w:tc>
            </w:tr>
          </w:tbl>
          <w:bookmarkEnd w:id="70"/>
          <w:p/>
        </w:tc>
      </w:tr>
    </w:tbl>
    <w:bookmarkEnd w:id="71"/>
    <w:bookmarkStart w:id="76" w:name="speichereffizienz"/>
    <w:p>
      <w:pPr>
        <w:pStyle w:val="Heading3"/>
      </w:pPr>
      <w:r>
        <w:t xml:space="preserve">5.6 Speichereffizienz</w:t>
      </w:r>
    </w:p>
    <w:p>
      <w:pPr>
        <w:pStyle w:val="FirstParagraph"/>
      </w:pPr>
      <w:r>
        <w:rPr>
          <w:b/>
          <w:bCs/>
        </w:rPr>
        <w:t xml:space="preserve">Memory Footprint.</w:t>
      </w:r>
    </w:p>
    <w:p>
      <w:pPr>
        <w:pStyle w:val="BodyText"/>
      </w:pPr>
      <w:r>
        <w:t xml:space="preserve">Ein kritischer Faktor in der FDZ-Umgebung ist der Speicherverbrauch:</w:t>
      </w:r>
    </w:p>
    <w:tbl>
      <w:tblPr>
        <w:tblStyle w:val="Table"/>
        <w:tblW w:type="pct" w:w="5000"/>
        <w:tblLayout w:type="fixed"/>
        <w:tblLook w:firstRow="0" w:lastRow="0" w:firstColumn="0" w:lastColumn="0" w:noHBand="0" w:noVBand="0" w:val="0000"/>
      </w:tblPr>
      <w:tblGrid>
        <w:gridCol w:w="7920"/>
      </w:tblGrid>
      <w:tr>
        <w:tc>
          <w:tcPr/>
          <w:bookmarkStart w:id="75" w:name="fig-memory-efficiency"/>
          <w:p>
            <w:pPr>
              <w:pStyle w:val="Compact"/>
              <w:jc w:val="center"/>
            </w:pPr>
            <w:r>
              <w:drawing>
                <wp:inline>
                  <wp:extent cx="6108700" cy="3054350"/>
                  <wp:effectExtent b="0" l="0" r="0" t="0"/>
                  <wp:docPr descr="" title="" id="73" name="Picture"/>
                  <a:graphic>
                    <a:graphicData uri="http://schemas.openxmlformats.org/drawingml/2006/picture">
                      <pic:pic>
                        <pic:nvPicPr>
                          <pic:cNvPr descr="index_files/figure-docx/fig-memory-efficiency-1.png" id="74" name="Picture"/>
                          <pic:cNvPicPr>
                            <a:picLocks noChangeArrowheads="1" noChangeAspect="1"/>
                          </pic:cNvPicPr>
                        </pic:nvPicPr>
                        <pic:blipFill>
                          <a:blip r:embed="rId72"/>
                          <a:stretch>
                            <a:fillRect/>
                          </a:stretch>
                        </pic:blipFill>
                        <pic:spPr bwMode="auto">
                          <a:xfrm>
                            <a:off x="0" y="0"/>
                            <a:ext cx="6108700" cy="3054350"/>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5: Peak Memory Usage verschiedener Ansätze (5 Mio. Zeilen)</w:t>
            </w:r>
          </w:p>
          <w:bookmarkEnd w:id="75"/>
        </w:tc>
      </w:tr>
    </w:tbl>
    <w:bookmarkEnd w:id="76"/>
    <w:bookmarkStart w:id="78" w:name="praktische-implikationen"/>
    <w:p>
      <w:pPr>
        <w:pStyle w:val="Heading3"/>
      </w:pPr>
      <w:r>
        <w:t xml:space="preserve">5.7 Praktische Implikationen</w:t>
      </w:r>
    </w:p>
    <w:p>
      <w:pPr>
        <w:pStyle w:val="FirstParagraph"/>
      </w:pPr>
      <w:r>
        <w:rPr>
          <w:b/>
          <w:bCs/>
        </w:rPr>
        <w:t xml:space="preserve">Empfehlungen nach Anwendungsfall.</w:t>
      </w:r>
    </w:p>
    <w:p>
      <w:pPr>
        <w:pStyle w:val="BodyText"/>
      </w:pPr>
      <w:r>
        <w:t xml:space="preserve">Basierend auf den Performanzmessungen lassen sich folgende Empfehlungen ableiten:</w:t>
      </w:r>
    </w:p>
    <w:tbl>
      <w:tblPr>
        <w:tblStyle w:val="Table"/>
        <w:tblW w:type="pct" w:w="5000"/>
        <w:tblLayout w:type="fixed"/>
        <w:tblLook w:firstRow="0" w:lastRow="0" w:firstColumn="0" w:lastColumn="0" w:noHBand="0" w:noVBand="0" w:val="0000"/>
      </w:tblPr>
      <w:tblGrid>
        <w:gridCol w:w="7920"/>
      </w:tblGrid>
      <w:tr>
        <w:tc>
          <w:tcPr/>
          <w:bookmarkStart w:id="77" w:name="tbl-recommendations"/>
          <w:p>
            <w:pPr>
              <w:jc w:val="center"/>
            </w:pPr>
            <w:pPr>
              <w:jc w:val="left"/>
              <w:spacing w:before="200"/>
              <w:pStyle w:val="ImageCaption"/>
            </w:pPr>
            <w:r>
              <w:t xml:space="preserve">Tabelle 5: Empfohlene Werkzeuge nach Anwendungsfall</w:t>
            </w:r>
          </w:p>
          <w:tbl>
            <w:tblPr>
              <w:tblStyle w:val="Table"/>
              <w:tblW w:type="pct" w:w="5000"/>
              <w:tblLayout w:type="fixed"/>
              <w:tblLook w:firstRow="1" w:lastRow="0" w:firstColumn="0" w:lastColumn="0" w:noHBand="0" w:noVBand="0" w:val="0020"/>
            </w:tblPr>
            <w:tblGrid>
              <w:gridCol w:w="2640"/>
              <w:gridCol w:w="1030"/>
              <w:gridCol w:w="1159"/>
              <w:gridCol w:w="3090"/>
            </w:tblGrid>
            <w:tr>
              <w:trPr>
                <w:tblHeader w:val="on"/>
              </w:trPr>
              <w:tc>
                <w:tcPr/>
                <w:p>
                  <w:pPr>
                    <w:pStyle w:val="Compact"/>
                    <w:jc w:val="left"/>
                    <w:jc w:val="center"/>
                  </w:pPr>
                  <w:r>
                    <w:t xml:space="preserve">Anwendungsfall</w:t>
                  </w:r>
                </w:p>
              </w:tc>
              <w:tc>
                <w:tcPr/>
                <w:p>
                  <w:pPr>
                    <w:pStyle w:val="Compact"/>
                    <w:jc w:val="left"/>
                    <w:jc w:val="center"/>
                  </w:pPr>
                  <w:r>
                    <w:t xml:space="preserve">1. Wahl</w:t>
                  </w:r>
                </w:p>
              </w:tc>
              <w:tc>
                <w:tcPr/>
                <w:p>
                  <w:pPr>
                    <w:pStyle w:val="Compact"/>
                    <w:jc w:val="left"/>
                    <w:jc w:val="center"/>
                  </w:pPr>
                  <w:r>
                    <w:t xml:space="preserve">2. Wahl</w:t>
                  </w:r>
                </w:p>
              </w:tc>
              <w:tc>
                <w:tcPr/>
                <w:p>
                  <w:pPr>
                    <w:pStyle w:val="Compact"/>
                    <w:jc w:val="left"/>
                    <w:jc w:val="center"/>
                  </w:pPr>
                  <w:r>
                    <w:t xml:space="preserve">Begründung</w:t>
                  </w:r>
                </w:p>
              </w:tc>
            </w:tr>
            <w:tr>
              <w:tc>
                <w:tcPr/>
                <w:p>
                  <w:pPr>
                    <w:pStyle w:val="Compact"/>
                    <w:jc w:val="left"/>
                    <w:jc w:val="center"/>
                  </w:pPr>
                  <w:r>
                    <w:t xml:space="preserve">Kleine Datensätze (&lt;1M Zeilen)</w:t>
                  </w:r>
                </w:p>
              </w:tc>
              <w:tc>
                <w:tcPr/>
                <w:p>
                  <w:pPr>
                    <w:pStyle w:val="Compact"/>
                    <w:jc w:val="left"/>
                    <w:jc w:val="center"/>
                  </w:pPr>
                  <w:r>
                    <w:t xml:space="preserve">data.table</w:t>
                  </w:r>
                </w:p>
              </w:tc>
              <w:tc>
                <w:tcPr/>
                <w:p>
                  <w:pPr>
                    <w:pStyle w:val="Compact"/>
                    <w:jc w:val="left"/>
                    <w:jc w:val="center"/>
                  </w:pPr>
                  <w:r>
                    <w:t xml:space="preserve">Base R</w:t>
                  </w:r>
                </w:p>
              </w:tc>
              <w:tc>
                <w:tcPr/>
                <w:p>
                  <w:pPr>
                    <w:pStyle w:val="Compact"/>
                    <w:jc w:val="left"/>
                    <w:jc w:val="center"/>
                  </w:pPr>
                  <w:r>
                    <w:t xml:space="preserve">Einfachheit, gute Performance</w:t>
                  </w:r>
                </w:p>
              </w:tc>
            </w:tr>
            <w:tr>
              <w:tc>
                <w:tcPr/>
                <w:p>
                  <w:pPr>
                    <w:pStyle w:val="Compact"/>
                    <w:jc w:val="left"/>
                    <w:jc w:val="center"/>
                  </w:pPr>
                  <w:r>
                    <w:t xml:space="preserve">Explorative Analyse, häufige Iterationen</w:t>
                  </w:r>
                </w:p>
              </w:tc>
              <w:tc>
                <w:tcPr/>
                <w:p>
                  <w:pPr>
                    <w:pStyle w:val="Compact"/>
                    <w:jc w:val="left"/>
                    <w:jc w:val="center"/>
                  </w:pPr>
                  <w:r>
                    <w:t xml:space="preserve">DuckDB</w:t>
                  </w:r>
                </w:p>
              </w:tc>
              <w:tc>
                <w:tcPr/>
                <w:p>
                  <w:pPr>
                    <w:pStyle w:val="Compact"/>
                    <w:jc w:val="left"/>
                    <w:jc w:val="center"/>
                  </w:pPr>
                  <w:r>
                    <w:t xml:space="preserve">Arrow</w:t>
                  </w:r>
                </w:p>
              </w:tc>
              <w:tc>
                <w:tcPr/>
                <w:p>
                  <w:pPr>
                    <w:pStyle w:val="Compact"/>
                    <w:jc w:val="left"/>
                    <w:jc w:val="center"/>
                  </w:pPr>
                  <w:r>
                    <w:t xml:space="preserve">SQL-Komfort, schnelle Iteration</w:t>
                  </w:r>
                </w:p>
              </w:tc>
            </w:tr>
            <w:tr>
              <w:tc>
                <w:tcPr/>
                <w:p>
                  <w:pPr>
                    <w:pStyle w:val="Compact"/>
                    <w:jc w:val="left"/>
                    <w:jc w:val="center"/>
                  </w:pPr>
                  <w:r>
                    <w:t xml:space="preserve">Große Aggregationen (&gt;5M Zeilen)</w:t>
                  </w:r>
                </w:p>
              </w:tc>
              <w:tc>
                <w:tcPr/>
                <w:p>
                  <w:pPr>
                    <w:pStyle w:val="Compact"/>
                    <w:jc w:val="left"/>
                    <w:jc w:val="center"/>
                  </w:pPr>
                  <w:r>
                    <w:t xml:space="preserve">DuckDB</w:t>
                  </w:r>
                </w:p>
              </w:tc>
              <w:tc>
                <w:tcPr/>
                <w:p>
                  <w:pPr>
                    <w:pStyle w:val="Compact"/>
                    <w:jc w:val="left"/>
                    <w:jc w:val="center"/>
                  </w:pPr>
                  <w:r>
                    <w:t xml:space="preserve">Arrow + Parquet</w:t>
                  </w:r>
                </w:p>
              </w:tc>
              <w:tc>
                <w:tcPr/>
                <w:p>
                  <w:pPr>
                    <w:pStyle w:val="Compact"/>
                    <w:jc w:val="left"/>
                    <w:jc w:val="center"/>
                  </w:pPr>
                  <w:r>
                    <w:t xml:space="preserve">Beste Skalierung, niedrigster Speicherverbrauch</w:t>
                  </w:r>
                </w:p>
              </w:tc>
            </w:tr>
            <w:tr>
              <w:tc>
                <w:tcPr/>
                <w:p>
                  <w:pPr>
                    <w:pStyle w:val="Compact"/>
                    <w:jc w:val="left"/>
                    <w:jc w:val="center"/>
                  </w:pPr>
                  <w:r>
                    <w:t xml:space="preserve">Komplexe Joins</w:t>
                  </w:r>
                </w:p>
              </w:tc>
              <w:tc>
                <w:tcPr/>
                <w:p>
                  <w:pPr>
                    <w:pStyle w:val="Compact"/>
                    <w:jc w:val="left"/>
                    <w:jc w:val="center"/>
                  </w:pPr>
                  <w:r>
                    <w:t xml:space="preserve">DuckDB</w:t>
                  </w:r>
                </w:p>
              </w:tc>
              <w:tc>
                <w:tcPr/>
                <w:p>
                  <w:pPr>
                    <w:pStyle w:val="Compact"/>
                    <w:jc w:val="left"/>
                    <w:jc w:val="center"/>
                  </w:pPr>
                  <w:r>
                    <w:t xml:space="preserve">data.table</w:t>
                  </w:r>
                </w:p>
              </w:tc>
              <w:tc>
                <w:tcPr/>
                <w:p>
                  <w:pPr>
                    <w:pStyle w:val="Compact"/>
                    <w:jc w:val="left"/>
                    <w:jc w:val="center"/>
                  </w:pPr>
                  <w:r>
                    <w:t xml:space="preserve">Optimierter Hash-Join, Index-Support</w:t>
                  </w:r>
                </w:p>
              </w:tc>
            </w:tr>
            <w:tr>
              <w:tc>
                <w:tcPr/>
                <w:p>
                  <w:pPr>
                    <w:pStyle w:val="Compact"/>
                    <w:jc w:val="left"/>
                    <w:jc w:val="center"/>
                  </w:pPr>
                  <w:r>
                    <w:t xml:space="preserve">Produktions-Pipelines</w:t>
                  </w:r>
                </w:p>
              </w:tc>
              <w:tc>
                <w:tcPr/>
                <w:p>
                  <w:pPr>
                    <w:pStyle w:val="Compact"/>
                    <w:jc w:val="left"/>
                    <w:jc w:val="center"/>
                  </w:pPr>
                  <w:r>
                    <w:t xml:space="preserve">Arrow + Parquet</w:t>
                  </w:r>
                </w:p>
              </w:tc>
              <w:tc>
                <w:tcPr/>
                <w:p>
                  <w:pPr>
                    <w:pStyle w:val="Compact"/>
                    <w:jc w:val="left"/>
                    <w:jc w:val="center"/>
                  </w:pPr>
                  <w:r>
                    <w:t xml:space="preserve">DuckDB</w:t>
                  </w:r>
                </w:p>
              </w:tc>
              <w:tc>
                <w:tcPr/>
                <w:p>
                  <w:pPr>
                    <w:pStyle w:val="Compact"/>
                    <w:jc w:val="left"/>
                    <w:jc w:val="center"/>
                  </w:pPr>
                  <w:r>
                    <w:t xml:space="preserve">Persistenz, Partitionierung, Reproduzierbarkeit</w:t>
                  </w:r>
                </w:p>
              </w:tc>
            </w:tr>
            <w:tr>
              <w:tc>
                <w:tcPr/>
                <w:p>
                  <w:pPr>
                    <w:pStyle w:val="Compact"/>
                    <w:jc w:val="left"/>
                    <w:jc w:val="center"/>
                  </w:pPr>
                  <w:r>
                    <w:t xml:space="preserve">Speicher-limitierte Umgebung</w:t>
                  </w:r>
                </w:p>
              </w:tc>
              <w:tc>
                <w:tcPr/>
                <w:p>
                  <w:pPr>
                    <w:pStyle w:val="Compact"/>
                    <w:jc w:val="left"/>
                    <w:jc w:val="center"/>
                  </w:pPr>
                  <w:r>
                    <w:t xml:space="preserve">DuckDB</w:t>
                  </w:r>
                </w:p>
              </w:tc>
              <w:tc>
                <w:tcPr/>
                <w:p>
                  <w:pPr>
                    <w:pStyle w:val="Compact"/>
                    <w:jc w:val="left"/>
                    <w:jc w:val="center"/>
                  </w:pPr>
                  <w:r>
                    <w:t xml:space="preserve">Arrow (streaming)</w:t>
                  </w:r>
                </w:p>
              </w:tc>
              <w:tc>
                <w:tcPr/>
                <w:p>
                  <w:pPr>
                    <w:pStyle w:val="Compact"/>
                    <w:jc w:val="left"/>
                    <w:jc w:val="center"/>
                  </w:pPr>
                  <w:r>
                    <w:t xml:space="preserve">Out-of-core Verarbeitung möglich</w:t>
                  </w:r>
                </w:p>
              </w:tc>
            </w:tr>
          </w:tbl>
          <w:bookmarkEnd w:id="77"/>
          <w:p/>
        </w:tc>
      </w:tr>
    </w:tbl>
    <w:bookmarkEnd w:id="78"/>
    <w:bookmarkStart w:id="79" w:name="zusammenfassung-der-erkenntnisse"/>
    <w:p>
      <w:pPr>
        <w:pStyle w:val="Heading3"/>
      </w:pPr>
      <w:r>
        <w:t xml:space="preserve">5.8 Zusammenfassung der Erkenntnisse</w:t>
      </w:r>
    </w:p>
    <w:p>
      <w:pPr>
        <w:pStyle w:val="FirstParagraph"/>
      </w:pPr>
      <w:r>
        <w:t xml:space="preserve">Die empirischen Messungen zeigen deutlich:</w:t>
      </w:r>
    </w:p>
    <w:p>
      <w:pPr>
        <w:numPr>
          <w:ilvl w:val="0"/>
          <w:numId w:val="1030"/>
        </w:numPr>
      </w:pPr>
      <w:r>
        <w:rPr>
          <w:b/>
          <w:bCs/>
        </w:rPr>
        <w:t xml:space="preserve">Moderne Formate dominieren:</w:t>
      </w:r>
      <w:r>
        <w:t xml:space="preserve"> </w:t>
      </w:r>
      <w:r>
        <w:t xml:space="preserve">Arrow/Parquet und DuckDB bieten um den Faktor 10-90x bessere Performance als traditionelle Ansätze</w:t>
      </w:r>
    </w:p>
    <w:p>
      <w:pPr>
        <w:numPr>
          <w:ilvl w:val="0"/>
          <w:numId w:val="1030"/>
        </w:numPr>
      </w:pPr>
      <w:r>
        <w:rPr>
          <w:b/>
          <w:bCs/>
        </w:rPr>
        <w:t xml:space="preserve">Partitionierung lohnt sich:</w:t>
      </w:r>
      <w:r>
        <w:t xml:space="preserve"> </w:t>
      </w:r>
      <w:r>
        <w:t xml:space="preserve">Bei großen Datensätzen reduziert Partitionierung die Zugriffszeiten erheblich</w:t>
      </w:r>
    </w:p>
    <w:p>
      <w:pPr>
        <w:numPr>
          <w:ilvl w:val="0"/>
          <w:numId w:val="1030"/>
        </w:numPr>
      </w:pPr>
      <w:r>
        <w:rPr>
          <w:b/>
          <w:bCs/>
        </w:rPr>
        <w:t xml:space="preserve">Query Optimization wichtig:</w:t>
      </w:r>
      <w:r>
        <w:t xml:space="preserve"> </w:t>
      </w:r>
      <w:r>
        <w:t xml:space="preserve">Lazy Evaluation und Predicate Pushdown ermöglichen dramatische Speedups</w:t>
      </w:r>
    </w:p>
    <w:p>
      <w:pPr>
        <w:numPr>
          <w:ilvl w:val="0"/>
          <w:numId w:val="1030"/>
        </w:numPr>
      </w:pPr>
      <w:r>
        <w:rPr>
          <w:b/>
          <w:bCs/>
        </w:rPr>
        <w:t xml:space="preserve">Parallelisierung skaliert gut:</w:t>
      </w:r>
      <w:r>
        <w:t xml:space="preserve"> </w:t>
      </w:r>
      <w:r>
        <w:t xml:space="preserve">Bis zu 14x Speedup mit 32 Kernen möglich</w:t>
      </w:r>
    </w:p>
    <w:p>
      <w:pPr>
        <w:numPr>
          <w:ilvl w:val="0"/>
          <w:numId w:val="1030"/>
        </w:numPr>
      </w:pPr>
      <w:r>
        <w:rPr>
          <w:b/>
          <w:bCs/>
        </w:rPr>
        <w:t xml:space="preserve">Speicher ist der Engpass:</w:t>
      </w:r>
      <w:r>
        <w:t xml:space="preserve"> </w:t>
      </w:r>
      <w:r>
        <w:t xml:space="preserve">Moderne Ansätze benötigen 3-7x weniger RAM als Base R</w:t>
      </w:r>
    </w:p>
    <w:p>
      <w:pPr>
        <w:pStyle w:val="FirstParagraph"/>
      </w:pPr>
      <w:r>
        <w:t xml:space="preserve">Diese Ergebnisse zeigen, dass durch den Einsatz moderner Auswertungsmethoden die Effizienz der Datenanalyse in Forschungsdatenzentren erheblich gesteigert werden kann.</w:t>
      </w:r>
    </w:p>
    <w:bookmarkEnd w:id="79"/>
    <w:bookmarkEnd w:id="80"/>
    <w:bookmarkStart w:id="90" w:name="sec-ausblick"/>
    <w:p>
      <w:pPr>
        <w:pStyle w:val="Heading2"/>
      </w:pPr>
      <w:r>
        <w:t xml:space="preserve">6 Ausblick</w:t>
      </w:r>
    </w:p>
    <w:bookmarkStart w:id="81" w:name="zusammenfassung-der-erkenntnisse-1"/>
    <w:p>
      <w:pPr>
        <w:pStyle w:val="Heading3"/>
      </w:pPr>
      <w:r>
        <w:t xml:space="preserve">6.1 Zusammenfassung der Erkenntnisse</w:t>
      </w:r>
    </w:p>
    <w:p>
      <w:pPr>
        <w:pStyle w:val="FirstParagraph"/>
      </w:pPr>
      <w:r>
        <w:t xml:space="preserve">Die vorliegende Untersuchung hat gezeigt, dass moderne spaltenorientierte Technologien erhebliche Vorteile für die Analyse großer Datensätze in der amtlichen Statistik bieten. Die Kombination von</w:t>
      </w:r>
      <w:r>
        <w:t xml:space="preserve"> </w:t>
      </w:r>
      <w:r>
        <w:rPr>
          <w:b/>
          <w:bCs/>
        </w:rPr>
        <w:t xml:space="preserve">Apache Arrow</w:t>
      </w:r>
      <w:r>
        <w:t xml:space="preserve">,</w:t>
      </w:r>
      <w:r>
        <w:t xml:space="preserve"> </w:t>
      </w:r>
      <w:r>
        <w:rPr>
          <w:b/>
          <w:bCs/>
        </w:rPr>
        <w:t xml:space="preserve">DuckDB</w:t>
      </w:r>
      <w:r>
        <w:t xml:space="preserve"> </w:t>
      </w:r>
      <w:r>
        <w:t xml:space="preserve">und</w:t>
      </w:r>
      <w:r>
        <w:t xml:space="preserve"> </w:t>
      </w:r>
      <w:r>
        <w:rPr>
          <w:b/>
          <w:bCs/>
        </w:rPr>
        <w:t xml:space="preserve">Parquet</w:t>
      </w:r>
      <w:r>
        <w:t xml:space="preserve"> </w:t>
      </w:r>
      <w:r>
        <w:t xml:space="preserve">ermöglicht:</w:t>
      </w:r>
    </w:p>
    <w:p>
      <w:pPr>
        <w:pStyle w:val="Compact"/>
        <w:numPr>
          <w:ilvl w:val="0"/>
          <w:numId w:val="1031"/>
        </w:numPr>
      </w:pPr>
      <w:r>
        <w:rPr>
          <w:b/>
          <w:bCs/>
        </w:rPr>
        <w:t xml:space="preserve">Drastische Reduktion der Speicheranforderungen</w:t>
      </w:r>
      <w:r>
        <w:t xml:space="preserve"> </w:t>
      </w:r>
      <w:r>
        <w:t xml:space="preserve">(typisch 5-10x Kompression gegenüber CSV)</w:t>
      </w:r>
    </w:p>
    <w:p>
      <w:pPr>
        <w:pStyle w:val="Compact"/>
        <w:numPr>
          <w:ilvl w:val="0"/>
          <w:numId w:val="1031"/>
        </w:numPr>
      </w:pPr>
      <w:r>
        <w:rPr>
          <w:b/>
          <w:bCs/>
        </w:rPr>
        <w:t xml:space="preserve">Signifikante Beschleunigung der Analysen</w:t>
      </w:r>
      <w:r>
        <w:t xml:space="preserve"> </w:t>
      </w:r>
      <w:r>
        <w:t xml:space="preserve">durch spaltenorientierte Verarbeitung</w:t>
      </w:r>
    </w:p>
    <w:p>
      <w:pPr>
        <w:pStyle w:val="Compact"/>
        <w:numPr>
          <w:ilvl w:val="0"/>
          <w:numId w:val="1031"/>
        </w:numPr>
      </w:pPr>
      <w:r>
        <w:rPr>
          <w:b/>
          <w:bCs/>
        </w:rPr>
        <w:t xml:space="preserve">Out-of-Core-Verarbeitung</w:t>
      </w:r>
      <w:r>
        <w:t xml:space="preserve"> </w:t>
      </w:r>
      <w:r>
        <w:t xml:space="preserve">für Datensätze, die den verfügbaren RAM übersteigen</w:t>
      </w:r>
    </w:p>
    <w:p>
      <w:pPr>
        <w:pStyle w:val="Compact"/>
        <w:numPr>
          <w:ilvl w:val="0"/>
          <w:numId w:val="1031"/>
        </w:numPr>
      </w:pPr>
      <w:r>
        <w:rPr>
          <w:b/>
          <w:bCs/>
        </w:rPr>
        <w:t xml:space="preserve">Effiziente Query-Optimierung</w:t>
      </w:r>
      <w:r>
        <w:t xml:space="preserve"> </w:t>
      </w:r>
      <w:r>
        <w:t xml:space="preserve">durch Lazy Evaluation und Predicate Pushdown</w:t>
      </w:r>
    </w:p>
    <w:bookmarkEnd w:id="81"/>
    <w:bookmarkStart w:id="82" w:name="X171796a1a50489ddff0aa7abfece40e32b107be"/>
    <w:p>
      <w:pPr>
        <w:pStyle w:val="Heading3"/>
      </w:pPr>
      <w:r>
        <w:t xml:space="preserve">6.2 Implikationen für die Forschungsdatenzentren</w:t>
      </w:r>
    </w:p>
    <w:p>
      <w:pPr>
        <w:pStyle w:val="FirstParagraph"/>
      </w:pPr>
      <w:r>
        <w:rPr>
          <w:b/>
          <w:bCs/>
        </w:rPr>
        <w:t xml:space="preserve">Infrastrukturentwicklung.</w:t>
      </w:r>
    </w:p>
    <w:p>
      <w:pPr>
        <w:pStyle w:val="BodyText"/>
      </w:pPr>
      <w:r>
        <w:t xml:space="preserve">Die FDZ sollten die Integration dieser Technologien vorantreiben:</w:t>
      </w:r>
    </w:p>
    <w:p>
      <w:pPr>
        <w:pStyle w:val="Compact"/>
        <w:numPr>
          <w:ilvl w:val="0"/>
          <w:numId w:val="1032"/>
        </w:numPr>
      </w:pPr>
      <w:r>
        <w:rPr>
          <w:b/>
          <w:bCs/>
        </w:rPr>
        <w:t xml:space="preserve">Datenbereitstellung</w:t>
      </w:r>
      <w:r>
        <w:t xml:space="preserve">: Zusätzlich zu SAS/Stata-Formaten auch Parquet-Versionen der Datensätze anbieten</w:t>
      </w:r>
    </w:p>
    <w:p>
      <w:pPr>
        <w:pStyle w:val="Compact"/>
        <w:numPr>
          <w:ilvl w:val="0"/>
          <w:numId w:val="1032"/>
        </w:numPr>
      </w:pPr>
      <w:r>
        <w:rPr>
          <w:b/>
          <w:bCs/>
        </w:rPr>
        <w:t xml:space="preserve">Software-Ausstattung</w:t>
      </w:r>
      <w:r>
        <w:t xml:space="preserve">: R mit Arrow- und DuckDB-Paketen auf allen Systemen verfügbar machen</w:t>
      </w:r>
    </w:p>
    <w:p>
      <w:pPr>
        <w:pStyle w:val="Compact"/>
        <w:numPr>
          <w:ilvl w:val="0"/>
          <w:numId w:val="1032"/>
        </w:numPr>
      </w:pPr>
      <w:r>
        <w:rPr>
          <w:b/>
          <w:bCs/>
        </w:rPr>
        <w:t xml:space="preserve">Schulungsangebote</w:t>
      </w:r>
      <w:r>
        <w:t xml:space="preserve">: Workshops und Dokumentation für Forschende bereitstellen</w:t>
      </w:r>
    </w:p>
    <w:p>
      <w:pPr>
        <w:pStyle w:val="Compact"/>
        <w:numPr>
          <w:ilvl w:val="0"/>
          <w:numId w:val="1032"/>
        </w:numPr>
      </w:pPr>
      <w:r>
        <w:rPr>
          <w:b/>
          <w:bCs/>
        </w:rPr>
        <w:t xml:space="preserve">Best-Practice-Katalog</w:t>
      </w:r>
      <w:r>
        <w:t xml:space="preserve">: Erfolgreiche Analysemuster dokumentieren und teilen</w:t>
      </w:r>
    </w:p>
    <w:p>
      <w:pPr>
        <w:pStyle w:val="FirstParagraph"/>
      </w:pPr>
      <w:r>
        <w:rPr>
          <w:b/>
          <w:bCs/>
        </w:rPr>
        <w:t xml:space="preserve">Nutzerunterstützung.</w:t>
      </w:r>
    </w:p>
    <w:p>
      <w:pPr>
        <w:pStyle w:val="BodyText"/>
      </w:pPr>
      <w:r>
        <w:t xml:space="preserve">Forschende profitieren von:</w:t>
      </w:r>
    </w:p>
    <w:p>
      <w:pPr>
        <w:pStyle w:val="Compact"/>
        <w:numPr>
          <w:ilvl w:val="0"/>
          <w:numId w:val="1033"/>
        </w:numPr>
      </w:pPr>
      <w:r>
        <w:rPr>
          <w:b/>
          <w:bCs/>
        </w:rPr>
        <w:t xml:space="preserve">Kürzeren Analysezeiten</w:t>
      </w:r>
      <w:r>
        <w:t xml:space="preserve">: Mehr explorative Analyse in kürzerer Zeit möglich</w:t>
      </w:r>
    </w:p>
    <w:p>
      <w:pPr>
        <w:pStyle w:val="Compact"/>
        <w:numPr>
          <w:ilvl w:val="0"/>
          <w:numId w:val="1033"/>
        </w:numPr>
      </w:pPr>
      <w:r>
        <w:rPr>
          <w:b/>
          <w:bCs/>
        </w:rPr>
        <w:t xml:space="preserve">Größere Datensätze handhabbar</w:t>
      </w:r>
      <w:r>
        <w:t xml:space="preserve">: Vollsatz-Analysen statt Stichproben</w:t>
      </w:r>
    </w:p>
    <w:p>
      <w:pPr>
        <w:pStyle w:val="Compact"/>
        <w:numPr>
          <w:ilvl w:val="0"/>
          <w:numId w:val="1033"/>
        </w:numPr>
      </w:pPr>
      <w:r>
        <w:rPr>
          <w:b/>
          <w:bCs/>
        </w:rPr>
        <w:t xml:space="preserve">Geringere Ressourcenkonflikte</w:t>
      </w:r>
      <w:r>
        <w:t xml:space="preserve">: Effizientere Nutzung geteilter Infrastruktur</w:t>
      </w:r>
    </w:p>
    <w:p>
      <w:pPr>
        <w:pStyle w:val="Compact"/>
        <w:numPr>
          <w:ilvl w:val="0"/>
          <w:numId w:val="1033"/>
        </w:numPr>
      </w:pPr>
      <w:r>
        <w:rPr>
          <w:b/>
          <w:bCs/>
        </w:rPr>
        <w:t xml:space="preserve">Reproduzierbare Workflows</w:t>
      </w:r>
      <w:r>
        <w:t xml:space="preserve">: Parquet-basierte Pipelines gut dokumentierbar</w:t>
      </w:r>
    </w:p>
    <w:bookmarkEnd w:id="82"/>
    <w:bookmarkStart w:id="83" w:name="technologische-entwicklungen"/>
    <w:p>
      <w:pPr>
        <w:pStyle w:val="Heading3"/>
      </w:pPr>
      <w:r>
        <w:t xml:space="preserve">6.3 Technologische Entwicklungen</w:t>
      </w:r>
    </w:p>
    <w:p>
      <w:pPr>
        <w:pStyle w:val="FirstParagraph"/>
      </w:pPr>
      <w:r>
        <w:rPr>
          <w:b/>
          <w:bCs/>
        </w:rPr>
        <w:t xml:space="preserve">Kurz- bis mittelfristig.</w:t>
      </w:r>
    </w:p>
    <w:p>
      <w:pPr>
        <w:pStyle w:val="BodyText"/>
      </w:pPr>
      <w:r>
        <w:rPr>
          <w:b/>
          <w:bCs/>
        </w:rPr>
        <w:t xml:space="preserve">Weitere Optimierungen</w:t>
      </w:r>
      <w:r>
        <w:t xml:space="preserve"> </w:t>
      </w:r>
      <w:r>
        <w:t xml:space="preserve">der bestehenden Tools sind zu erwarten:</w:t>
      </w:r>
    </w:p>
    <w:p>
      <w:pPr>
        <w:pStyle w:val="Compact"/>
        <w:numPr>
          <w:ilvl w:val="0"/>
          <w:numId w:val="1034"/>
        </w:numPr>
      </w:pPr>
      <w:r>
        <w:rPr>
          <w:b/>
          <w:bCs/>
        </w:rPr>
        <w:t xml:space="preserve">Arrow-Flight</w:t>
      </w:r>
      <w:r>
        <w:t xml:space="preserve">: Effizienter Datentransfer zwischen Prozessen und Systemen</w:t>
      </w:r>
    </w:p>
    <w:p>
      <w:pPr>
        <w:pStyle w:val="Compact"/>
        <w:numPr>
          <w:ilvl w:val="0"/>
          <w:numId w:val="1034"/>
        </w:numPr>
      </w:pPr>
      <w:r>
        <w:rPr>
          <w:b/>
          <w:bCs/>
        </w:rPr>
        <w:t xml:space="preserve">Substrait</w:t>
      </w:r>
      <w:r>
        <w:t xml:space="preserve">: Standardisierte Query-Repräsentation für Tool-übergreifende Optimierung</w:t>
      </w:r>
    </w:p>
    <w:p>
      <w:pPr>
        <w:pStyle w:val="Compact"/>
        <w:numPr>
          <w:ilvl w:val="0"/>
          <w:numId w:val="1034"/>
        </w:numPr>
      </w:pPr>
      <w:r>
        <w:rPr>
          <w:b/>
          <w:bCs/>
        </w:rPr>
        <w:t xml:space="preserve">DuckDB Extensions</w:t>
      </w:r>
      <w:r>
        <w:t xml:space="preserve">: Spezielle Module für statistische Analysen</w:t>
      </w:r>
    </w:p>
    <w:p>
      <w:pPr>
        <w:pStyle w:val="Compact"/>
        <w:numPr>
          <w:ilvl w:val="0"/>
          <w:numId w:val="1034"/>
        </w:numPr>
      </w:pPr>
      <w:r>
        <w:rPr>
          <w:b/>
          <w:bCs/>
        </w:rPr>
        <w:t xml:space="preserve">GPU-Beschleunigung</w:t>
      </w:r>
      <w:r>
        <w:t xml:space="preserve">: Erste Implementierungen für Arrow-basierte Berechnungen</w:t>
      </w:r>
    </w:p>
    <w:p>
      <w:pPr>
        <w:pStyle w:val="FirstParagraph"/>
      </w:pPr>
      <w:r>
        <w:rPr>
          <w:b/>
          <w:bCs/>
        </w:rPr>
        <w:t xml:space="preserve">Langfristig.</w:t>
      </w:r>
    </w:p>
    <w:p>
      <w:pPr>
        <w:pStyle w:val="BodyText"/>
      </w:pPr>
      <w:r>
        <w:rPr>
          <w:b/>
          <w:bCs/>
        </w:rPr>
        <w:t xml:space="preserve">Neue Paradigmen</w:t>
      </w:r>
      <w:r>
        <w:t xml:space="preserve"> </w:t>
      </w:r>
      <w:r>
        <w:t xml:space="preserve">könnten zusätzliche Verbesserungen bringen:</w:t>
      </w:r>
    </w:p>
    <w:p>
      <w:pPr>
        <w:pStyle w:val="Compact"/>
        <w:numPr>
          <w:ilvl w:val="0"/>
          <w:numId w:val="1035"/>
        </w:numPr>
      </w:pPr>
      <w:r>
        <w:rPr>
          <w:b/>
          <w:bCs/>
        </w:rPr>
        <w:t xml:space="preserve">Föderated Queries</w:t>
      </w:r>
      <w:r>
        <w:t xml:space="preserve">: Analyse über verteilte Datensätze ohne zentrale Zusammenführung</w:t>
      </w:r>
    </w:p>
    <w:p>
      <w:pPr>
        <w:pStyle w:val="Compact"/>
        <w:numPr>
          <w:ilvl w:val="0"/>
          <w:numId w:val="1035"/>
        </w:numPr>
      </w:pPr>
      <w:r>
        <w:rPr>
          <w:b/>
          <w:bCs/>
        </w:rPr>
        <w:t xml:space="preserve">Adaptive Execution</w:t>
      </w:r>
      <w:r>
        <w:t xml:space="preserve">: Automatische Wahl der optimalen Verarbeitungsstrategie</w:t>
      </w:r>
    </w:p>
    <w:p>
      <w:pPr>
        <w:pStyle w:val="Compact"/>
        <w:numPr>
          <w:ilvl w:val="0"/>
          <w:numId w:val="1035"/>
        </w:numPr>
      </w:pPr>
      <w:r>
        <w:rPr>
          <w:b/>
          <w:bCs/>
        </w:rPr>
        <w:t xml:space="preserve">Streaming Analytics</w:t>
      </w:r>
      <w:r>
        <w:t xml:space="preserve">: Echtzeitverarbeitung großer Datenströme</w:t>
      </w:r>
    </w:p>
    <w:p>
      <w:pPr>
        <w:pStyle w:val="Compact"/>
        <w:numPr>
          <w:ilvl w:val="0"/>
          <w:numId w:val="1035"/>
        </w:numPr>
      </w:pPr>
      <w:r>
        <w:rPr>
          <w:b/>
          <w:bCs/>
        </w:rPr>
        <w:t xml:space="preserve">Privacy-Preserving Computation</w:t>
      </w:r>
      <w:r>
        <w:t xml:space="preserve">: Analysen auf verschlüsselten Daten</w:t>
      </w:r>
    </w:p>
    <w:bookmarkEnd w:id="83"/>
    <w:bookmarkStart w:id="84" w:name="offene-forschungsfragen"/>
    <w:p>
      <w:pPr>
        <w:pStyle w:val="Heading3"/>
      </w:pPr>
      <w:r>
        <w:t xml:space="preserve">6.4 Offene Forschungsfragen</w:t>
      </w:r>
    </w:p>
    <w:p>
      <w:pPr>
        <w:pStyle w:val="FirstParagraph"/>
      </w:pPr>
      <w:r>
        <w:t xml:space="preserve">Weitere Untersuchungen sollten folgende Aspekte betrachten:</w:t>
      </w:r>
    </w:p>
    <w:p>
      <w:pPr>
        <w:numPr>
          <w:ilvl w:val="0"/>
          <w:numId w:val="1036"/>
        </w:numPr>
      </w:pPr>
      <w:r>
        <w:rPr>
          <w:b/>
          <w:bCs/>
        </w:rPr>
        <w:t xml:space="preserve">Statistische Software-Integration</w:t>
      </w:r>
      <w:r>
        <w:t xml:space="preserve">: Wie können R-Modellierungsfunktionen optimal mit Arrow/DuckDB kombiniert werden?</w:t>
      </w:r>
    </w:p>
    <w:p>
      <w:pPr>
        <w:numPr>
          <w:ilvl w:val="0"/>
          <w:numId w:val="1036"/>
        </w:numPr>
      </w:pPr>
      <w:r>
        <w:rPr>
          <w:b/>
          <w:bCs/>
        </w:rPr>
        <w:t xml:space="preserve">Datenschutz-Aspekte</w:t>
      </w:r>
      <w:r>
        <w:t xml:space="preserve">: Welche Implikationen haben neue Datenformate für die Output-Kontrolle im FDZ?</w:t>
      </w:r>
    </w:p>
    <w:p>
      <w:pPr>
        <w:numPr>
          <w:ilvl w:val="0"/>
          <w:numId w:val="1036"/>
        </w:numPr>
      </w:pPr>
      <w:r>
        <w:rPr>
          <w:b/>
          <w:bCs/>
        </w:rPr>
        <w:t xml:space="preserve">Qualitätssicherung</w:t>
      </w:r>
      <w:r>
        <w:t xml:space="preserve">: Wie können Korrektheit und Reproduzierbarkeit bei komplexen Arrow/DuckDB-Workflows sichergestellt werden?</w:t>
      </w:r>
    </w:p>
    <w:p>
      <w:pPr>
        <w:numPr>
          <w:ilvl w:val="0"/>
          <w:numId w:val="1036"/>
        </w:numPr>
      </w:pPr>
      <w:r>
        <w:rPr>
          <w:b/>
          <w:bCs/>
        </w:rPr>
        <w:t xml:space="preserve">Heterogene Systeme</w:t>
      </w:r>
      <w:r>
        <w:t xml:space="preserve">: Wie lassen sich verschiedene Datenquellen und -formate optimal integrieren?</w:t>
      </w:r>
    </w:p>
    <w:bookmarkEnd w:id="84"/>
    <w:bookmarkStart w:id="85" w:name="handlungsempfehlungen"/>
    <w:p>
      <w:pPr>
        <w:pStyle w:val="Heading3"/>
      </w:pPr>
      <w:r>
        <w:t xml:space="preserve">6.5 Handlungsempfehlungen</w:t>
      </w:r>
    </w:p>
    <w:p>
      <w:pPr>
        <w:pStyle w:val="FirstParagraph"/>
      </w:pPr>
      <w:r>
        <w:rPr>
          <w:b/>
          <w:bCs/>
        </w:rPr>
        <w:t xml:space="preserve">Für Forschungsdatenzentren.</w:t>
      </w:r>
    </w:p>
    <w:p>
      <w:pPr>
        <w:pStyle w:val="BodyText"/>
      </w:pPr>
      <w:r>
        <w:rPr>
          <w:b/>
          <w:bCs/>
        </w:rPr>
        <w:t xml:space="preserve">Pilotprojekte</w:t>
      </w:r>
      <w:r>
        <w:t xml:space="preserve"> </w:t>
      </w:r>
      <w:r>
        <w:t xml:space="preserve">sollten initiiert werden:</w:t>
      </w:r>
    </w:p>
    <w:p>
      <w:pPr>
        <w:pStyle w:val="Compact"/>
        <w:numPr>
          <w:ilvl w:val="0"/>
          <w:numId w:val="1037"/>
        </w:numPr>
      </w:pPr>
      <w:r>
        <w:t xml:space="preserve">Ausgewählte häufig genutzte Datensätze (wie BTP) in Parquet bereitstellen</w:t>
      </w:r>
    </w:p>
    <w:p>
      <w:pPr>
        <w:pStyle w:val="Compact"/>
        <w:numPr>
          <w:ilvl w:val="0"/>
          <w:numId w:val="1037"/>
        </w:numPr>
      </w:pPr>
      <w:r>
        <w:t xml:space="preserve">Erfolgsmetriken definieren (Analysezeit, Ressourcenverbrauch, Nutzerzufriedenheit)</w:t>
      </w:r>
    </w:p>
    <w:p>
      <w:pPr>
        <w:pStyle w:val="Compact"/>
        <w:numPr>
          <w:ilvl w:val="0"/>
          <w:numId w:val="1037"/>
        </w:numPr>
      </w:pPr>
      <w:r>
        <w:t xml:space="preserve">Feedback von Power-Usern systematisch einholen</w:t>
      </w:r>
    </w:p>
    <w:p>
      <w:pPr>
        <w:pStyle w:val="Compact"/>
        <w:numPr>
          <w:ilvl w:val="0"/>
          <w:numId w:val="1037"/>
        </w:numPr>
      </w:pPr>
      <w:r>
        <w:t xml:space="preserve">Erkenntnisse in Qualitätsstandards überführen</w:t>
      </w:r>
    </w:p>
    <w:p>
      <w:pPr>
        <w:pStyle w:val="FirstParagraph"/>
      </w:pPr>
      <w:r>
        <w:rPr>
          <w:b/>
          <w:bCs/>
        </w:rPr>
        <w:t xml:space="preserve">Für Forschende.</w:t>
      </w:r>
    </w:p>
    <w:p>
      <w:pPr>
        <w:pStyle w:val="BodyText"/>
      </w:pPr>
      <w:r>
        <w:rPr>
          <w:b/>
          <w:bCs/>
        </w:rPr>
        <w:t xml:space="preserve">Schrittweise Einführung</w:t>
      </w:r>
      <w:r>
        <w:t xml:space="preserve"> </w:t>
      </w:r>
      <w:r>
        <w:t xml:space="preserve">wird empfohlen:</w:t>
      </w:r>
    </w:p>
    <w:p>
      <w:pPr>
        <w:pStyle w:val="Compact"/>
        <w:numPr>
          <w:ilvl w:val="0"/>
          <w:numId w:val="1038"/>
        </w:numPr>
      </w:pPr>
      <w:r>
        <w:t xml:space="preserve">Kleine Analyseprojekte als Lernumgebung nutzen</w:t>
      </w:r>
    </w:p>
    <w:p>
      <w:pPr>
        <w:pStyle w:val="Compact"/>
        <w:numPr>
          <w:ilvl w:val="0"/>
          <w:numId w:val="1038"/>
        </w:numPr>
      </w:pPr>
      <w:r>
        <w:t xml:space="preserve">Kritische Analysen zunächst parallel mit bewährten Methoden durchführen</w:t>
      </w:r>
    </w:p>
    <w:p>
      <w:pPr>
        <w:pStyle w:val="Compact"/>
        <w:numPr>
          <w:ilvl w:val="0"/>
          <w:numId w:val="1038"/>
        </w:numPr>
      </w:pPr>
      <w:r>
        <w:t xml:space="preserve">Performanzgewinne und Limitationen dokumentieren</w:t>
      </w:r>
    </w:p>
    <w:p>
      <w:pPr>
        <w:pStyle w:val="Compact"/>
        <w:numPr>
          <w:ilvl w:val="0"/>
          <w:numId w:val="1038"/>
        </w:numPr>
      </w:pPr>
      <w:r>
        <w:t xml:space="preserve">Bei Erfolg schrittweise auf größere Projekte übertragen</w:t>
      </w:r>
    </w:p>
    <w:bookmarkEnd w:id="85"/>
    <w:bookmarkStart w:id="89" w:name="schlussbetrachtung"/>
    <w:p>
      <w:pPr>
        <w:pStyle w:val="Heading3"/>
      </w:pPr>
      <w:r>
        <w:t xml:space="preserve">6.6 Schlussbetrachtung</w:t>
      </w:r>
    </w:p>
    <w:p>
      <w:pPr>
        <w:pStyle w:val="FirstParagraph"/>
      </w:pPr>
      <w:r>
        <w:t xml:space="preserve">Die Analyse großer Datensätze in Forschungsdatenzen tren steht vor einem Technologiewandel. Die hier untersuchten Werkzeuge –</w:t>
      </w:r>
      <w:r>
        <w:t xml:space="preserve"> </w:t>
      </w:r>
      <w:r>
        <w:rPr>
          <w:b/>
          <w:bCs/>
        </w:rPr>
        <w:t xml:space="preserve">Arrow, DuckDB und Parquet</w:t>
      </w:r>
      <w:r>
        <w:t xml:space="preserve"> </w:t>
      </w:r>
      <w:r>
        <w:t xml:space="preserve">– bieten das Potenzial, die Effizienz erheblich zu steigern und neue Analysemöglichkeiten zu eröffnen.</w:t>
      </w:r>
    </w:p>
    <w:p>
      <w:pPr>
        <w:pStyle w:val="BodyText"/>
      </w:pPr>
      <w:r>
        <w:t xml:space="preserve">Der Übergang erfordert jedoch eine</w:t>
      </w:r>
      <w:r>
        <w:t xml:space="preserve"> </w:t>
      </w:r>
      <w:r>
        <w:rPr>
          <w:b/>
          <w:bCs/>
        </w:rPr>
        <w:t xml:space="preserve">koordinierte Anstrengung</w:t>
      </w:r>
      <w:r>
        <w:t xml:space="preserve"> </w:t>
      </w:r>
      <w:r>
        <w:t xml:space="preserve">von Infrastrukturbetreibern, Software-Entwicklern und Forschenden. Die systematische Evaluation, Dokumentation und Verbreitung von Best Practices wird entscheidend für den Erfolg sein.</w:t>
      </w:r>
    </w:p>
    <w:p>
      <w:pPr>
        <w:pStyle w:val="BodyText"/>
      </w:pPr>
      <w:r>
        <w:t xml:space="preserve">Die amtliche Statistik kann von diesen Entwicklungen in mehrfacher Hinsicht profitieren:</w:t>
      </w:r>
      <w:r>
        <w:t xml:space="preserve"> </w:t>
      </w:r>
      <w:r>
        <w:rPr>
          <w:b/>
          <w:bCs/>
        </w:rPr>
        <w:t xml:space="preserve">schnellere Erkenntnisgewinnung</w:t>
      </w:r>
      <w:r>
        <w:t xml:space="preserve">,</w:t>
      </w:r>
      <w:r>
        <w:t xml:space="preserve"> </w:t>
      </w:r>
      <w:r>
        <w:rPr>
          <w:b/>
          <w:bCs/>
        </w:rPr>
        <w:t xml:space="preserve">umfassendere Analysen</w:t>
      </w:r>
      <w:r>
        <w:t xml:space="preserve"> </w:t>
      </w:r>
      <w:r>
        <w:t xml:space="preserve">und</w:t>
      </w:r>
      <w:r>
        <w:t xml:space="preserve"> </w:t>
      </w:r>
      <w:r>
        <w:rPr>
          <w:b/>
          <w:bCs/>
        </w:rPr>
        <w:t xml:space="preserve">effizientere Ressourcennutzung</w:t>
      </w:r>
      <w:r>
        <w:t xml:space="preserve">. Dies trägt letztlich zur Stärkung der evidenzbasierten Politik- und Gesellschaftsberatung bei.</w:t>
      </w:r>
    </w:p>
    <w:bookmarkStart w:id="88" w:name="refs"/>
    <w:bookmarkStart w:id="87" w:name="ref-destatis2023"/>
    <w:p>
      <w:pPr>
        <w:pStyle w:val="Bibliography"/>
      </w:pPr>
      <w:r>
        <w:t xml:space="preserve">Statistisches Bundesamt. 2023.</w:t>
      </w:r>
      <w:r>
        <w:t xml:space="preserve"> </w:t>
      </w:r>
      <w:r>
        <w:rPr>
          <w:i/>
          <w:iCs/>
        </w:rPr>
        <w:t xml:space="preserve">Qualitätshandbuch der amtlichen Statistik</w:t>
      </w:r>
      <w:r>
        <w:t xml:space="preserve">. Wiesbaden.</w:t>
      </w:r>
      <w:r>
        <w:t xml:space="preserve"> </w:t>
      </w:r>
      <w:hyperlink r:id="rId86">
        <w:r>
          <w:rPr>
            <w:rStyle w:val="Hyperlink"/>
          </w:rPr>
          <w:t xml:space="preserve">https://www.destatis.de</w:t>
        </w:r>
      </w:hyperlink>
      <w:r>
        <w:t xml:space="preserve">.</w:t>
      </w:r>
    </w:p>
    <w:bookmarkEnd w:id="87"/>
    <w:bookmarkEnd w:id="88"/>
    <w:bookmarkEnd w:id="89"/>
    <w:bookmarkEnd w:id="90"/>
    <w:sectPr>
      <w:headerReference r:id="rId9" w:type="default"/>
      <w:footerReference r:id="rId10" w:type="default"/>
      <w:footnotePr>
        <w:numRestart w:val="eachSect"/>
      </w:footnotePr>
      <w:pgSz w:h="16838" w:orient="portrait" w:w="11906"/>
      <w:pgMar w:bottom="1418" w:footer="709" w:gutter="0" w:header="709" w:left="1134" w:right="1134" w:top="1418"/>
      <w:cols w:num="2" w:space="34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tabs>
        <w:tab w:val="center" w:pos="4680"/>
        <w:tab w:val="right" w:pos="9360"/>
      </w:tabs>
    </w:pPr>
    <w:r>
      <w:rPr>
        <w:sz w:val="18"/>
      </w:rPr>
      <w:fldChar w:fldCharType="begin"/>
    </w:r>
    <w:r>
      <w:rPr>
        <w:sz w:val="18"/>
      </w:rPr>
      <w:instrText xml:space="preserve"> PAGE </w:instrText>
    </w:r>
    <w:r>
      <w:rPr>
        <w:sz w:val="18"/>
      </w:rPr>
      <w:fldChar w:fldCharType="end"/>
    </w:r>
    <w:r>
      <w:tab/>
    </w:r>
    <w:r>
      <w:tab/>
    </w:r>
    <w:r>
      <w:rPr>
        <w:sz w:val="18"/>
      </w:rPr>
      <w:t>Statistisches Bundesamt | WISTA | </w:t>
    </w:r>
    <w:r>
      <w:rPr>
        <w:color w:val="417DB4"/>
        <w:sz w:val="18"/>
      </w:rPr>
      <w:t>6</w:t>
    </w:r>
    <w:r>
      <w:rPr>
        <w:sz w:val="18"/>
      </w:rPr>
      <w:t> | 2025</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tabs>
        <w:tab w:val="center" w:pos="4680"/>
        <w:tab w:val="right" w:pos="9360"/>
      </w:tabs>
      <w:pBdr>
        <w:bottom w:val="single" w:sz="8" w:space="1" w:color="417DB4"/>
      </w:pBdr>
    </w:pPr>
    <w:r>
      <w:rPr>
        <w:i/>
        <w:sz w:val="18"/>
      </w:rPr>
      <w:t>Oliver Hauke, Annette Kristiansen</w:t>
    </w:r>
    <w:r>
      <w:tab/>
    </w:r>
    <w:r>
      <w:tab/>
    </w:r>
    <w:r>
      <w:rPr>
        <w:i/>
        <w:sz w:val="18"/>
      </w:rPr>
      <w:t>Effiziente Analyse großer Forschungsdaten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0"/>
        <w:szCs w:val="20"/>
        <w:lang w:bidi="ar-SA" w:eastAsia="en-US" w:val="de"/>
      </w:rPr>
    </w:rPrDefault>
    <w:pPrDefault>
      <w:pPr>
        <w:spacing w:after="12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28"/>
      <w:szCs w:val="3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28"/>
      <w:szCs w:val="32"/>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417DB4"/>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417DB4"/>
      <w:sz w:val="24"/>
      <w:szCs w:val="24"/>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417DB4"/>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417DB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417DB4"/>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417DB4"/>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417DB4"/>
      <w:sz w:val="28"/>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417DB4"/>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417DB4"/>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417DB4"/>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mall" w:type="paragraph">
    <w:name w:val="Small"/>
    <w:basedOn w:val="Normal"/>
    <w:qFormat/>
    <w:pPr>
      <w:spacing w:after="60" w:before="60"/>
    </w:pPr>
    <w:rPr>
      <w:sz w:val="14"/>
      <w:szCs w:val="14"/>
    </w:rPr>
  </w:style>
  <w:style w:customStyle="1" w:styleId="Author-Name" w:type="character">
    <w:name w:val="Author-Name"/>
    <w:basedOn w:val="DefaultParagraphFont"/>
    <w:rPr>
      <w:b/>
      <w:color w:val="417DB4"/>
      <w:sz w:val="16"/>
      <w:szCs w:val="16"/>
    </w:rPr>
  </w:style>
  <w:style w:customStyle="1" w:styleId="Author-Bio" w:type="character">
    <w:name w:val="Author-Bio"/>
    <w:basedOn w:val="DefaultParagraphFont"/>
    <w:rPr>
      <w:sz w:val="14"/>
      <w:szCs w:val="14"/>
    </w:rPr>
  </w:style>
  <w:style w:customStyle="1" w:styleId="Keywords-Label" w:type="character">
    <w:name w:val="Keywords-Label"/>
    <w:basedOn w:val="DefaultParagraphFont"/>
    <w:rPr>
      <w:b/>
      <w:color w:val="417DB4"/>
    </w:rPr>
  </w:style>
  <w:style w:customStyle="1" w:styleId="Abstract-Title" w:type="character">
    <w:name w:val="Abstract-Title"/>
    <w:basedOn w:val="DefaultParagraphFont"/>
    <w:rPr>
      <w:b/>
      <w:i/>
      <w:color w:val="404040"/>
    </w:rPr>
  </w:style>
  <w:style w:customStyle="1" w:styleId="Abstract" w:type="character">
    <w:name w:val="Abstract"/>
    <w:basedOn w:val="DefaultParagraphFont"/>
    <w:rPr>
      <w:sz w:val="18"/>
      <w:szCs w:val="18"/>
    </w:rPr>
  </w:style>
  <w:style w:type="character" w:customStyle="1" w:styleId="Title">
    <w:name w:val="Title"/>
    <w:basedOn w:val="BodyTextCha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54" Target="media/rId54.png" /><Relationship Type="http://schemas.openxmlformats.org/officeDocument/2006/relationships/image" Id="rId65" Target="media/rId65.png" /><Relationship Type="http://schemas.openxmlformats.org/officeDocument/2006/relationships/image" Id="rId72" Target="media/rId72.png" /><Relationship Type="http://schemas.openxmlformats.org/officeDocument/2006/relationships/image" Id="rId37" Target="media/rId37.png" /><Relationship Type="http://schemas.openxmlformats.org/officeDocument/2006/relationships/image" Id="rId60" Target="media/rId60.png" /><Relationship Type="http://schemas.openxmlformats.org/officeDocument/2006/relationships/hyperlink" Id="rId86" Target="https://www.destatis.de" TargetMode="External" /><Relationship Type="http://schemas.openxmlformats.org/officeDocument/2006/relationships/hyperlink" Id="rId26" Target="https://www.gesetze-im-internet.de/ststatg_1995/" TargetMode="External" /></Relationships>
</file>

<file path=word/_rels/footnotes.xml.rels><?xml version="1.0" encoding="UTF-8"?><Relationships xmlns="http://schemas.openxmlformats.org/package/2006/relationships"><Relationship Type="http://schemas.openxmlformats.org/officeDocument/2006/relationships/hyperlink" Id="rId86" Target="https://www.destatis.de" TargetMode="External" /><Relationship Type="http://schemas.openxmlformats.org/officeDocument/2006/relationships/hyperlink" Id="rId26" Target="https://www.gesetze-im-internet.de/ststatg_199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c:language>
  <cp:keywords/>
  <dcterms:created xsi:type="dcterms:W3CDTF">2025-11-23T22:19:12Z</dcterms:created>
  <dcterms:modified xsi:type="dcterms:W3CDTF">2025-11-23T22:19:12Z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german</vt:lpwstr>
  </property>
  <property fmtid="{D5CDD505-2E9C-101B-9397-08002B2CF9AE}" pid="3" name="biblio-config">
    <vt:lpwstr>True</vt:lpwstr>
  </property>
  <property fmtid="{D5CDD505-2E9C-101B-9397-08002B2CF9AE}" pid="4" name="bibliography">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polyglossia-lang">
    <vt:lpwstr/>
  </property>
  <property fmtid="{D5CDD505-2E9C-101B-9397-08002B2CF9AE}" pid="11" name="polyglossia-otherlangs">
    <vt:lpwstr/>
  </property>
  <property fmtid="{D5CDD505-2E9C-101B-9397-08002B2CF9AE}" pid="12" name="toc-title">
    <vt:lpwstr>Inhaltsverzeichnis</vt:lpwstr>
  </property>
</Properties>
</file>