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BAF37" w14:textId="77777777" w:rsidR="00F52B8A" w:rsidRPr="00F52B8A" w:rsidRDefault="00F52B8A" w:rsidP="00F52B8A">
      <w:pPr>
        <w:pStyle w:val="FirstParagraph"/>
        <w:spacing w:before="120" w:after="0"/>
        <w:jc w:val="center"/>
        <w:rPr>
          <w:b/>
          <w:bCs/>
          <w:sz w:val="28"/>
          <w:szCs w:val="28"/>
          <w:lang w:val="fr-FR"/>
        </w:rPr>
      </w:pPr>
      <w:r>
        <w:rPr>
          <w:b/>
          <w:bCs/>
          <w:sz w:val="28"/>
          <w:szCs w:val="28"/>
          <w:lang w:val="fr-FR"/>
        </w:rPr>
        <w:t>CONTRAT INSTITUANT UN COMMUN MONÉTAIRE ET FINANCIER</w:t>
      </w:r>
    </w:p>
    <w:p w14:paraId="6437583F" w14:textId="032325BE" w:rsidR="00F52B8A" w:rsidRPr="00F52B8A" w:rsidRDefault="00F52B8A" w:rsidP="00F52B8A">
      <w:pPr>
        <w:pStyle w:val="FirstParagraph"/>
        <w:spacing w:before="120"/>
        <w:jc w:val="center"/>
        <w:rPr>
          <w:b/>
          <w:bCs/>
          <w:lang w:val="fr-FR"/>
        </w:rPr>
      </w:pPr>
      <w:r>
        <w:rPr>
          <w:i/>
          <w:iCs/>
          <w:lang w:val="fr-FR"/>
        </w:rPr>
        <w:t xml:space="preserve">Organisant un système coopératif d'échange, de compensation et de décision collective, </w:t>
      </w:r>
      <w:r>
        <w:rPr>
          <w:i/>
          <w:iCs/>
          <w:lang w:val="fr-FR"/>
        </w:rPr>
        <w:br/>
        <w:t xml:space="preserve">fondé sur un graphe d'engagements réciproques </w:t>
      </w:r>
      <w:r>
        <w:rPr>
          <w:i/>
          <w:iCs/>
          <w:lang w:val="fr-FR"/>
        </w:rPr>
        <w:br/>
        <w:t>au service du financement des Objectifs de Développement Durable.</w:t>
      </w:r>
    </w:p>
    <w:p w14:paraId="2627A08F" w14:textId="77777777" w:rsidR="00F52B8A" w:rsidRPr="00F52B8A" w:rsidRDefault="00F52B8A" w:rsidP="00F52B8A">
      <w:pPr>
        <w:pStyle w:val="Corpsdetexte"/>
        <w:rPr>
          <w:lang w:val="fr-FR"/>
        </w:rPr>
      </w:pPr>
    </w:p>
    <w:p w14:paraId="3A1AFD31" w14:textId="77777777" w:rsidR="00FB6EF5" w:rsidRPr="00C46716" w:rsidRDefault="00000000">
      <w:pPr>
        <w:pStyle w:val="Titre1"/>
        <w:rPr>
          <w:lang w:val="fr-FR"/>
        </w:rPr>
      </w:pPr>
      <w:bookmarkStart w:id="0" w:name="_Hlk234525594"/>
      <w:bookmarkStart w:id="1" w:name="entre-les-soussignés"/>
      <w:r>
        <w:rPr>
          <w:lang w:val="fr-FR"/>
        </w:rPr>
        <w:t>Entre les soussignés</w:t>
      </w:r>
    </w:p>
    <w:bookmarkEnd w:id="0"/>
    <w:p w14:paraId="38700B5B" w14:textId="77777777" w:rsidR="00FB6EF5" w:rsidRPr="00C46716" w:rsidRDefault="00000000">
      <w:pPr>
        <w:pStyle w:val="FirstParagraph"/>
        <w:rPr>
          <w:lang w:val="fr-FR"/>
        </w:rPr>
      </w:pPr>
      <w:r>
        <w:rPr>
          <w:lang w:val="fr-FR"/>
        </w:rPr>
        <w:t>[Nom / dénomination], [forme juridique], siège [•], immatriculée [•], représentée par [•], ci-après le « Propriétaire » ;</w:t>
      </w:r>
    </w:p>
    <w:p w14:paraId="3D7071A2" w14:textId="77777777" w:rsidR="00FB6EF5" w:rsidRPr="00C46716" w:rsidRDefault="00000000">
      <w:pPr>
        <w:pStyle w:val="Corpsdetexte"/>
        <w:rPr>
          <w:lang w:val="fr-FR"/>
        </w:rPr>
      </w:pPr>
      <w:r>
        <w:rPr>
          <w:lang w:val="fr-FR"/>
        </w:rPr>
        <w:t>Et la communauté ouverte des personnes admises comme Titulaires selon l’Article 11, agissant par l’Organe de Gouvernance (Art. 42), ci-après les « Membres » ;</w:t>
      </w:r>
    </w:p>
    <w:p w14:paraId="1DC429F2" w14:textId="77777777" w:rsidR="00FB6EF5" w:rsidRDefault="00000000">
      <w:pPr>
        <w:pStyle w:val="Corpsdetexte"/>
        <w:rPr>
          <w:i/>
          <w:iCs/>
          <w:lang w:val="fr-FR"/>
        </w:rPr>
      </w:pPr>
      <w:r>
        <w:rPr>
          <w:i/>
          <w:iCs/>
          <w:lang w:val="fr-FR"/>
        </w:rPr>
        <w:t>Ensemble les « Parties ».</w:t>
      </w:r>
    </w:p>
    <w:p w14:paraId="11FE53C6" w14:textId="77777777" w:rsidR="00D74966" w:rsidRDefault="00D74966">
      <w:pPr>
        <w:pStyle w:val="Corpsdetexte"/>
        <w:rPr>
          <w:i/>
          <w:iCs/>
          <w:lang w:val="fr-FR"/>
        </w:rPr>
      </w:pPr>
    </w:p>
    <w:p w14:paraId="29354EB3" w14:textId="2F7D3C0E" w:rsidR="00D74966" w:rsidRPr="00D74966" w:rsidRDefault="00D74966" w:rsidP="00D74966">
      <w:pPr>
        <w:pStyle w:val="Titre1"/>
        <w:rPr>
          <w:lang w:val="fr-FR"/>
        </w:rPr>
      </w:pPr>
      <w:r>
        <w:rPr>
          <w:lang w:val="fr-FR"/>
        </w:rPr>
        <w:t>Préambule</w:t>
      </w:r>
    </w:p>
    <w:p w14:paraId="7D18ED5C" w14:textId="77777777" w:rsidR="00D74966" w:rsidRPr="00D74966" w:rsidRDefault="00D74966" w:rsidP="00D74966">
      <w:pPr>
        <w:pStyle w:val="Corpsdetexte"/>
        <w:rPr>
          <w:lang w:val="fr-FR"/>
        </w:rPr>
      </w:pPr>
      <w:r>
        <w:rPr>
          <w:lang w:val="fr-FR"/>
        </w:rPr>
        <w:t>Le présent contrat institue un commun monétaire et financier destiné à permettre à une communauté ouverte de coordonner ses échanges, ses capacités de production et le financement de projets d'intérêt collectif sans recourir à une monnaie circulante comme instrument principal d'échange.</w:t>
      </w:r>
    </w:p>
    <w:p w14:paraId="4056D570" w14:textId="77777777" w:rsidR="00D74966" w:rsidRPr="00D74966" w:rsidRDefault="00D74966" w:rsidP="00D74966">
      <w:pPr>
        <w:pStyle w:val="Corpsdetexte"/>
        <w:rPr>
          <w:lang w:val="fr-FR"/>
        </w:rPr>
      </w:pPr>
      <w:r>
        <w:rPr>
          <w:lang w:val="fr-FR"/>
        </w:rPr>
        <w:t>Le dispositif repose sur une distinction fondamentale entre la monnaie et la fonction monétaire. Dans les systèmes monétaires classiques, ces deux notions sont confondues : une même unité sert simultanément de réserve de valeur, d'instrument de circulation et d'unité de compte. Le présent dispositif dissocie au contraire ces fonctions. La monnaie en euros demeure le seul instrument de règlement à l'égard du monde extérieur. À l'intérieur du réseau, la fonction monétaire est assurée exclusivement par un registre d'engagements réciproques dont les écritures se compensent selon les règles définies par le présent contrat.</w:t>
      </w:r>
    </w:p>
    <w:p w14:paraId="5E46FCA2" w14:textId="77777777" w:rsidR="00D74966" w:rsidRPr="00D74966" w:rsidRDefault="00D74966" w:rsidP="00D74966">
      <w:pPr>
        <w:pStyle w:val="Corpsdetexte"/>
        <w:rPr>
          <w:lang w:val="fr-FR"/>
        </w:rPr>
      </w:pPr>
      <w:r>
        <w:rPr>
          <w:lang w:val="fr-FR"/>
        </w:rPr>
        <w:t>Les unités internes ne constituent donc pas une richesse autonome susceptible d'être détenue, accumulée ou transférée. Elles ne représentent que la mesure temporaire d'obligations réciproques entre Membres identifiés. Elles naissent de l'inscription d'un engagement, évoluent avec les échanges et disparaissent lorsque les cycles de compensation se referment. La valeur ne réside pas dans une chose appropriable mais dans la relation économique qui unit les Membres.</w:t>
      </w:r>
    </w:p>
    <w:p w14:paraId="6456AF9C" w14:textId="77777777" w:rsidR="00D74966" w:rsidRPr="00D74966" w:rsidRDefault="00D74966" w:rsidP="00D74966">
      <w:pPr>
        <w:pStyle w:val="Corpsdetexte"/>
        <w:rPr>
          <w:lang w:val="fr-FR"/>
        </w:rPr>
      </w:pPr>
      <w:r>
        <w:rPr>
          <w:lang w:val="fr-FR"/>
        </w:rPr>
        <w:t xml:space="preserve">Le dispositif institue ainsi un commun informationnel au service d'une fonction monétaire commune. Cette fonction est, par nature, non rivale : son exercice par un Membre ne réduit en rien la faculté des autres de l'exercer simultanément. Elle est également non exclusive : tout Membre remplissant les conditions d'admission définies par le présent contrat </w:t>
      </w:r>
      <w:r>
        <w:rPr>
          <w:lang w:val="fr-FR"/>
        </w:rPr>
        <w:lastRenderedPageBreak/>
        <w:t>bénéficie des mêmes prérogatives d'usage, sans qu'aucun puisse monopoliser, accaparer ou privatiser la fonction commune. L'égalité entre les Membres résulte directement de cette architecture et non d'une simple règle de gouvernance.</w:t>
      </w:r>
    </w:p>
    <w:p w14:paraId="6C9BEEED" w14:textId="77777777" w:rsidR="00D74966" w:rsidRPr="00D74966" w:rsidRDefault="00D74966" w:rsidP="00D74966">
      <w:pPr>
        <w:pStyle w:val="Corpsdetexte"/>
        <w:rPr>
          <w:lang w:val="fr-FR"/>
        </w:rPr>
      </w:pPr>
      <w:r>
        <w:rPr>
          <w:lang w:val="fr-FR"/>
        </w:rPr>
        <w:t>Le présent dispositif ne poursuit pas la circulation d'un actif monétaire mais l'organisation d'un équilibre permanent entre créances et dettes. Toute position créditrice est l'exact miroir d'une position débitrice, de sorte que la somme algébrique des soldes demeure constamment nulle. La sécurité du système ne repose ni sur l'accumulation d'avoirs, ni sur la création monétaire, mais sur la conservation de cette symétrie structurelle.</w:t>
      </w:r>
    </w:p>
    <w:p w14:paraId="3529F295" w14:textId="77777777" w:rsidR="00D74966" w:rsidRPr="00D74966" w:rsidRDefault="00D74966" w:rsidP="00D74966">
      <w:pPr>
        <w:pStyle w:val="Corpsdetexte"/>
        <w:rPr>
          <w:lang w:val="fr-FR"/>
        </w:rPr>
      </w:pPr>
      <w:r>
        <w:rPr>
          <w:lang w:val="fr-FR"/>
        </w:rPr>
        <w:t>Cette organisation conduit à une économie de la conservation plutôt qu'à une économie de l'accumulation. Les Membres disposent d'un droit d'usage leur permettant d'utiliser la fonction commune de mesure, de coordination et de compensation, sans jamais acquérir un droit d'appropriation sur celle-ci. Ils exercent un usus collectif ; ils n'acquièrent ni l'abusus ni le fructus de la fonction commune, lesquels demeurent exclus par la structure même du dispositif. La valeur y circule continuellement sans jamais devenir un objet d'appropriation.</w:t>
      </w:r>
    </w:p>
    <w:p w14:paraId="254C1AF8" w14:textId="77777777" w:rsidR="00D74966" w:rsidRPr="00D74966" w:rsidRDefault="00D74966" w:rsidP="00D74966">
      <w:pPr>
        <w:pStyle w:val="Corpsdetexte"/>
        <w:rPr>
          <w:lang w:val="fr-FR"/>
        </w:rPr>
      </w:pPr>
      <w:r>
        <w:rPr>
          <w:lang w:val="fr-FR"/>
        </w:rPr>
        <w:t>Le Capital d'Ancrage n'est pas destiné à financer les échanges ni à couvrir les défaillances des Membres. Il constitue exclusivement le support patrimonial permettant de dimensionner l'exposition maximale du dispositif et d'assurer son ancrage dans une réalité économique objectivable. Les risques individuels demeurent exclusivement couverts par le préfinancement des positions débitrices dans les conditions prévues au présent contrat.</w:t>
      </w:r>
    </w:p>
    <w:p w14:paraId="73B35197" w14:textId="77777777" w:rsidR="00D74966" w:rsidRPr="00D74966" w:rsidRDefault="00D74966" w:rsidP="00D74966">
      <w:pPr>
        <w:pStyle w:val="Corpsdetexte"/>
        <w:rPr>
          <w:lang w:val="fr-FR"/>
        </w:rPr>
      </w:pPr>
      <w:r>
        <w:rPr>
          <w:lang w:val="fr-FR"/>
        </w:rPr>
        <w:t>Lorsque le Capital d'Ancrage fait l'objet d'un démembrement volontaire, les Parties entendent conférer aux Membres un droit d'usage collectif portant sur l'utilité spécifique attachée à ce capital. Elles considèrent que ce droit est susceptible de recevoir la qualification de droit réel de jouissance spéciale dans les limites admises par le droit positif. Cette qualification n'est toutefois pas la source du dispositif. Celui-ci trouve d'abord son fondement dans les engagements contractuels librement consentis par les Parties. Le démembrement constitue une modalité de protection supplémentaire des droits des Membres lorsqu'il est retenu, sans conditionner l'existence ni le fonctionnement du commun institué par le présent contrat.</w:t>
      </w:r>
    </w:p>
    <w:p w14:paraId="2125FD88" w14:textId="138C8970" w:rsidR="00D74966" w:rsidRPr="00D74966" w:rsidRDefault="00D74966">
      <w:pPr>
        <w:pStyle w:val="Corpsdetexte"/>
        <w:rPr>
          <w:lang w:val="fr-FR"/>
        </w:rPr>
      </w:pPr>
      <w:r>
        <w:rPr>
          <w:lang w:val="fr-FR"/>
        </w:rPr>
        <w:t>Le présent contrat organise ainsi une institution juridique autonome reposant sur quatre principes indissociables : la conservation de la valeur par compensation, la non-rivalité de la fonction monétaire, l'égalité d'accès au droit d'usage collectif et la séparation stricte entre le commun informationnel des échanges et la monnaie utilisée dans les relations avec les tiers. Ces principes gouvernent l'interprétation de l'ensemble des stipulations qui suivent.</w:t>
      </w:r>
    </w:p>
    <w:p w14:paraId="0989F771" w14:textId="0D844F5E" w:rsidR="00FB6EF5" w:rsidRPr="00C46716" w:rsidRDefault="00000000">
      <w:pPr>
        <w:pStyle w:val="Titre1"/>
        <w:rPr>
          <w:lang w:val="fr-FR"/>
        </w:rPr>
      </w:pPr>
      <w:bookmarkStart w:id="2" w:name="préambule"/>
      <w:bookmarkEnd w:id="1"/>
      <w:r>
        <w:rPr>
          <w:lang w:val="fr-FR"/>
        </w:rPr>
        <w:t>Principe directeur de la transaction</w:t>
      </w:r>
    </w:p>
    <w:p w14:paraId="611C7F20" w14:textId="7984798B" w:rsidR="00F70B21" w:rsidRPr="00F70B21" w:rsidRDefault="00F70B21" w:rsidP="00F70B21">
      <w:pPr>
        <w:pStyle w:val="Corpsdetexte"/>
        <w:rPr>
          <w:lang w:val="fr-FR"/>
        </w:rPr>
      </w:pPr>
      <w:r>
        <w:rPr>
          <w:lang w:val="fr-FR"/>
        </w:rPr>
        <w:t xml:space="preserve">Toute transaction réalisée au sein du dispositif est régie par un ensemble de principes indissociables qui assurent simultanément sa validité, sa sécurité prudentielle, sa cohérence économique et sa finalité collective. Ces principes ne se concurrencent jamais, fonctionnent de manière complémentaire et gouvernent l’inscription et l’affectation de la valeur. </w:t>
      </w:r>
    </w:p>
    <w:p w14:paraId="1D45E29E" w14:textId="4782C384" w:rsidR="00F70B21" w:rsidRPr="00F70B21" w:rsidRDefault="00F70B21" w:rsidP="00F70B21">
      <w:pPr>
        <w:pStyle w:val="Corpsdetexte"/>
        <w:rPr>
          <w:lang w:val="fr-FR"/>
        </w:rPr>
      </w:pPr>
      <w:r>
        <w:rPr>
          <w:b/>
          <w:bCs/>
          <w:lang w:val="fr-FR"/>
        </w:rPr>
        <w:t>Principe I — Compensation plutôt que circulation.</w:t>
      </w:r>
      <w:r>
        <w:rPr>
          <w:lang w:val="fr-FR"/>
        </w:rPr>
        <w:t xml:space="preserve"> Le dispositif n'organise pas la circulation d'un actif monétaire entre les Membres. Les échanges sont réalisés par l'inscription et la compensation d'engagements réciproques au sein d’un graphe d'échange cyclique. Les unités internes ne constituent pas un bien transférable, mais la mesure temporaire et comptabilisée de ces engagements réciproques.</w:t>
      </w:r>
    </w:p>
    <w:p w14:paraId="1D1381C5" w14:textId="77777777" w:rsidR="00F70B21" w:rsidRPr="00F70B21" w:rsidRDefault="00F70B21" w:rsidP="00F70B21">
      <w:pPr>
        <w:pStyle w:val="Corpsdetexte"/>
        <w:rPr>
          <w:lang w:val="fr-FR"/>
        </w:rPr>
      </w:pPr>
      <w:r>
        <w:rPr>
          <w:b/>
          <w:bCs/>
          <w:lang w:val="fr-FR"/>
        </w:rPr>
        <w:t>Principe II — Équilibre plutôt qu'accumulation.</w:t>
      </w:r>
      <w:r>
        <w:rPr>
          <w:lang w:val="fr-FR"/>
        </w:rPr>
        <w:t xml:space="preserve"> Toute créance est l'exact miroir d'une dette et la somme algébrique des soldes demeure constamment nulle. La capacité économique des Membres ne résulte pas de l'accumulation d'unités internes mais du maintien de l'équilibre de leur balance des engagements, tandis que la puissance du dispositif dépend de la connectivité du graphe et de sa capacité de compensation.</w:t>
      </w:r>
    </w:p>
    <w:p w14:paraId="10662927" w14:textId="2F714608" w:rsidR="00F70B21" w:rsidRPr="00F70B21" w:rsidRDefault="00F70B21" w:rsidP="00F70B21">
      <w:pPr>
        <w:pStyle w:val="Corpsdetexte"/>
        <w:rPr>
          <w:lang w:val="fr-FR"/>
        </w:rPr>
      </w:pPr>
      <w:r>
        <w:rPr>
          <w:b/>
          <w:bCs/>
          <w:lang w:val="fr-FR"/>
        </w:rPr>
        <w:t>Principe III — Usage plutôt qu'appropriation.</w:t>
      </w:r>
      <w:r>
        <w:rPr>
          <w:lang w:val="fr-FR"/>
        </w:rPr>
        <w:t xml:space="preserve"> Les Membres exercent un droit d'usage collectif sur la fonction de mesure, de coordination et de compensation des échanges. Ils n'acquièrent aucun droit d'appropriation sur le Capital d'Ancrage, sur les unités internes ou sur la fonction commune elle-même. Le dispositif substitue ainsi une économie durable de l'usage partagé à une économie de l'accumulation patrimoniale.</w:t>
      </w:r>
    </w:p>
    <w:p w14:paraId="3805A6AE" w14:textId="0F139AFF" w:rsidR="00FB6EF5" w:rsidRPr="00C46716" w:rsidRDefault="00F70B21">
      <w:pPr>
        <w:pStyle w:val="Corpsdetexte"/>
        <w:rPr>
          <w:lang w:val="fr-FR"/>
        </w:rPr>
      </w:pPr>
      <w:r>
        <w:rPr>
          <w:b/>
          <w:bCs/>
          <w:lang w:val="fr-FR"/>
        </w:rPr>
        <w:t>Principe IV — Sécurité puis performance collective.</w:t>
      </w:r>
      <w:r>
        <w:rPr>
          <w:lang w:val="fr-FR"/>
        </w:rPr>
        <w:t xml:space="preserve"> Toute transaction doit, avant toute autre considération, respecter les invariants prudentiels du Titre IV. Parmi les seules opérations ainsi rendues possibles, la décision collective applique ensuite les règles de performance et de priorisation définies au Titre VII. La sécurité détermine le champ des opérations réalisables ; la décision collective en détermine l'ordre de réalisation.</w:t>
      </w:r>
    </w:p>
    <w:p w14:paraId="4BD82FA9" w14:textId="77777777" w:rsidR="00FB6EF5" w:rsidRPr="00C46716" w:rsidRDefault="00000000">
      <w:pPr>
        <w:pStyle w:val="Titre1"/>
        <w:rPr>
          <w:lang w:val="fr-FR"/>
        </w:rPr>
      </w:pPr>
      <w:bookmarkStart w:id="3" w:name="principes-directeurs-de-la-décision"/>
      <w:bookmarkEnd w:id="2"/>
      <w:r>
        <w:rPr>
          <w:lang w:val="fr-FR"/>
        </w:rPr>
        <w:t>Principes directeurs de la décision</w:t>
      </w:r>
    </w:p>
    <w:p w14:paraId="013EC0C7" w14:textId="0BA77B09" w:rsidR="00AE3935" w:rsidRDefault="00AE3935" w:rsidP="00AE3935">
      <w:pPr>
        <w:pStyle w:val="FirstParagraph"/>
        <w:rPr>
          <w:lang w:val="fr-FR"/>
        </w:rPr>
      </w:pPr>
      <w:r>
        <w:rPr>
          <w:lang w:val="fr-FR"/>
        </w:rPr>
        <w:t xml:space="preserve">Le présent dispositif réunit, au sein d'une même architecture, un système d'échange et un système de décision collective. Cette association est inédite : dans les systèmes économiques classiques, les échanges et les décisions collectives relèvent d'institutions distinctes ; ici, ils procèdent d'une même structure logique. Cette logique décisionnelle se fonde sur deux principes contradictoires mais combinables pour trouver un consensus. </w:t>
      </w:r>
    </w:p>
    <w:p w14:paraId="5C17A3B3" w14:textId="77777777" w:rsidR="00FB6EF5" w:rsidRPr="00C46716" w:rsidRDefault="00000000">
      <w:pPr>
        <w:pStyle w:val="Titre2"/>
        <w:rPr>
          <w:color w:val="000000" w:themeColor="text1"/>
          <w:sz w:val="24"/>
          <w:szCs w:val="24"/>
          <w:lang w:val="fr-FR"/>
        </w:rPr>
      </w:pPr>
      <w:bookmarkStart w:id="4" w:name="principe-i-acceptabilité-le-nécessaire"/>
      <w:r>
        <w:rPr>
          <w:color w:val="000000" w:themeColor="text1"/>
          <w:sz w:val="24"/>
          <w:szCs w:val="24"/>
          <w:lang w:val="fr-FR"/>
        </w:rPr>
        <w:t>Principe I — Acceptabilité (le nécessaire)</w:t>
      </w:r>
    </w:p>
    <w:p w14:paraId="11EFEC09" w14:textId="530C3BCF" w:rsidR="00FB6EF5" w:rsidRPr="00C46716" w:rsidRDefault="00000000">
      <w:pPr>
        <w:pStyle w:val="FirstParagraph"/>
        <w:rPr>
          <w:lang w:val="fr-FR"/>
        </w:rPr>
      </w:pPr>
      <w:r>
        <w:rPr>
          <w:lang w:val="fr-FR"/>
        </w:rPr>
        <w:t>L’acceptabilité est une condition nécessaire, de nature de contrainte. Une opération est acceptable si et seulement si elle préserve l’équilibre des créances et des dettes dans les bornes de sécurité du Titre IV. Ce principe s’exerce transaction par transaction, à l’inscription, comme un veto : une opération inacceptable n’est jamais inscrite, quelle que soit sa valeur. Il protège le Membre qui a fourni — la minimisation du coût des minorités — et définit l’ensemble des opérations réalisables.</w:t>
      </w:r>
    </w:p>
    <w:p w14:paraId="3C3EDF39" w14:textId="77777777" w:rsidR="00FB6EF5" w:rsidRPr="00C46716" w:rsidRDefault="00000000">
      <w:pPr>
        <w:pStyle w:val="Titre2"/>
        <w:rPr>
          <w:color w:val="000000" w:themeColor="text1"/>
          <w:sz w:val="24"/>
          <w:szCs w:val="24"/>
          <w:lang w:val="fr-FR"/>
        </w:rPr>
      </w:pPr>
      <w:bookmarkStart w:id="5" w:name="principe-ii-préférence-le-souhaitable"/>
      <w:bookmarkEnd w:id="4"/>
      <w:r>
        <w:rPr>
          <w:color w:val="000000" w:themeColor="text1"/>
          <w:sz w:val="24"/>
          <w:szCs w:val="24"/>
          <w:lang w:val="fr-FR"/>
        </w:rPr>
        <w:t>Principe II — Préférence (le souhaitable)</w:t>
      </w:r>
    </w:p>
    <w:p w14:paraId="53067243" w14:textId="77777777" w:rsidR="00FB6EF5" w:rsidRPr="00C46716" w:rsidRDefault="00000000">
      <w:pPr>
        <w:pStyle w:val="FirstParagraph"/>
        <w:rPr>
          <w:lang w:val="fr-FR"/>
        </w:rPr>
      </w:pPr>
      <w:r>
        <w:rPr>
          <w:lang w:val="fr-FR"/>
        </w:rPr>
        <w:t>La préférence est une condition souhaitable, une fonction d’objectif. Elle exprime, de façon graduée, le bénéfice ODD attendu d’un Projet (Titre VII) et vise la maximisation du bien-être collectif. Elle s’exerce projet par projet, en amont, pour classer et prioriser, non pour autoriser. Elle n’a d’effet que dans le champ délimité par le Principe I.</w:t>
      </w:r>
    </w:p>
    <w:p w14:paraId="395A450A" w14:textId="77777777" w:rsidR="00FB6EF5" w:rsidRPr="00C46716" w:rsidRDefault="00000000">
      <w:pPr>
        <w:pStyle w:val="Titre2"/>
        <w:rPr>
          <w:color w:val="000000" w:themeColor="text1"/>
          <w:sz w:val="24"/>
          <w:szCs w:val="24"/>
          <w:lang w:val="fr-FR"/>
        </w:rPr>
      </w:pPr>
      <w:bookmarkStart w:id="6" w:name="X0d671bda9ed987be40c075933190c3f87cd128d"/>
      <w:bookmarkEnd w:id="5"/>
      <w:r>
        <w:rPr>
          <w:color w:val="000000" w:themeColor="text1"/>
          <w:sz w:val="24"/>
          <w:szCs w:val="24"/>
          <w:lang w:val="fr-FR"/>
        </w:rPr>
        <w:t>Principe III — Composition, primauté et cohérence</w:t>
      </w:r>
    </w:p>
    <w:p w14:paraId="57175C29" w14:textId="77777777" w:rsidR="00FB6EF5" w:rsidRPr="00C46716" w:rsidRDefault="00000000">
      <w:pPr>
        <w:pStyle w:val="FirstParagraph"/>
        <w:rPr>
          <w:lang w:val="fr-FR"/>
        </w:rPr>
      </w:pPr>
      <w:r>
        <w:rPr>
          <w:lang w:val="fr-FR"/>
        </w:rPr>
        <w:t>Les deux principes se composent selon un ordre non commutatif : le dispositif filtre d’abord les opérations par l’acceptabilité (Principe I), puis optimise les opérations par un ordre de préférence (Principe II) en effectuant un classement de préférence dans l’ensemble des seules opérations acceptables. L’acceptabilité est première au sens d’un portail : ceux qui ne la franchissent pas n’accèdent pas au champ où la préférence s’exerce. Aucune préférence, si forte soit-elle, ne peut rendre acceptable une opération qui léserait un Membre.</w:t>
      </w:r>
    </w:p>
    <w:p w14:paraId="36376E55" w14:textId="4AFF6A0F" w:rsidR="00FB6EF5" w:rsidRPr="00C46716" w:rsidRDefault="00000000">
      <w:pPr>
        <w:pStyle w:val="Corpsdetexte"/>
        <w:rPr>
          <w:lang w:val="fr-FR"/>
        </w:rPr>
      </w:pPr>
      <w:r>
        <w:rPr>
          <w:lang w:val="fr-FR"/>
        </w:rPr>
        <w:t>La composition de ces deux vecteurs — approbation (acceptabilité) et plébiscite (préférence) — produit la décision collective par la règle de consensus (Art. 31). Le consensus représente la décision optimale qui cherche à minimiser le risque d’insolvabilité (lié au vecteur d’approbation) et à maximiser la performance économique, écologique et sociale (lié au vecteur de préférence). Le recours à deux vecteurs distincts, et non à un critère unique, est la condition de cohérence du dispositif au regard des résultats de la théorie du choix social ; la réduction à un critère unique est proscrite.</w:t>
      </w:r>
    </w:p>
    <w:p w14:paraId="079079C4" w14:textId="35EB4501" w:rsidR="00FB6EF5" w:rsidRPr="00C46716" w:rsidRDefault="00000000">
      <w:pPr>
        <w:pStyle w:val="Corpsdetexte"/>
        <w:rPr>
          <w:lang w:val="fr-FR"/>
        </w:rPr>
      </w:pPr>
      <w:r>
        <w:rPr>
          <w:b/>
          <w:bCs/>
          <w:lang w:val="fr-FR"/>
        </w:rPr>
        <w:t>Formellement : une opération est réalisable si et seulement si elle satisfait le Principe I ; parmi les opérations réalisables, la priorité d’affectation est déterminée par le Principe II, composé selon l’Article 31. Le Principe I borne le champ des possibles ; le Principe II l’oriente ; le consensus les compose.</w:t>
      </w:r>
    </w:p>
    <w:p w14:paraId="4C9C013C" w14:textId="77777777" w:rsidR="00FB6EF5" w:rsidRPr="00C46716" w:rsidRDefault="00000000">
      <w:pPr>
        <w:pStyle w:val="Corpsdetexte"/>
        <w:rPr>
          <w:lang w:val="fr-FR"/>
        </w:rPr>
      </w:pPr>
      <w:r>
        <w:rPr>
          <w:i/>
          <w:iCs/>
          <w:lang w:val="fr-FR"/>
        </w:rPr>
        <w:t>Ceci exposé, il a été convenu ce qui suit.</w:t>
      </w:r>
    </w:p>
    <w:p w14:paraId="17E83B02" w14:textId="77777777" w:rsidR="00FB6EF5" w:rsidRPr="00EF27F1" w:rsidRDefault="00000000">
      <w:pPr>
        <w:pStyle w:val="Titre1"/>
        <w:rPr>
          <w:sz w:val="28"/>
          <w:szCs w:val="28"/>
          <w:lang w:val="fr-FR"/>
        </w:rPr>
      </w:pPr>
      <w:bookmarkStart w:id="7" w:name="article-1-définitions"/>
      <w:bookmarkEnd w:id="3"/>
      <w:bookmarkEnd w:id="6"/>
      <w:r>
        <w:rPr>
          <w:sz w:val="28"/>
          <w:szCs w:val="28"/>
          <w:lang w:val="fr-FR"/>
        </w:rPr>
        <w:t>Article 1 — Définitions</w:t>
      </w:r>
    </w:p>
    <w:p w14:paraId="432C77E5" w14:textId="77777777" w:rsidR="00FB6EF5" w:rsidRPr="00C46716" w:rsidRDefault="00000000">
      <w:pPr>
        <w:pStyle w:val="FirstParagraph"/>
        <w:rPr>
          <w:lang w:val="fr-FR"/>
        </w:rPr>
      </w:pPr>
      <w:r>
        <w:rPr>
          <w:b/>
          <w:bCs/>
          <w:lang w:val="fr-FR"/>
        </w:rPr>
        <w:t>« Capital d’Ancrage (K) » :</w:t>
      </w:r>
      <w:r>
        <w:rPr>
          <w:lang w:val="fr-FR"/>
        </w:rPr>
        <w:t xml:space="preserve"> capital financier démembré, décrit en Annexe 1, sur lequel le Propriétaire conserve la nue-propriété ; immobilisé (Art. 3), il constitue le plafond de l’exposition autorisée (Art. 18) et ses fruits restent attachés à la nue-propriété. </w:t>
      </w:r>
    </w:p>
    <w:p w14:paraId="1C006090" w14:textId="77777777" w:rsidR="00FB6EF5" w:rsidRPr="00C46716" w:rsidRDefault="00000000">
      <w:pPr>
        <w:pStyle w:val="Corpsdetexte"/>
        <w:rPr>
          <w:lang w:val="fr-FR"/>
        </w:rPr>
      </w:pPr>
      <w:r>
        <w:rPr>
          <w:b/>
          <w:bCs/>
          <w:lang w:val="fr-FR"/>
        </w:rPr>
        <w:t>« Graphe d’échange » :</w:t>
      </w:r>
      <w:r>
        <w:rPr>
          <w:lang w:val="fr-FR"/>
        </w:rPr>
        <w:t xml:space="preserve"> registre programmatique des engagements réciproques entre Membres, exprimés en unités internes, où toute écriture débitrice a pour miroir une écriture créditrice, de sorte que la somme algébrique des soldes est constamment nulle.</w:t>
      </w:r>
    </w:p>
    <w:p w14:paraId="55853C05" w14:textId="77777777" w:rsidR="00FB6EF5" w:rsidRPr="00C46716" w:rsidRDefault="00000000">
      <w:pPr>
        <w:pStyle w:val="Corpsdetexte"/>
        <w:rPr>
          <w:lang w:val="fr-FR"/>
        </w:rPr>
      </w:pPr>
      <w:r>
        <w:rPr>
          <w:b/>
          <w:bCs/>
          <w:lang w:val="fr-FR"/>
        </w:rPr>
        <w:t>« Unité interne » :</w:t>
      </w:r>
      <w:r>
        <w:rPr>
          <w:lang w:val="fr-FR"/>
        </w:rPr>
        <w:t xml:space="preserve"> mesure d’une créance ou d’une dette réciproque, s’éteignant à la fermeture du cycle. Elle n’est ni une monnaie, ni un moyen de paiement, ni un actif transférable.</w:t>
      </w:r>
    </w:p>
    <w:p w14:paraId="735C5F22" w14:textId="77777777" w:rsidR="00FB6EF5" w:rsidRPr="00C46716" w:rsidRDefault="00000000">
      <w:pPr>
        <w:pStyle w:val="Corpsdetexte"/>
        <w:rPr>
          <w:lang w:val="fr-FR"/>
        </w:rPr>
      </w:pPr>
      <w:r>
        <w:rPr>
          <w:b/>
          <w:bCs/>
          <w:lang w:val="fr-FR"/>
        </w:rPr>
        <w:t>« Solde (s</w:t>
      </w:r>
      <w:r>
        <w:rPr>
          <w:b/>
          <w:bCs/>
        </w:rPr>
        <w:t>ᵢ</w:t>
      </w:r>
      <w:r>
        <w:rPr>
          <w:b/>
          <w:bCs/>
          <w:lang w:val="fr-FR"/>
        </w:rPr>
        <w:t>) » :</w:t>
      </w:r>
      <w:r>
        <w:rPr>
          <w:lang w:val="fr-FR"/>
        </w:rPr>
        <w:t xml:space="preserve"> position nette d’un Membre dans le graphe, positive (créditrice) ou négative (débitrice), maintenue dans une fourchette individuelle [−</w:t>
      </w:r>
      <w:r>
        <w:t>δᵢ</w:t>
      </w:r>
      <w:r>
        <w:rPr>
          <w:lang w:val="fr-FR"/>
        </w:rPr>
        <w:t>, +</w:t>
      </w:r>
      <w:r>
        <w:t>δᵢ</w:t>
      </w:r>
      <w:r>
        <w:rPr>
          <w:lang w:val="fr-FR"/>
        </w:rPr>
        <w:t>] choisie par le Membre (Art. 18).</w:t>
      </w:r>
    </w:p>
    <w:p w14:paraId="39BA9AF5" w14:textId="77777777" w:rsidR="00FB6EF5" w:rsidRDefault="00000000">
      <w:pPr>
        <w:pStyle w:val="Corpsdetexte"/>
        <w:rPr>
          <w:lang w:val="fr-FR"/>
        </w:rPr>
      </w:pPr>
      <w:r>
        <w:rPr>
          <w:b/>
          <w:bCs/>
          <w:lang w:val="fr-FR"/>
        </w:rPr>
        <w:t>« Inscription » :</w:t>
      </w:r>
      <w:r>
        <w:rPr>
          <w:lang w:val="fr-FR"/>
        </w:rPr>
        <w:t xml:space="preserve"> enregistrement d’un engagement dans le graphe, modifiable à tout moment depuis l’ouverture de la période d’inscription jusqu’à son scellement. </w:t>
      </w:r>
    </w:p>
    <w:p w14:paraId="46D7695E" w14:textId="77777777" w:rsidR="00334132" w:rsidRPr="00C46716" w:rsidRDefault="00334132">
      <w:pPr>
        <w:pStyle w:val="Corpsdetexte"/>
        <w:rPr>
          <w:lang w:val="fr-FR"/>
        </w:rPr>
      </w:pPr>
      <w:r>
        <w:rPr>
          <w:b/>
          <w:bCs/>
          <w:lang w:val="fr-FR"/>
        </w:rPr>
        <w:t>« Scellement » :</w:t>
      </w:r>
      <w:r>
        <w:rPr>
          <w:lang w:val="fr-FR"/>
        </w:rPr>
        <w:t xml:space="preserve"> moment où les inscriptions transactionnelles du graphe sont fixées collectivement et définitivement et sont enregistrées dans la mémoire du registre distribué pour devenir des obligations contractuelles.</w:t>
      </w:r>
    </w:p>
    <w:p w14:paraId="50F2161C" w14:textId="77777777" w:rsidR="00FB6EF5" w:rsidRPr="00C46716" w:rsidRDefault="00000000">
      <w:pPr>
        <w:pStyle w:val="Corpsdetexte"/>
        <w:rPr>
          <w:lang w:val="fr-FR"/>
        </w:rPr>
      </w:pPr>
      <w:r>
        <w:rPr>
          <w:b/>
          <w:bCs/>
          <w:lang w:val="fr-FR"/>
        </w:rPr>
        <w:t>« Réalisation » :</w:t>
      </w:r>
      <w:r>
        <w:rPr>
          <w:lang w:val="fr-FR"/>
        </w:rPr>
        <w:t xml:space="preserve"> exécution effective d’une obligation contractuelle résultant d’un engagement inscrit sur le graphe.</w:t>
      </w:r>
    </w:p>
    <w:p w14:paraId="72471DA4" w14:textId="77777777" w:rsidR="00FB6EF5" w:rsidRPr="00C46716" w:rsidRDefault="00000000">
      <w:pPr>
        <w:pStyle w:val="Corpsdetexte"/>
        <w:rPr>
          <w:lang w:val="fr-FR"/>
        </w:rPr>
      </w:pPr>
      <w:r>
        <w:rPr>
          <w:b/>
          <w:bCs/>
          <w:lang w:val="fr-FR"/>
        </w:rPr>
        <w:t>« Préfinancement » :</w:t>
      </w:r>
      <w:r>
        <w:rPr>
          <w:lang w:val="fr-FR"/>
        </w:rPr>
        <w:t xml:space="preserve"> dépôt de garantie, en argent réel, couvrant la position débitrice qu’un Membre s’autorise (Art. 21).</w:t>
      </w:r>
    </w:p>
    <w:p w14:paraId="6036C484" w14:textId="06EE6ED0" w:rsidR="00EF27F1" w:rsidRDefault="00000000">
      <w:pPr>
        <w:pStyle w:val="Corpsdetexte"/>
        <w:rPr>
          <w:lang w:val="fr-FR"/>
        </w:rPr>
      </w:pPr>
      <w:r>
        <w:rPr>
          <w:b/>
          <w:bCs/>
          <w:lang w:val="fr-FR"/>
        </w:rPr>
        <w:t>« Projet ODD » :</w:t>
      </w:r>
      <w:r>
        <w:rPr>
          <w:lang w:val="fr-FR"/>
        </w:rPr>
        <w:t xml:space="preserve"> opération soumise au critère de bénéfice (Art. 30) et à la priorisation collective (Art. 31).</w:t>
      </w:r>
    </w:p>
    <w:p w14:paraId="306158AA" w14:textId="77777777" w:rsidR="00EF27F1" w:rsidRDefault="00EF27F1" w:rsidP="00EF27F1">
      <w:pPr>
        <w:pStyle w:val="Titre1"/>
        <w:rPr>
          <w:lang w:val="fr-FR"/>
        </w:rPr>
      </w:pPr>
      <w:r>
        <w:rPr>
          <w:lang w:val="fr-FR"/>
        </w:rPr>
        <w:t>Titre I — Le Capital d’Ancrage : fondement patrimonial du commun</w:t>
      </w:r>
    </w:p>
    <w:p w14:paraId="219334F8" w14:textId="77777777" w:rsidR="00EF27F1" w:rsidRDefault="00EF27F1" w:rsidP="00EF27F1">
      <w:pPr>
        <w:pStyle w:val="Titre2"/>
        <w:rPr>
          <w:lang w:val="fr-FR"/>
        </w:rPr>
      </w:pPr>
      <w:r>
        <w:rPr>
          <w:lang w:val="fr-FR"/>
        </w:rPr>
        <w:t>Article 2 — Objet du Capital d’Ancrage</w:t>
      </w:r>
    </w:p>
    <w:p w14:paraId="2763E550" w14:textId="77777777" w:rsidR="00EF27F1" w:rsidRDefault="00EF27F1" w:rsidP="00EF27F1">
      <w:pPr>
        <w:pStyle w:val="FirstParagraph"/>
        <w:rPr>
          <w:lang w:val="fr-FR"/>
        </w:rPr>
      </w:pPr>
      <w:r>
        <w:rPr>
          <w:lang w:val="fr-FR"/>
        </w:rPr>
        <w:t>Le Capital d’Ancrage constitue le fondement patrimonial du dispositif institué par le présent contrat. Il n’est ni un fonds d’échange, ni une réserve de paiement, ni un fonds de garantie : il est une grandeur de référence qui ancre le dispositif dans une réalité économique objectivable et en détermine la capacité maximale d’exposition. Sa description figure en Annexe 1.</w:t>
      </w:r>
    </w:p>
    <w:p w14:paraId="3E60F206" w14:textId="77777777" w:rsidR="00EF27F1" w:rsidRDefault="00EF27F1" w:rsidP="00EF27F1">
      <w:pPr>
        <w:pStyle w:val="Corpsdetexte"/>
        <w:rPr>
          <w:lang w:val="fr-FR"/>
        </w:rPr>
      </w:pPr>
      <w:r>
        <w:rPr>
          <w:lang w:val="fr-FR"/>
        </w:rPr>
        <w:t>Le Capital d’Ancrage demeure constamment distinct des opérations réalisées au sein du graphe d’échange. Les échanges se dénouent par compensation d’engagements réciproques entre Membres, sans que le Capital d’Ancrage y participe ni ne soit mobilisé. Il établit le lien entre la capacité productive et transactionnelle autorisée du réseau et sa mesure patrimoniale, sans jamais se confondre avec la valeur qui circule entre les Membres.</w:t>
      </w:r>
    </w:p>
    <w:p w14:paraId="2831A05B" w14:textId="77777777" w:rsidR="00EF27F1" w:rsidRDefault="00EF27F1" w:rsidP="00EF27F1">
      <w:pPr>
        <w:pStyle w:val="Titre2"/>
        <w:rPr>
          <w:lang w:val="fr-FR"/>
        </w:rPr>
      </w:pPr>
      <w:r>
        <w:rPr>
          <w:lang w:val="fr-FR"/>
        </w:rPr>
        <w:t>Article 3 — Immobilisation du Capital d’Ancrage</w:t>
      </w:r>
    </w:p>
    <w:p w14:paraId="12E1842D" w14:textId="77777777" w:rsidR="00EF27F1" w:rsidRDefault="00EF27F1" w:rsidP="00EF27F1">
      <w:pPr>
        <w:pStyle w:val="FirstParagraph"/>
        <w:rPr>
          <w:lang w:val="fr-FR"/>
        </w:rPr>
      </w:pPr>
      <w:r>
        <w:rPr>
          <w:lang w:val="fr-FR"/>
        </w:rPr>
        <w:t>Le Capital d’Ancrage est intégralement immobilisé pendant toute la durée de fonctionnement du dispositif et n’est jamais décaissé pour ses opérations. Il est conservé sous séquestre, consignation ou tout autre mécanisme assurant son indisponibilité juridique et comptable, selon des modalités qui lui sont propres (Annexe 1), distinctes de celles du préfinancement (Art. 21).</w:t>
      </w:r>
    </w:p>
    <w:p w14:paraId="70985FE7" w14:textId="77777777" w:rsidR="00EF27F1" w:rsidRDefault="00EF27F1" w:rsidP="00EF27F1">
      <w:pPr>
        <w:pStyle w:val="Corpsdetexte"/>
        <w:rPr>
          <w:lang w:val="fr-FR"/>
        </w:rPr>
      </w:pPr>
      <w:r>
        <w:rPr>
          <w:lang w:val="fr-FR"/>
        </w:rPr>
        <w:t>L’immobilisation et le plafonnement sont deux propriétés distinctes et cumulatives : l’immobilisation signifie que le capital n’est pas dépensé ; le plafonnement, qu’il borne l’exposition autorisée du dispositif (Art. 4).</w:t>
      </w:r>
    </w:p>
    <w:p w14:paraId="20A40B8B" w14:textId="77777777" w:rsidR="00EF27F1" w:rsidRDefault="00EF27F1" w:rsidP="00EF27F1">
      <w:pPr>
        <w:pStyle w:val="Corpsdetexte"/>
        <w:rPr>
          <w:lang w:val="fr-FR"/>
        </w:rPr>
      </w:pPr>
      <w:r>
        <w:rPr>
          <w:lang w:val="fr-FR"/>
        </w:rPr>
        <w:t>Il résulte de cette immobilisation que le Capital d’Ancrage ne remplit aucune fonction de décaissement ni de garantie. Il ne finance aucune opération et ne couvre aucune défaillance de paiement des Membres : celles-ci sont intégralement couvertes, euro pour euro, par le préfinancement des positions débitrices (Art. 21), qui constitue une garantie distincte. Le Capital d’Ancrage n’est donc ni un fonds mobilisable, ni une sûreté, ni une réserve de paiement, ni un fonds de garantie ; il est un pur instrument de dimensionnement.</w:t>
      </w:r>
    </w:p>
    <w:p w14:paraId="505B9941" w14:textId="77777777" w:rsidR="00EF27F1" w:rsidRDefault="00EF27F1" w:rsidP="00EF27F1">
      <w:pPr>
        <w:pStyle w:val="Corpsdetexte"/>
        <w:rPr>
          <w:lang w:val="fr-FR"/>
        </w:rPr>
      </w:pPr>
      <w:r>
        <w:rPr>
          <w:lang w:val="fr-FR"/>
        </w:rPr>
        <w:t>La qualification de sûreté attachée au préfinancement (Art. 21 et 22) lui est propre et ne s’étend pas au Capital d’Ancrage ; les deux séquestres demeurent juridiquement et comptablement séparés. Les fruits éventuellement produits par le Capital d’Ancrage demeurent attachés à son propriétaire, sauf stipulation contraire.</w:t>
      </w:r>
    </w:p>
    <w:p w14:paraId="65133092" w14:textId="77777777" w:rsidR="00EF27F1" w:rsidRDefault="00EF27F1" w:rsidP="00EF27F1">
      <w:pPr>
        <w:pStyle w:val="Titre2"/>
        <w:rPr>
          <w:lang w:val="fr-FR"/>
        </w:rPr>
      </w:pPr>
      <w:r>
        <w:rPr>
          <w:lang w:val="fr-FR"/>
        </w:rPr>
        <w:t>Article 4 — Fonction de dimensionnement</w:t>
      </w:r>
    </w:p>
    <w:p w14:paraId="2C3B48B3" w14:textId="77777777" w:rsidR="00EF27F1" w:rsidRDefault="00EF27F1" w:rsidP="00EF27F1">
      <w:pPr>
        <w:pStyle w:val="FirstParagraph"/>
        <w:rPr>
          <w:lang w:val="fr-FR"/>
        </w:rPr>
      </w:pPr>
      <w:r>
        <w:rPr>
          <w:lang w:val="fr-FR"/>
        </w:rPr>
        <w:t>Le Capital d’Ancrage détermine exclusivement la capacité maximale d’exposition du dispositif. Il ne mesure pas la richesse des Membres, mais la limite prudentielle dans laquelle les positions débitrices peuvent être autorisées.</w:t>
      </w:r>
    </w:p>
    <w:p w14:paraId="7960D7EF" w14:textId="77777777" w:rsidR="00EF27F1" w:rsidRDefault="00EF27F1" w:rsidP="00EF27F1">
      <w:pPr>
        <w:pStyle w:val="Corpsdetexte"/>
        <w:rPr>
          <w:lang w:val="fr-FR"/>
        </w:rPr>
      </w:pPr>
      <w:r>
        <w:rPr>
          <w:lang w:val="fr-FR"/>
        </w:rPr>
        <w:t>Le plafond global des positions débitrices autorisées demeure soumis à la relation ∑ δᵢ ≤ K, où K représente le montant du Capital d’Ancrage effectivement immobilisé. Cette relation constitue un invariant structurel du dispositif, énoncé au Titre IV (Art. 18).</w:t>
      </w:r>
    </w:p>
    <w:p w14:paraId="1348F505" w14:textId="77777777" w:rsidR="00EF27F1" w:rsidRDefault="00EF27F1" w:rsidP="00EF27F1">
      <w:pPr>
        <w:pStyle w:val="Corpsdetexte"/>
        <w:rPr>
          <w:lang w:val="fr-FR"/>
        </w:rPr>
      </w:pPr>
      <w:r>
        <w:rPr>
          <w:lang w:val="fr-FR"/>
        </w:rPr>
        <w:t>L’accroissement du Capital d’Ancrage augmente la capacité maximale du réseau sans modifier la nature des échanges ; inversement, une réduction du Capital d’Ancrage entraîne une réduction corrélative de l’exposition maximale autorisée. La grandeur du Capital d’Ancrage met ainsi la capacité productive et transactionnelle autorisée du réseau en phase avec la réalité socio-économique dans laquelle il s’inscrit.</w:t>
      </w:r>
    </w:p>
    <w:p w14:paraId="70EC8AC5" w14:textId="77777777" w:rsidR="00EF27F1" w:rsidRDefault="00EF27F1" w:rsidP="00EF27F1">
      <w:pPr>
        <w:pStyle w:val="Titre2"/>
        <w:rPr>
          <w:lang w:val="fr-FR"/>
        </w:rPr>
      </w:pPr>
      <w:r>
        <w:rPr>
          <w:lang w:val="fr-FR"/>
        </w:rPr>
        <w:t>Article 5 — Régime juridique du Capital d’Ancrage</w:t>
      </w:r>
    </w:p>
    <w:p w14:paraId="3D948C1F" w14:textId="77777777" w:rsidR="00EF27F1" w:rsidRDefault="00EF27F1" w:rsidP="00EF27F1">
      <w:pPr>
        <w:pStyle w:val="FirstParagraph"/>
        <w:rPr>
          <w:lang w:val="fr-FR"/>
        </w:rPr>
      </w:pPr>
      <w:r>
        <w:rPr>
          <w:lang w:val="fr-FR"/>
        </w:rPr>
        <w:t>Le Capital d’Ancrage peut être détenu en pleine propriété ou faire l’objet d’un démembrement volontaire, sans que cette circonstance n’affecte l’économie du système d’échange. Le démembrement constitue la configuration retenue par principe, mais il n’est pas une condition de fonctionnement du dispositif : les Parties peuvent y renoncer et affecter un capital détenu en pleine propriété comme simple point d’ancrage.</w:t>
      </w:r>
    </w:p>
    <w:p w14:paraId="06D0521D" w14:textId="77777777" w:rsidR="00EF27F1" w:rsidRDefault="00EF27F1" w:rsidP="00EF27F1">
      <w:pPr>
        <w:pStyle w:val="Corpsdetexte"/>
        <w:rPr>
          <w:lang w:val="fr-FR"/>
        </w:rPr>
      </w:pPr>
      <w:r>
        <w:rPr>
          <w:lang w:val="fr-FR"/>
        </w:rPr>
        <w:t>Lorsque le Propriétaire démembre le capital, il conserve la nue-propriété financière — entendue comme la restitution du capital, ses fruits et son prix de cession — et constitue au profit des Membres un droit d’usage collectif portant sur la seule utilité d’information et de compensation attachée à ce capital, à l’exclusion de tout pouvoir de disposition et de toute perception de fruits. Le droit ainsi conféré est un usus seul, dépourvu d’abusus et de fructus.</w:t>
      </w:r>
    </w:p>
    <w:p w14:paraId="00EAD5A4" w14:textId="77777777" w:rsidR="00EF27F1" w:rsidRDefault="00EF27F1" w:rsidP="00EF27F1">
      <w:pPr>
        <w:pStyle w:val="Corpsdetexte"/>
        <w:rPr>
          <w:lang w:val="fr-FR"/>
        </w:rPr>
      </w:pPr>
      <w:r>
        <w:rPr>
          <w:lang w:val="fr-FR"/>
        </w:rPr>
        <w:t>Les Parties considèrent que ce droit d’usage est susceptible de recevoir la qualification de droit réel de jouissance spéciale. Depuis l’arrêt Maison de Poésie (Cass. 3e civ., 31 octobre 2012, n° 11-16.304), la Cour de cassation admet, sur le fondement des articles 544 et 1134 — devenu 1103 — du Code civil, que le propriétaire peut consentir, sous réserve des règles d’ordre public, un droit réel conférant le bénéfice d’une jouissance spéciale de son bien, mettant ainsi un terme à la controverse séculaire du numerus clausus des droits réels. Cette liberté de constituer des droits réels sui generis, distincts des droits réels nommés, ainsi que la faculté pour les parties d’en déterminer librement le contenu et la durée, ont été entérinées et précisées par la jurisprudence ultérieure (Cass. 3e civ., 28 janvier 2015, n° 14-10.013 ; Cass. 3e civ., 8 septembre 2016, n° 14-26.953, dite Maison de Poésie II ; Cass. 3e civ., 7 juin 2018, n° 17-17.240) : un tel droit, s’il n’est pas limité dans le temps par la volonté des parties, ne peut être perpétuel et s’éteint dans les conditions des articles 619 et 625 du Code civil, mais il peut être stipulé pour une durée librement convenue et, lorsque sa spécialité est accessoire au fonds, revêtir un caractère perpétuel.</w:t>
      </w:r>
    </w:p>
    <w:p w14:paraId="4C12A368" w14:textId="77777777" w:rsidR="00EF27F1" w:rsidRDefault="00EF27F1" w:rsidP="00EF27F1">
      <w:pPr>
        <w:pStyle w:val="Corpsdetexte"/>
        <w:rPr>
          <w:lang w:val="fr-FR"/>
        </w:rPr>
      </w:pPr>
      <w:r>
        <w:rPr>
          <w:lang w:val="fr-FR"/>
        </w:rPr>
        <w:t>La qualification retenue par les Parties s’inscrit dans cette liberté, dans les limites admises par le droit positif et sous réserve des règles d’ordre public. Elle constitue une modalité de protection supplémentaire des droits des Membres ; elle ne conditionne ni l’existence du commun institué par le présent contrat, ni son fonctionnement. Sa portée est précisée à l’Article 8.</w:t>
      </w:r>
    </w:p>
    <w:p w14:paraId="0213BAC8" w14:textId="77777777" w:rsidR="00EF27F1" w:rsidRDefault="00EF27F1" w:rsidP="00EF27F1">
      <w:pPr>
        <w:pStyle w:val="Titre1"/>
        <w:rPr>
          <w:lang w:val="fr-FR"/>
        </w:rPr>
      </w:pPr>
      <w:r>
        <w:rPr>
          <w:lang w:val="fr-FR"/>
        </w:rPr>
        <w:t>Titre II — Le droit d’usage collectif et le commun informationnel</w:t>
      </w:r>
    </w:p>
    <w:p w14:paraId="49F13C1C" w14:textId="77777777" w:rsidR="00EF27F1" w:rsidRDefault="00EF27F1" w:rsidP="00EF27F1">
      <w:pPr>
        <w:pStyle w:val="Titre2"/>
        <w:rPr>
          <w:lang w:val="fr-FR"/>
        </w:rPr>
      </w:pPr>
      <w:r>
        <w:rPr>
          <w:lang w:val="fr-FR"/>
        </w:rPr>
        <w:t>Article 6 — Objet du droit d’usage collectif</w:t>
      </w:r>
    </w:p>
    <w:p w14:paraId="469BD384" w14:textId="77777777" w:rsidR="00EF27F1" w:rsidRDefault="00EF27F1" w:rsidP="00EF27F1">
      <w:pPr>
        <w:pStyle w:val="FirstParagraph"/>
        <w:rPr>
          <w:lang w:val="fr-FR"/>
        </w:rPr>
      </w:pPr>
      <w:r>
        <w:rPr>
          <w:lang w:val="fr-FR"/>
        </w:rPr>
        <w:t>Le présent contrat confère à chaque Membre un droit d’usage collectif lui permettant de participer au fonctionnement du commun institué par le présent contrat. Ce droit d’usage ne porte ni sur une somme d’argent, ni sur une créance monétaire, ni sur une quote-part du Capital d’Ancrage. Il porte exclusivement sur la faculté de participer à une fonction commune de mesure, d’inscription, de coordination et de compensation des échanges.</w:t>
      </w:r>
    </w:p>
    <w:p w14:paraId="630E5B86" w14:textId="77777777" w:rsidR="00EF27F1" w:rsidRDefault="00EF27F1" w:rsidP="00EF27F1">
      <w:pPr>
        <w:pStyle w:val="Corpsdetexte"/>
        <w:rPr>
          <w:lang w:val="fr-FR"/>
        </w:rPr>
      </w:pPr>
      <w:r>
        <w:rPr>
          <w:lang w:val="fr-FR"/>
        </w:rPr>
        <w:t>Cette fonction constitue un bien commun informationnel dont l’utilité résulte de son exercice collectif. Le droit d’usage est identique pour tous les Membres ; il ne peut être approprié, fragmenté, accumulé ou exercé au détriment des autres Membres.</w:t>
      </w:r>
    </w:p>
    <w:p w14:paraId="38DA0516" w14:textId="77777777" w:rsidR="00EF27F1" w:rsidRDefault="00EF27F1" w:rsidP="00EF27F1">
      <w:pPr>
        <w:pStyle w:val="Titre2"/>
        <w:rPr>
          <w:lang w:val="fr-FR"/>
        </w:rPr>
      </w:pPr>
      <w:r>
        <w:rPr>
          <w:lang w:val="fr-FR"/>
        </w:rPr>
        <w:t>Article 7 — Caractères du droit d’usage</w:t>
      </w:r>
    </w:p>
    <w:p w14:paraId="1F01FBEE" w14:textId="77777777" w:rsidR="00EF27F1" w:rsidRDefault="00EF27F1" w:rsidP="00EF27F1">
      <w:pPr>
        <w:pStyle w:val="FirstParagraph"/>
        <w:rPr>
          <w:lang w:val="fr-FR"/>
        </w:rPr>
      </w:pPr>
      <w:r>
        <w:rPr>
          <w:lang w:val="fr-FR"/>
        </w:rPr>
        <w:t>Le droit d’usage collectif présente les caractères suivants :</w:t>
      </w:r>
    </w:p>
    <w:p w14:paraId="2A2A9242" w14:textId="77777777" w:rsidR="00EF27F1" w:rsidRDefault="00EF27F1" w:rsidP="00EF27F1">
      <w:pPr>
        <w:pStyle w:val="Corpsdetexte"/>
        <w:rPr>
          <w:lang w:val="fr-FR"/>
        </w:rPr>
      </w:pPr>
      <w:r>
        <w:rPr>
          <w:b/>
          <w:bCs/>
          <w:lang w:val="fr-FR"/>
        </w:rPr>
        <w:t>Il est non rival :</w:t>
      </w:r>
      <w:r>
        <w:rPr>
          <w:lang w:val="fr-FR"/>
        </w:rPr>
        <w:t xml:space="preserve"> son exercice par un Membre ne diminue en rien la faculté des autres Membres de l’exercer simultanément.</w:t>
      </w:r>
    </w:p>
    <w:p w14:paraId="3E39BBAD" w14:textId="77777777" w:rsidR="00EF27F1" w:rsidRDefault="00EF27F1" w:rsidP="00EF27F1">
      <w:pPr>
        <w:pStyle w:val="Corpsdetexte"/>
        <w:rPr>
          <w:lang w:val="fr-FR"/>
        </w:rPr>
      </w:pPr>
      <w:r>
        <w:rPr>
          <w:b/>
          <w:bCs/>
          <w:lang w:val="fr-FR"/>
        </w:rPr>
        <w:t>Il est non exclusif :</w:t>
      </w:r>
      <w:r>
        <w:rPr>
          <w:lang w:val="fr-FR"/>
        </w:rPr>
        <w:t xml:space="preserve"> tout Membre remplissant les conditions d’admission (Art. 11) bénéficie des mêmes prérogatives d’usage.</w:t>
      </w:r>
    </w:p>
    <w:p w14:paraId="47E1C38C" w14:textId="77777777" w:rsidR="00EF27F1" w:rsidRDefault="00EF27F1" w:rsidP="00EF27F1">
      <w:pPr>
        <w:pStyle w:val="Corpsdetexte"/>
        <w:rPr>
          <w:lang w:val="fr-FR"/>
        </w:rPr>
      </w:pPr>
      <w:r>
        <w:rPr>
          <w:b/>
          <w:bCs/>
          <w:lang w:val="fr-FR"/>
        </w:rPr>
        <w:t>Il est incessible :</w:t>
      </w:r>
      <w:r>
        <w:rPr>
          <w:lang w:val="fr-FR"/>
        </w:rPr>
        <w:t xml:space="preserve"> il ne peut être vendu, donné, nanti ou transmis indépendamment de la qualité de Membre.</w:t>
      </w:r>
    </w:p>
    <w:p w14:paraId="3B17BAAF" w14:textId="77777777" w:rsidR="00EF27F1" w:rsidRDefault="00EF27F1" w:rsidP="00EF27F1">
      <w:pPr>
        <w:pStyle w:val="Corpsdetexte"/>
        <w:rPr>
          <w:lang w:val="fr-FR"/>
        </w:rPr>
      </w:pPr>
      <w:r>
        <w:rPr>
          <w:b/>
          <w:bCs/>
          <w:lang w:val="fr-FR"/>
        </w:rPr>
        <w:t>Il est personnel :</w:t>
      </w:r>
      <w:r>
        <w:rPr>
          <w:lang w:val="fr-FR"/>
        </w:rPr>
        <w:t xml:space="preserve"> il ne confère aucun droit de propriété sur le Capital d’Ancrage ni sur les positions des autres Membres.</w:t>
      </w:r>
    </w:p>
    <w:p w14:paraId="1861A9D6" w14:textId="77777777" w:rsidR="00EF27F1" w:rsidRDefault="00EF27F1" w:rsidP="00EF27F1">
      <w:pPr>
        <w:pStyle w:val="Corpsdetexte"/>
        <w:rPr>
          <w:lang w:val="fr-FR"/>
        </w:rPr>
      </w:pPr>
      <w:r>
        <w:rPr>
          <w:b/>
          <w:bCs/>
          <w:lang w:val="fr-FR"/>
        </w:rPr>
        <w:t>Il est fonctionnel :</w:t>
      </w:r>
      <w:r>
        <w:rPr>
          <w:lang w:val="fr-FR"/>
        </w:rPr>
        <w:t xml:space="preserve"> il existe uniquement afin de permettre le fonctionnement du commun institué par le présent contrat.</w:t>
      </w:r>
    </w:p>
    <w:p w14:paraId="75BD3D8C" w14:textId="77777777" w:rsidR="00EF27F1" w:rsidRDefault="00EF27F1" w:rsidP="00EF27F1">
      <w:pPr>
        <w:pStyle w:val="Corpsdetexte"/>
        <w:rPr>
          <w:lang w:val="fr-FR"/>
        </w:rPr>
      </w:pPr>
      <w:r>
        <w:rPr>
          <w:lang w:val="fr-FR"/>
        </w:rPr>
        <w:t>Le droit d’usage constitue ainsi une prérogative d’accès à une fonction commune — une res communis informationnelle — et non un droit d’appropriation.</w:t>
      </w:r>
    </w:p>
    <w:p w14:paraId="77EF16A5" w14:textId="77777777" w:rsidR="00EF27F1" w:rsidRDefault="00EF27F1" w:rsidP="00EF27F1">
      <w:pPr>
        <w:pStyle w:val="Titre2"/>
        <w:rPr>
          <w:lang w:val="fr-FR"/>
        </w:rPr>
      </w:pPr>
      <w:r>
        <w:rPr>
          <w:lang w:val="fr-FR"/>
        </w:rPr>
        <w:t>Article 8 — Nature juridique</w:t>
      </w:r>
    </w:p>
    <w:p w14:paraId="2A44C2A3" w14:textId="77777777" w:rsidR="00EF27F1" w:rsidRDefault="00EF27F1" w:rsidP="00EF27F1">
      <w:pPr>
        <w:pStyle w:val="FirstParagraph"/>
        <w:rPr>
          <w:lang w:val="fr-FR"/>
        </w:rPr>
      </w:pPr>
      <w:r>
        <w:rPr>
          <w:lang w:val="fr-FR"/>
        </w:rPr>
        <w:t>Le droit d’usage collectif trouve son fondement principal dans le présent contrat. À titre principal, il s’analyse en une prérogative contractuelle d’usage collectif, librement stipulée (art. 1102 du Code civil) et dotée de force obligatoire entre les Parties (art. 1103), opposable à leurs ayants cause ayant accepté les termes. Il organise entre les Membres une faculté commune de mesure, de compensation et d’inscription des engagements, indépendamment de toute qualification réelle : cette qualification contractuelle est le socle du dispositif et suffit à son fonctionnement.</w:t>
      </w:r>
    </w:p>
    <w:p w14:paraId="2AEBA316" w14:textId="77777777" w:rsidR="00EF27F1" w:rsidRDefault="00EF27F1" w:rsidP="00EF27F1">
      <w:pPr>
        <w:pStyle w:val="Corpsdetexte"/>
        <w:rPr>
          <w:lang w:val="fr-FR"/>
        </w:rPr>
      </w:pPr>
      <w:r>
        <w:rPr>
          <w:lang w:val="fr-FR"/>
        </w:rPr>
        <w:t>À titre complémentaire, et lorsque le Capital d’Ancrage fait l’objet d’un démembrement volontaire (Art. 5), les Parties conviennent que ce même droit d’usage est susceptible de recevoir la qualification de droit réel de jouissance spéciale portant sur une utilité déterminée du capital, dans les limites admises par la jurisprudence (Cass. 3e civ., 31 octobre 2012, n° 11-16.304) et pour une durée déterminée (Art. 56). Lorsqu’elle est retenue, cette qualification confère au droit d’usage une opposabilité erga omnes — notamment un droit de suite opposable au Propriétaire, à ses ayants cause et à tout repreneur du capital — garantissant la continuité du commun indépendamment des mutations patrimoniales ultérieures. Cette qualification n’est toutefois ni une condition de validité, ni une condition de fonctionnement du dispositif.</w:t>
      </w:r>
    </w:p>
    <w:p w14:paraId="2CDC3B7D" w14:textId="77777777" w:rsidR="00EF27F1" w:rsidRDefault="00EF27F1" w:rsidP="00EF27F1">
      <w:pPr>
        <w:pStyle w:val="Corpsdetexte"/>
        <w:rPr>
          <w:lang w:val="fr-FR"/>
        </w:rPr>
      </w:pPr>
      <w:r>
        <w:rPr>
          <w:lang w:val="fr-FR"/>
        </w:rPr>
        <w:t>Le droit d’usage se distingue des opérations qu’il autorise : simple faculté, il n’emporte aucune dette au repos ; son exercice, en revanche, engendre entre les Membres des créances réciproques que le dispositif éteint par compensation conventionnelle (art. 1348-2 du Code civil) sans transfert de fonds pour la part compensée, conformément au régime des échanges du noyau (Titre VI).</w:t>
      </w:r>
    </w:p>
    <w:p w14:paraId="17E3029B" w14:textId="77777777" w:rsidR="00EF27F1" w:rsidRDefault="00EF27F1" w:rsidP="00EF27F1">
      <w:pPr>
        <w:pStyle w:val="Titre2"/>
        <w:rPr>
          <w:lang w:val="fr-FR"/>
        </w:rPr>
      </w:pPr>
      <w:r>
        <w:rPr>
          <w:lang w:val="fr-FR"/>
        </w:rPr>
        <w:t>Article 9 — Les unités internes</w:t>
      </w:r>
    </w:p>
    <w:p w14:paraId="7AE79FC4" w14:textId="77777777" w:rsidR="00EF27F1" w:rsidRDefault="00EF27F1" w:rsidP="00EF27F1">
      <w:pPr>
        <w:pStyle w:val="FirstParagraph"/>
        <w:rPr>
          <w:lang w:val="fr-FR"/>
        </w:rPr>
      </w:pPr>
      <w:r>
        <w:rPr>
          <w:lang w:val="fr-FR"/>
        </w:rPr>
        <w:t>L’exercice du droit d’usage collectif conduit à l’inscription d’unités internes dans le registre du dispositif. Ces unités ne constituent que la mesure temporaire d’obligations réciproques compensables entre Membres identifiés, au sein d’un cercle fermé : elles naissent de l’inscription d’engagements réciproques, évoluent avec les échanges et disparaissent par compensation lorsque les cycles se referment. Elles ne procurent aucun rendement par leur seule détention et ne sont pas destinées à circuler indépendamment des relations qu’elles mesurent.</w:t>
      </w:r>
    </w:p>
    <w:p w14:paraId="22E90988" w14:textId="77777777" w:rsidR="00EF27F1" w:rsidRDefault="00EF27F1" w:rsidP="00EF27F1">
      <w:pPr>
        <w:pStyle w:val="Corpsdetexte"/>
        <w:rPr>
          <w:lang w:val="fr-FR"/>
        </w:rPr>
      </w:pPr>
      <w:r>
        <w:rPr>
          <w:lang w:val="fr-FR"/>
        </w:rPr>
        <w:t>Le dispositif ne reçoit, ne détient ni ne transfère aucun fonds pour le compte de tiers (Art. 27), de sorte qu’il ne fournit aucun service de paiement au sens des articles L. 314-1 et L. 521-1 du Code monétaire et financier. Les unités n’étant acceptées qu’entre Membres, pour un éventail déterminé de biens et de services relevant des Objectifs de Développement Durable, le dispositif s’inscrit dans la logique des instruments à réseau limité exclus du champ des services de paiement (art. L. 521-3 du même code) et, le cas échéant, dans celle des titres de monnaie locale complémentaire (Art. 57).</w:t>
      </w:r>
    </w:p>
    <w:p w14:paraId="611F6C76" w14:textId="77777777" w:rsidR="00EF27F1" w:rsidRDefault="00EF27F1" w:rsidP="00EF27F1">
      <w:pPr>
        <w:pStyle w:val="Corpsdetexte"/>
        <w:rPr>
          <w:lang w:val="fr-FR"/>
        </w:rPr>
      </w:pPr>
      <w:r>
        <w:rPr>
          <w:lang w:val="fr-FR"/>
        </w:rPr>
        <w:t>Les unités ne portent aucun intérêt et ne sont pas cessibles à titre onéreux. Elles ne constituent ni un instrument financier au sens de l’article L. 211-1 du Code monétaire et financier, ni un titre de créance négociable.</w:t>
      </w:r>
    </w:p>
    <w:p w14:paraId="0D90E4B4" w14:textId="77777777" w:rsidR="00EF27F1" w:rsidRDefault="00EF27F1" w:rsidP="00EF27F1">
      <w:pPr>
        <w:pStyle w:val="Titre2"/>
        <w:rPr>
          <w:lang w:val="fr-FR"/>
        </w:rPr>
      </w:pPr>
      <w:r>
        <w:rPr>
          <w:lang w:val="fr-FR"/>
        </w:rPr>
        <w:t>Article 10 — Conséquences juridiques</w:t>
      </w:r>
    </w:p>
    <w:p w14:paraId="0AA28E35" w14:textId="77777777" w:rsidR="00EF27F1" w:rsidRDefault="00EF27F1" w:rsidP="00EF27F1">
      <w:pPr>
        <w:pStyle w:val="FirstParagraph"/>
        <w:rPr>
          <w:lang w:val="fr-FR"/>
        </w:rPr>
      </w:pPr>
      <w:r>
        <w:rPr>
          <w:lang w:val="fr-FR"/>
        </w:rPr>
        <w:t>Il résulte des articles précédents que le droit d’usage collectif constitue exclusivement un droit de participation à une fonction commune, et que les unités internes n’en sont que les écritures nécessaires. Elles ne sont ni des sommes d’argent, ni des dépôts, ni des créances exigibles sur un émetteur. La valeur économique réside dans les opérations réelles réalisées entre les Membres, et non dans les unités elles-mêmes.</w:t>
      </w:r>
    </w:p>
    <w:p w14:paraId="19363F4E" w14:textId="77777777" w:rsidR="00EF27F1" w:rsidRDefault="00EF27F1" w:rsidP="00EF27F1">
      <w:pPr>
        <w:pStyle w:val="Corpsdetexte"/>
        <w:rPr>
          <w:lang w:val="fr-FR"/>
        </w:rPr>
      </w:pPr>
      <w:r>
        <w:rPr>
          <w:lang w:val="fr-FR"/>
        </w:rPr>
        <w:t>Le dispositif ne crée donc aucun actif monétaire autonome : il n’organise que l’inscription, la coordination et la compensation conventionnelle (art. 1348-2 du Code civil) d’obligations réciproques librement consenties entre les Membres. Les qualifications réglementaires négatives qui découlent de ces caractéristiques — absence de service de paiement, de monnaie électronique, d’instrument financier et de crypto-actif — sont énoncées, article par article et avec leurs fondements, au Titre X. Toute qualification juridique applicable au dispositif s’interprète à la lumière des caractéristiques essentielles établies au présent Titre.</w:t>
      </w:r>
    </w:p>
    <w:p w14:paraId="512741B7" w14:textId="77777777" w:rsidR="00EF27F1" w:rsidRDefault="00EF27F1" w:rsidP="00EF27F1">
      <w:pPr>
        <w:pStyle w:val="Titre2"/>
        <w:rPr>
          <w:lang w:val="fr-FR"/>
        </w:rPr>
      </w:pPr>
      <w:r>
        <w:rPr>
          <w:lang w:val="fr-FR"/>
        </w:rPr>
        <w:t>Article 11 — Admission au commun</w:t>
      </w:r>
    </w:p>
    <w:p w14:paraId="6A10F407" w14:textId="77777777" w:rsidR="00EF27F1" w:rsidRDefault="00EF27F1" w:rsidP="00EF27F1">
      <w:pPr>
        <w:pStyle w:val="FirstParagraph"/>
        <w:rPr>
          <w:lang w:val="fr-FR"/>
        </w:rPr>
      </w:pPr>
      <w:r>
        <w:rPr>
          <w:lang w:val="fr-FR"/>
        </w:rPr>
        <w:t>L’admission au dispositif repose sur des critères objectifs, publics, préalablement définis et non discriminatoires, conformes à l’ordre public. Nul remplissant ces critères et acceptant le présent contrat ne peut être arbitrairement exclu ; tout refus d’admission est motivé et susceptible de réexamen. La qualité de Membre ne peut être retirée que pour un manquement caractérisé au présent contrat, selon une procédure contradictoire.</w:t>
      </w:r>
    </w:p>
    <w:p w14:paraId="276E95A0" w14:textId="77777777" w:rsidR="00EF27F1" w:rsidRDefault="00EF27F1" w:rsidP="00EF27F1">
      <w:pPr>
        <w:pStyle w:val="Corpsdetexte"/>
        <w:rPr>
          <w:lang w:val="fr-FR"/>
        </w:rPr>
      </w:pPr>
      <w:r>
        <w:rPr>
          <w:lang w:val="fr-FR"/>
        </w:rPr>
        <w:t>Chaque Membre déclare, de bonne foi (art. 1104 du Code civil) et à jour continu, son offre et sa demande, qui alimentent le graphe d’échange. Il conserve à tout instant la faculté de se retirer dans les conditions de l’Article 25, sans autre charge que le solde de ses positions résiduelles. L’admission emporte adhésion au commun institué par le présent contrat et acceptation de ses règles de fonctionnement.</w:t>
      </w:r>
    </w:p>
    <w:bookmarkEnd w:id="7"/>
    <w:p w14:paraId="28A9C7E8" w14:textId="77777777" w:rsidR="00E95B2B" w:rsidRDefault="00000000">
      <w:pPr>
        <w:pStyle w:val="Titre1"/>
        <w:rPr>
          <w:lang w:val="fr-FR"/>
        </w:rPr>
      </w:pPr>
      <w:r>
        <w:rPr>
          <w:lang w:val="fr-FR"/>
        </w:rPr>
        <w:t>Titre III — Le graphe d'échange : structure, compensation et conséquences</w:t>
      </w:r>
    </w:p>
    <w:p w14:paraId="1466E1C8" w14:textId="77777777" w:rsidR="00E95B2B" w:rsidRDefault="00000000">
      <w:pPr>
        <w:pStyle w:val="FirstParagraph"/>
        <w:rPr>
          <w:lang w:val="fr-FR"/>
        </w:rPr>
      </w:pPr>
      <w:r>
        <w:rPr>
          <w:lang w:val="fr-FR"/>
        </w:rPr>
        <w:t>Le présent Titre définit l'objet même du dispositif — le graphe d'échange —, puis les mécanismes par lesquels les engagements des Membres s'y compensent, et enfin les conséquences juridiques qui découlent de cette structure. Les propriétés de sécurité qui en résultent sont rassemblées, sous la forme d'invariants, au Titre IV.</w:t>
      </w:r>
    </w:p>
    <w:p w14:paraId="49F0689B" w14:textId="6B9D212E" w:rsidR="00E95B2B" w:rsidRDefault="00000000">
      <w:pPr>
        <w:pStyle w:val="Titre2"/>
        <w:rPr>
          <w:lang w:val="fr-FR"/>
        </w:rPr>
      </w:pPr>
      <w:r>
        <w:rPr>
          <w:lang w:val="fr-FR"/>
        </w:rPr>
        <w:t>Article 12 — Structure du graphe : nœuds, arcs, pondération</w:t>
      </w:r>
    </w:p>
    <w:p w14:paraId="26E9EFEE" w14:textId="77777777" w:rsidR="00E95B2B" w:rsidRDefault="00000000">
      <w:pPr>
        <w:pStyle w:val="FirstParagraph"/>
        <w:rPr>
          <w:lang w:val="fr-FR"/>
        </w:rPr>
      </w:pPr>
      <w:r>
        <w:rPr>
          <w:lang w:val="fr-FR"/>
        </w:rPr>
        <w:t>Le dispositif tient un registre dont la forme mathématique est celle d'un graphe orienté et pondéré. Ce registre est le support matériel du commun : il rend visibles les engagements réciproques des Membres et les chemins par lesquels ces engagements se compensent.</w:t>
      </w:r>
    </w:p>
    <w:p w14:paraId="77A64D55" w14:textId="77777777" w:rsidR="00E95B2B" w:rsidRDefault="00000000">
      <w:pPr>
        <w:pStyle w:val="Corpsdetexte"/>
        <w:rPr>
          <w:lang w:val="fr-FR"/>
        </w:rPr>
      </w:pPr>
      <w:r>
        <w:rPr>
          <w:lang w:val="fr-FR"/>
        </w:rPr>
        <w:t>Chaque Membre est un nœud. Chaque engagement d'échange est un arc orienté reliant deux nœuds, dirigé du fournisseur vers le bénéficiaire, et pondéré par la valeur de l'engagement, exprimée en unités internes. Le solde d'un Membre (sᵢ) est la somme algébrique des poids des arcs entrants et sortants qui le concernent : positif s'il a fourni plus qu'il n'a reçu, négatif dans le cas inverse.</w:t>
      </w:r>
    </w:p>
    <w:p w14:paraId="41F1A7D8" w14:textId="77777777" w:rsidR="00E95B2B" w:rsidRDefault="00000000">
      <w:pPr>
        <w:pStyle w:val="Corpsdetexte"/>
        <w:rPr>
          <w:lang w:val="fr-FR"/>
        </w:rPr>
      </w:pPr>
      <w:r>
        <w:rPr>
          <w:lang w:val="fr-FR"/>
        </w:rPr>
        <w:t>Toute valeur portée au crédit d'un Membre est portée au débit d'un autre, de sorte que la somme algébrique de tous les soldes demeure constamment nulle (∑ sᵢ = 0). Cette identité traduit, à l'échelle du graphe entier, une loi de conservation des flux : en chaque nœud comme sur l'ensemble, ce qui entre égale ce qui sort. Elle correspond à la première loi de Kirchhoff appliquée à un réseau de flux et fonde la partie double du registre. Rien ne s'y accumule : la valeur y circule sans jamais se concentrer, ce qui fait de ce registre un commun non accumulable.</w:t>
      </w:r>
    </w:p>
    <w:p w14:paraId="6EC0EDF2" w14:textId="77777777" w:rsidR="00E95B2B" w:rsidRDefault="00000000">
      <w:pPr>
        <w:pStyle w:val="Titre2"/>
        <w:rPr>
          <w:lang w:val="fr-FR"/>
        </w:rPr>
      </w:pPr>
      <w:r>
        <w:rPr>
          <w:lang w:val="fr-FR"/>
        </w:rPr>
        <w:t>Article 13 — Cycles, compensation et richesse compensatoire</w:t>
      </w:r>
    </w:p>
    <w:p w14:paraId="7A754D01" w14:textId="77777777" w:rsidR="00E95B2B" w:rsidRDefault="00000000">
      <w:pPr>
        <w:pStyle w:val="FirstParagraph"/>
        <w:rPr>
          <w:lang w:val="fr-FR"/>
        </w:rPr>
      </w:pPr>
      <w:r>
        <w:rPr>
          <w:lang w:val="fr-FR"/>
        </w:rPr>
        <w:t>Un cycle est une suite d'arcs qui, partant d'un nœud, y revient en suivant le sens des engagements. La fermeture d'un cycle annule les obligations réciproques qui le composent : autour de la boucle, chaque dette trouve sa créance, les soldes des Membres concernés reviennent vers zéro, et les unités internes correspondantes s'éteignent. La compensation n'est donc pas la circulation d'un jeton d'un nœud à l'autre, mais l'annulation simultanée d'un ensemble d'obligations refermées en boucle — ce qui distingue le dispositif, par nature, des systèmes à jeton.</w:t>
      </w:r>
    </w:p>
    <w:p w14:paraId="01181561" w14:textId="77777777" w:rsidR="00E95B2B" w:rsidRDefault="00000000">
      <w:pPr>
        <w:pStyle w:val="Corpsdetexte"/>
        <w:rPr>
          <w:lang w:val="fr-FR"/>
        </w:rPr>
      </w:pPr>
      <w:r>
        <w:rPr>
          <w:lang w:val="fr-FR"/>
        </w:rPr>
        <w:t>La richesse compensatoire d'un tel graphe se mesure par son nombre cyclomatique, μ = m − n + c, où m est le nombre d'arcs, n le nombre de nœuds et c le nombre de composantes connexes. Ce nombre compte les cycles indépendants du réseau, dont toute compensation possible est une combinaison. Il croît avec l'excès d'arcs sur les nœuds : chaque relation d'échange nouvelle, entre des Membres non encore reliés, ajoute une possibilité de compensation. La capacité du dispositif à financer par compensation est ainsi fonction de la densité et de la diversité des relations, non du montant du capital.</w:t>
      </w:r>
    </w:p>
    <w:p w14:paraId="13F8E104" w14:textId="77777777" w:rsidR="00E95B2B" w:rsidRDefault="00000000">
      <w:pPr>
        <w:pStyle w:val="Corpsdetexte"/>
        <w:rPr>
          <w:lang w:val="fr-FR"/>
        </w:rPr>
      </w:pPr>
      <w:r>
        <w:rPr>
          <w:lang w:val="fr-FR"/>
        </w:rPr>
        <w:t>Ces compensations n'emportent pas extinction de créances monétaires opposables au sens de l'article L. 211-36 du Code monétaire et financier ; elles constituent une réallocation de droits d'usage au sein d'un commun informationnel.</w:t>
      </w:r>
    </w:p>
    <w:p w14:paraId="4DDD0176" w14:textId="77777777" w:rsidR="00E95B2B" w:rsidRDefault="00000000">
      <w:pPr>
        <w:pStyle w:val="Titre2"/>
        <w:rPr>
          <w:lang w:val="fr-FR"/>
        </w:rPr>
      </w:pPr>
      <w:r>
        <w:rPr>
          <w:lang w:val="fr-FR"/>
        </w:rPr>
        <w:t>Article 14 — Inscription, scellement et réalisation</w:t>
      </w:r>
    </w:p>
    <w:p w14:paraId="328DFB40" w14:textId="3D202DDA" w:rsidR="00E95B2B" w:rsidRDefault="00000000">
      <w:pPr>
        <w:pStyle w:val="FirstParagraph"/>
        <w:rPr>
          <w:lang w:val="fr-FR"/>
        </w:rPr>
      </w:pPr>
      <w:r>
        <w:rPr>
          <w:lang w:val="fr-FR"/>
        </w:rPr>
        <w:t>Le graphe est programmatique : les arcs y sont d'abord inscrits, à titre d'engagements réciproques, avant d'être réalisés, c'est-à-dire exécutés. L'inscription vaut engagement contractuel opposable, dans les conditions fixées au Titre relatif à la force et à l'opposabilité de l'inscription ; la réalisation en est l'exécution effective. Un Membre ne peut inscrire un arc dont il bénéficie qu'en inscrivant simultanément le ou les arcs de contrepartie qui maintiennent son solde dans sa fourchette autorisée (Art. 18), même si ces contreparties se réalisent ultérieurement. L'équilibre requis porte donc sur le graphe des engagements potentiels inscrits, en amont de leur exécution effective.</w:t>
      </w:r>
    </w:p>
    <w:p w14:paraId="0BEC8D49" w14:textId="4CAE840E" w:rsidR="00E95B2B" w:rsidRDefault="00000000">
      <w:pPr>
        <w:pStyle w:val="Corpsdetexte"/>
        <w:rPr>
          <w:lang w:val="fr-FR"/>
        </w:rPr>
      </w:pPr>
      <w:r>
        <w:rPr>
          <w:lang w:val="fr-FR"/>
        </w:rPr>
        <w:t>Le scellement fixe collectivement et définitivement les inscriptions transactionnelles du graphe et les enregistre dans la mémoire du registre : à cet instant, les engagements deviennent des obligations contractuelles et les positions débitrices non régularisées sont réputées définitives. L'état du graphe scellé fait foi pour la constatation du non-respect des engagements contractuels pris par les différents Membres (Art. 26).</w:t>
      </w:r>
    </w:p>
    <w:p w14:paraId="0CF4E47E" w14:textId="77777777" w:rsidR="00E95B2B" w:rsidRDefault="00000000">
      <w:pPr>
        <w:pStyle w:val="Titre2"/>
        <w:rPr>
          <w:lang w:val="fr-FR"/>
        </w:rPr>
      </w:pPr>
      <w:r>
        <w:rPr>
          <w:lang w:val="fr-FR"/>
        </w:rPr>
        <w:t>Article 15 — Conséquences juridiques de la structure</w:t>
      </w:r>
    </w:p>
    <w:p w14:paraId="29EE6761" w14:textId="77777777" w:rsidR="00E95B2B" w:rsidRDefault="00000000">
      <w:pPr>
        <w:pStyle w:val="FirstParagraph"/>
        <w:rPr>
          <w:lang w:val="fr-FR"/>
        </w:rPr>
      </w:pPr>
      <w:r>
        <w:rPr>
          <w:lang w:val="fr-FR"/>
        </w:rPr>
        <w:t>Il résulte de la structure définie aux articles précédents que les unités internes mesurent exclusivement des obligations réciproques compensables entre Membres identifiés, au sein d'un cercle fermé : elles naissent de l'inscription d'un engagement, évoluent avec les échanges et s'éteignent à la fermeture des cycles de compensation. Elles ne sont ni appropriables, ni transférables indépendamment de la relation qu'elles mesurent, et ne procurent aucun rendement par leur seule détention. La valeur économique réside dans les opérations réelles réalisées entre les Membres, non dans les unités elles-mêmes.</w:t>
      </w:r>
    </w:p>
    <w:p w14:paraId="3A00B128" w14:textId="77777777" w:rsidR="00E95B2B" w:rsidRDefault="00000000">
      <w:pPr>
        <w:pStyle w:val="Corpsdetexte"/>
        <w:rPr>
          <w:lang w:val="fr-FR"/>
        </w:rPr>
      </w:pPr>
      <w:r>
        <w:rPr>
          <w:lang w:val="fr-FR"/>
        </w:rPr>
        <w:t>Il s'en déduit, à titre de conséquence et non de postulat, que le graphe ne constitue ni une monnaie, ni un compte de dépôt, ni un actif autonome, et que les unités internes ne sont ni des sommes d'argent, ni des dépôts, ni des créances exigibles sur un émetteur. Le dispositif ne crée aucun actif monétaire autonome : il n'organise que l'inscription, la coordination et la compensation conventionnelle (art. 1348-2 du Code civil) d'obligations réciproques librement consenties entre les Membres.</w:t>
      </w:r>
    </w:p>
    <w:p w14:paraId="479918DB" w14:textId="77777777" w:rsidR="00E95B2B" w:rsidRDefault="00000000">
      <w:pPr>
        <w:pStyle w:val="Corpsdetexte"/>
        <w:rPr>
          <w:lang w:val="fr-FR"/>
        </w:rPr>
      </w:pPr>
      <w:r>
        <w:rPr>
          <w:lang w:val="fr-FR"/>
        </w:rPr>
        <w:t>Les qualifications réglementaires négatives qui découlent de ces caractéristiques — absence de service de paiement, de monnaie électronique, d'instrument financier et de crypto-actif — sont énoncées, article par article et avec leurs fondements dans le Code monétaire et financier, au Titre X. Toute qualification juridique applicable au dispositif s'interprète à la lumière des caractéristiques essentielles établies au présent Titre.</w:t>
      </w:r>
    </w:p>
    <w:p w14:paraId="575B74C8" w14:textId="77777777" w:rsidR="00E95B2B" w:rsidRDefault="00000000">
      <w:pPr>
        <w:pStyle w:val="Titre2"/>
        <w:rPr>
          <w:lang w:val="fr-FR"/>
        </w:rPr>
      </w:pPr>
      <w:r>
        <w:rPr>
          <w:lang w:val="fr-FR"/>
        </w:rPr>
        <w:t>Article 16 — Les avantages économiques du dispositif</w:t>
      </w:r>
    </w:p>
    <w:p w14:paraId="6A9BF3B8" w14:textId="77777777" w:rsidR="00E95B2B" w:rsidRDefault="00000000">
      <w:pPr>
        <w:pStyle w:val="FirstParagraph"/>
        <w:rPr>
          <w:lang w:val="fr-FR"/>
        </w:rPr>
      </w:pPr>
      <w:r>
        <w:rPr>
          <w:b/>
          <w:bCs/>
          <w:lang w:val="fr-FR"/>
        </w:rPr>
        <w:t xml:space="preserve">Puissance de financement. </w:t>
      </w:r>
      <w:r>
        <w:rPr>
          <w:lang w:val="fr-FR"/>
        </w:rPr>
        <w:t xml:space="preserve"> Ce principe procure aux Membres une capacité de financement sans détention préalable de monnaie : un Membre peut recevoir la valeur produite par d’autres avant d’avoir lui-même fourni, la contrepartie étant assurée par ses engagements inscrits (Art. 14) ou par son préfinancement (Art. 21). Chaque Membre n’apporte en fonds propres que la part de ses opérations qui échappe au cercle ; la part qui boucle entre Membres est financée par leur production réciproque, à valeur constante et sans création de dette. Un apport propre modeste mobilise ainsi une valeur réelle très supérieure — non par multiplication de la monnaie, mais par la coordination de la production des Membres.</w:t>
      </w:r>
    </w:p>
    <w:p w14:paraId="7BE1DC97" w14:textId="77777777" w:rsidR="00E95B2B" w:rsidRDefault="00000000">
      <w:pPr>
        <w:pStyle w:val="Corpsdetexte"/>
        <w:rPr>
          <w:lang w:val="fr-FR"/>
        </w:rPr>
      </w:pPr>
      <w:r>
        <w:rPr>
          <w:b/>
          <w:bCs/>
          <w:lang w:val="fr-FR"/>
        </w:rPr>
        <w:t xml:space="preserve">Réconciliation de la sécurité et de la performance. </w:t>
      </w:r>
      <w:r>
        <w:rPr>
          <w:lang w:val="fr-FR"/>
        </w:rPr>
        <w:t xml:space="preserve"> La contrainte de sécurité portant sur l’écart de chaque solde, et non sur le volume des échanges, elle borne l’exposition sans borner le flux : le dispositif peut porter un volume d’échange considérable, et donc une forte vélocité de la valeur, tout en maintenant chaque solde dans des limites sûres. La sécurité encadre les positions ; la performance se déploie dans les flux ; elles ne s’opposent pas.</w:t>
      </w:r>
    </w:p>
    <w:p w14:paraId="22D88BA3" w14:textId="77777777" w:rsidR="00E95B2B" w:rsidRDefault="00000000">
      <w:pPr>
        <w:pStyle w:val="Corpsdetexte"/>
        <w:rPr>
          <w:lang w:val="fr-FR"/>
        </w:rPr>
      </w:pPr>
      <w:r>
        <w:rPr>
          <w:b/>
          <w:bCs/>
          <w:lang w:val="fr-FR"/>
        </w:rPr>
        <w:t xml:space="preserve">Réconciliation de l’utilité et de l’équité. </w:t>
      </w:r>
      <w:r>
        <w:rPr>
          <w:lang w:val="fr-FR"/>
        </w:rPr>
        <w:t xml:space="preserve"> Un même mécanisme de bornage symétrique produit simultanément l’utilité et l’équité : en décourageant la thésaurisation par le plafond créditeur, il entretient la circulation de la valeur, source d’utilité ; en interdisant la concentration par la symétrie et le plafond débiteur, il préserve l’équité. Ce qui, dans les systèmes fondés sur l’accumulation, constitue un arbitrage entre efficacité et justice se trouve ici réconcilié, à l’intérieur du cercle, par une seule et même règle.</w:t>
      </w:r>
    </w:p>
    <w:p w14:paraId="6871AC93" w14:textId="77777777" w:rsidR="00E95B2B" w:rsidRDefault="00000000">
      <w:pPr>
        <w:pStyle w:val="Corpsdetexte"/>
        <w:rPr>
          <w:lang w:val="fr-FR"/>
        </w:rPr>
      </w:pPr>
      <w:r>
        <w:rPr>
          <w:b/>
          <w:bCs/>
          <w:lang w:val="fr-FR"/>
        </w:rPr>
        <w:t xml:space="preserve">Réconciliation de l’économie par la valeur et de l’économie durable. </w:t>
      </w:r>
      <w:r>
        <w:rPr>
          <w:lang w:val="fr-FR"/>
        </w:rPr>
        <w:t xml:space="preserve"> La vélocité élevée de la valeur — l’économie dynamique — est obtenue sans croissance de la masse échangée ni endettement productif d’intérêts : la valeur circule intensément tandis que le capital demeure constant et préservé — l’économie durable. Le dispositif dissocie ainsi le dynamisme des échanges de l’impératif de croissance monétaire propre aux systèmes à jeton et à dette, conciliant l’intensité de l’activité avec la stabilité des grandeurs.</w:t>
      </w:r>
    </w:p>
    <w:p w14:paraId="6BF684BA" w14:textId="77777777" w:rsidR="00E95B2B" w:rsidRDefault="00000000">
      <w:pPr>
        <w:pStyle w:val="Titre1"/>
        <w:rPr>
          <w:lang w:val="fr-FR"/>
        </w:rPr>
      </w:pPr>
      <w:r>
        <w:rPr>
          <w:lang w:val="fr-FR"/>
        </w:rPr>
        <w:t>Titre IV — Les invariants prudentiels du commun</w:t>
      </w:r>
    </w:p>
    <w:p w14:paraId="6B4EC10A" w14:textId="77777777" w:rsidR="00E95B2B" w:rsidRDefault="00000000">
      <w:pPr>
        <w:pStyle w:val="FirstParagraph"/>
        <w:rPr>
          <w:lang w:val="fr-FR"/>
        </w:rPr>
      </w:pPr>
      <w:r>
        <w:rPr>
          <w:lang w:val="fr-FR"/>
        </w:rPr>
        <w:t>Le présent Titre énonce les invariants structurels dont procède la sécurité du dispositif. Contrairement aux systèmes financiers dont la stabilité repose sur la confiance, sur la solvabilité d'un intermédiaire ou sur l'accumulation de réserves, le présent dispositif fait découler sa stabilité de propriétés mathématiques permanentes du graphe d'échange. La sécurité n'y constitue pas une fonction de gestion ; elle résulte directement de l'architecture du système. Les invariants énoncés ci-après gouvernent toute inscription et toute affectation ; l'Organe de Gouvernance ne peut ni les modifier, ni y déroger. Ils constituent les lois fondamentales du commun institué par le présent contrat.</w:t>
      </w:r>
    </w:p>
    <w:p w14:paraId="47508502" w14:textId="77777777" w:rsidR="00E95B2B" w:rsidRDefault="00000000">
      <w:pPr>
        <w:pStyle w:val="Titre2"/>
        <w:rPr>
          <w:lang w:val="fr-FR"/>
        </w:rPr>
      </w:pPr>
      <w:r>
        <w:rPr>
          <w:lang w:val="fr-FR"/>
        </w:rPr>
        <w:t>Article 17 — Premier invariant : conservation de la valeur (∑ sᵢ = 0)</w:t>
      </w:r>
    </w:p>
    <w:p w14:paraId="770B789D" w14:textId="77777777" w:rsidR="00E95B2B" w:rsidRDefault="00000000">
      <w:pPr>
        <w:pStyle w:val="FirstParagraph"/>
        <w:rPr>
          <w:lang w:val="fr-FR"/>
        </w:rPr>
      </w:pPr>
      <w:r>
        <w:rPr>
          <w:lang w:val="fr-FR"/>
        </w:rPr>
        <w:t>Toute inscription dans le graphe crée simultanément une position créditrice et une position débitrice de même montant. La somme algébrique des soldes demeure ainsi constamment nulle (∑ sᵢ = 0), ainsi qu'il est établi, à titre structurel, à l'article 12. Aucune écriture ne peut créer ni détruire un excédent de valeur : la valeur ne fait que changer de position à l'intérieur du graphe jusqu'à son extinction par compensation mutuelle. La sécurité du dispositif ne repose donc ni sur l'accumulation des réserves, ni sur l’accumulation des déficits, mais sur la conservation de la symétrie structurelle entre créances et dettes.</w:t>
      </w:r>
    </w:p>
    <w:p w14:paraId="0E1F058A" w14:textId="77777777" w:rsidR="00E95B2B" w:rsidRDefault="00000000">
      <w:pPr>
        <w:pStyle w:val="Titre2"/>
        <w:rPr>
          <w:lang w:val="fr-FR"/>
        </w:rPr>
      </w:pPr>
      <w:r>
        <w:rPr>
          <w:lang w:val="fr-FR"/>
        </w:rPr>
        <w:t>Article 18 — Deuxième invariant : limitation de l'exposition (∑ δᵢ ≤ K)</w:t>
      </w:r>
    </w:p>
    <w:p w14:paraId="57244531" w14:textId="77777777" w:rsidR="00E95B2B" w:rsidRDefault="00000000">
      <w:pPr>
        <w:pStyle w:val="FirstParagraph"/>
        <w:rPr>
          <w:lang w:val="fr-FR"/>
        </w:rPr>
      </w:pPr>
      <w:r>
        <w:rPr>
          <w:lang w:val="fr-FR"/>
        </w:rPr>
        <w:t>La contrainte de sécurité porte sur les soldes individuels, non sur le volume des opérations : le volume échangé est libre, seul l'écart de chaque solde autour de zéro est borné. Chaque Membre choisit librement sa fourchette [−δᵢ, +δᵢ], le choix δᵢ = 0 signifiant qu'il n'inscrit que des engagements équilibrés. Le montant des opérations finançables n'a ainsi aucune limite de volume, dès lors qu'il demeure équilibré, car toute la valeur se conserve du seul fait de la symétrie créance / dette.</w:t>
      </w:r>
    </w:p>
    <w:p w14:paraId="257F3C46" w14:textId="77777777" w:rsidR="00E95B2B" w:rsidRDefault="00000000">
      <w:pPr>
        <w:pStyle w:val="Corpsdetexte"/>
        <w:rPr>
          <w:lang w:val="fr-FR"/>
        </w:rPr>
      </w:pPr>
      <w:r>
        <w:rPr>
          <w:lang w:val="fr-FR"/>
        </w:rPr>
        <w:t>La somme des positions débitrices autorisées de l'ensemble des Membres ne peut excéder le Capital d'Ancrage immobilisé : ∑ δᵢ ≤ K. Cette borne constitue la limite prudentielle fondamentale du dispositif. Elle ne limite jamais le volume des échanges ; elle borne uniquement l'exposition simultanée maximale du réseau. Le Capital d'Ancrage, dont la fonction de dimensionnement est définie au Titre I, est ainsi le plafond de l'exposition autorisée — et non un fonds mobilisable ni une sûreté. Sa grandeur met la capacité productive et transactionnelle autorisée du réseau en phase avec la réalité socio-économique dans laquelle il s'inscrit.</w:t>
      </w:r>
    </w:p>
    <w:p w14:paraId="1D380A3F" w14:textId="77777777" w:rsidR="00E95B2B" w:rsidRDefault="00000000">
      <w:pPr>
        <w:pStyle w:val="Titre2"/>
        <w:rPr>
          <w:lang w:val="fr-FR"/>
        </w:rPr>
      </w:pPr>
      <w:r>
        <w:rPr>
          <w:lang w:val="fr-FR"/>
        </w:rPr>
        <w:t>Article 19 — Troisième invariant : absence de concentration</w:t>
      </w:r>
    </w:p>
    <w:p w14:paraId="764BDF4E" w14:textId="77777777" w:rsidR="007F13A5" w:rsidRDefault="00000000">
      <w:pPr>
        <w:pStyle w:val="FirstParagraph"/>
        <w:rPr>
          <w:lang w:val="fr-FR"/>
        </w:rPr>
      </w:pPr>
      <w:r>
        <w:rPr>
          <w:lang w:val="fr-FR"/>
        </w:rPr>
        <w:t xml:space="preserve">La puissance économique d’un Membre ne dépend jamais de l’accumulation d’unités internes, mais de l’équilibre de sa balance des engagements. </w:t>
      </w:r>
    </w:p>
    <w:p w14:paraId="09EDCAF0" w14:textId="4338D4E3" w:rsidR="00E95B2B" w:rsidRDefault="00000000">
      <w:pPr>
        <w:pStyle w:val="FirstParagraph"/>
        <w:rPr>
          <w:lang w:val="fr-FR"/>
        </w:rPr>
      </w:pPr>
      <w:r>
        <w:rPr>
          <w:lang w:val="fr-FR"/>
        </w:rPr>
        <w:t>Cet équilibre peut être mesuré par l’indice :</w:t>
      </w:r>
    </w:p>
    <w:p w14:paraId="028F0792" w14:textId="77777777" w:rsidR="00E95B2B" w:rsidRDefault="00000000">
      <w:pPr>
        <w:pStyle w:val="Corpsdetexte"/>
        <w:jc w:val="center"/>
        <w:rPr>
          <w:lang w:val="fr-FR"/>
        </w:rPr>
      </w:pPr>
      <w:r>
        <w:rPr>
          <w:lang w:val="fr-FR"/>
        </w:rPr>
        <w:t>eᵢ = δᵢ − |sᵢ| ,   0 ≤ eᵢ ≤ δᵢ</w:t>
      </w:r>
    </w:p>
    <w:p w14:paraId="44223039" w14:textId="77777777" w:rsidR="00E95B2B" w:rsidRDefault="00000000">
      <w:pPr>
        <w:pStyle w:val="Corpsdetexte"/>
        <w:rPr>
          <w:lang w:val="fr-FR"/>
        </w:rPr>
      </w:pPr>
      <w:r>
        <w:rPr>
          <w:lang w:val="fr-FR"/>
        </w:rPr>
        <w:t>Cet indice exprime la proximité du Membre avec son point d’équilibre. Il est maximal lorsque son solde est nul (sᵢ = 0), c’est-à-dire lorsque les engagements qu’il a reçus et ceux qu’il a fournis demeurent parfaitement équilibrés. Il décroît symétriquement à mesure que le Membre s’éloigne de cet équilibre, qu’il devienne durablement créditeur ou durablement débiteur, et s’annule lorsque la limite autorisée de sa balance des engagements est atteinte.</w:t>
      </w:r>
    </w:p>
    <w:p w14:paraId="6EA0DFC9" w14:textId="77777777" w:rsidR="00E95B2B" w:rsidRDefault="00000000">
      <w:pPr>
        <w:pStyle w:val="Corpsdetexte"/>
        <w:rPr>
          <w:lang w:val="fr-FR"/>
        </w:rPr>
      </w:pPr>
      <w:r>
        <w:rPr>
          <w:lang w:val="fr-FR"/>
        </w:rPr>
        <w:t>Il en résulte qu'aucune accumulation durable de positions créditrices ne peut accroître le pouvoir économique ou politique d'un Membre. Contrairement aux systèmes monétaires fondés sur l'accumulation d'un stock de richesse, le présent dispositif fait dépendre la capacité d'action de l'équilibre des engagements réciproques. Plus un Membre accumule une position déséquilibrée, moins il dispose de latitude pour participer à de nouveaux échanges. Le pouvoir économique cesse ainsi d'être une fonction croissante du stock détenu pour devenir une fonction décroissante du déséquilibre de la balance des engagements.</w:t>
      </w:r>
    </w:p>
    <w:p w14:paraId="2CB61423" w14:textId="77777777" w:rsidR="00E95B2B" w:rsidRDefault="00000000">
      <w:pPr>
        <w:pStyle w:val="Corpsdetexte"/>
        <w:rPr>
          <w:lang w:val="fr-FR"/>
        </w:rPr>
      </w:pPr>
      <w:r>
        <w:rPr>
          <w:lang w:val="fr-FR"/>
        </w:rPr>
        <w:t>Plus profondément, la richesse cesse d'être l'état d'un nœud pour devenir une propriété du graphe. La capacité de création de valeur ne résulte plus de la détention d'unités internes, mais de l'aptitude du réseau à former des cycles de compensation entre des Membres dont les balances d'engagements demeurent proches de l'équilibre. La puissance économique suit ainsi la connectivité du graphe — notamment son nombre cyclomatique (Art. 13) — et non la masse d'unités détenues. Le dispositif dissocie la création de valeur de l'accumulation de pouvoir et substitue à une économie de stocks une économie de relations.</w:t>
      </w:r>
    </w:p>
    <w:p w14:paraId="602F4EC4" w14:textId="77777777" w:rsidR="00E95B2B" w:rsidRDefault="00000000">
      <w:pPr>
        <w:pStyle w:val="Titre2"/>
        <w:rPr>
          <w:lang w:val="fr-FR"/>
        </w:rPr>
      </w:pPr>
      <w:r>
        <w:rPr>
          <w:lang w:val="fr-FR"/>
        </w:rPr>
        <w:t>Article 20 — Quatrième invariant : localité des perturbations</w:t>
      </w:r>
    </w:p>
    <w:p w14:paraId="11ED9D0F" w14:textId="77777777" w:rsidR="00E95B2B" w:rsidRDefault="00000000">
      <w:pPr>
        <w:pStyle w:val="FirstParagraph"/>
        <w:rPr>
          <w:lang w:val="fr-FR"/>
        </w:rPr>
      </w:pPr>
      <w:r>
        <w:rPr>
          <w:lang w:val="fr-FR"/>
        </w:rPr>
        <w:t>Toute perturbation affectant un Membre demeure confinée au sous-graphe constitué par ce Membre et par les seuls arcs correspondant à ses propres engagements. Formellement, si G = (V, E) désigne le graphe d'échange et v ∈ V le Membre défaillant, la perturbation ne peut affecter que le sous-graphe induit G[N(v)], où N(v) désigne le voisinage de v. Les invariants structurels du graphe demeurent inchangés sur le complémentaire G ∖ G[N(v)]. Les soldes des Membres non concernés ne sont pas modifiés par la seule défaillance, les engagements contractuels déjà nés conservent leur validité, les cycles indépendants qui ne traversent pas le sommet défaillant continuent d'exister et de produire leurs effets compensatoires, et la connectivité générale du réseau demeure inchangée sous réserve des seules relations impliquant directement le Membre défaillant. La perturbation est ainsi locale par construction ; elle ne se propage pas spontanément à l'ensemble du graphe.</w:t>
      </w:r>
    </w:p>
    <w:p w14:paraId="63AEF27B" w14:textId="77777777" w:rsidR="00E95B2B" w:rsidRDefault="00000000">
      <w:pPr>
        <w:pStyle w:val="Corpsdetexte"/>
        <w:rPr>
          <w:lang w:val="fr-FR"/>
        </w:rPr>
      </w:pPr>
      <w:r>
        <w:rPr>
          <w:lang w:val="fr-FR"/>
        </w:rPr>
        <w:t>Cette propriété topologique est un invariant structurel du dispositif. Contrairement aux systèmes fondés sur un intermédiaire central, où la défaillance d'un acteur systémique peut contaminer l'ensemble du réseau, le présent dispositif ne connaît pas de mécanisme interne de propagation. La géométrie du graphe isole naturellement les perturbations dans leur voisinage immédiat. La résilience du dispositif n'est donc pas un principe posé par le contrat, mais la conséquence nécessaire de cette propriété de localité combinée aux autres invariants fondamentaux : conservation de la valeur (∑ sᵢ = 0), limitation de l'exposition (∑ δᵢ ≤ K), collatéralisation intégrale des positions débitrices et absence de concentration du pouvoir économique. Il en résulte le théorème prudentiel suivant : si un graphe vérifie simultanément ces quatre invariants ainsi que la localité des perturbations, alors toute défaillance demeure localisée et ne peut engendrer de propagation systémique. La résilience constitue ainsi une propriété émergente de l'architecture du système, et non un axiome ou une simple règle de gestion.</w:t>
      </w:r>
    </w:p>
    <w:p w14:paraId="49995510" w14:textId="77777777" w:rsidR="00E95B2B" w:rsidRDefault="00000000">
      <w:pPr>
        <w:pStyle w:val="Titre2"/>
        <w:rPr>
          <w:lang w:val="fr-FR"/>
        </w:rPr>
      </w:pPr>
      <w:r>
        <w:rPr>
          <w:lang w:val="fr-FR"/>
        </w:rPr>
        <w:t>Article 21 — Cinquième invariant : collatéralisation intégrale</w:t>
      </w:r>
    </w:p>
    <w:p w14:paraId="1A6134BC" w14:textId="77777777" w:rsidR="00E95B2B" w:rsidRDefault="00000000">
      <w:pPr>
        <w:pStyle w:val="FirstParagraph"/>
        <w:rPr>
          <w:lang w:val="fr-FR"/>
        </w:rPr>
      </w:pPr>
      <w:r>
        <w:rPr>
          <w:lang w:val="fr-FR"/>
        </w:rPr>
        <w:t>Tout Membre qui veut s'autoriser une position débitrice (δᵢ &gt; 0) la préfinance : il dépose, en argent réel, une garantie couvrant intégralement le montant de cette position. Cette garantie est constituée en sûreté affectée (Art. 22) et conservée sous séquestre ou sur compte bloqué propre au préfinancement (Annexe 2 ; Art. 22), distinct de l'immobilisation du Capital d'Ancrage (Art. 3) ; elle est restituée au Membre à sa sortie soldée (Titre V). Le préfinancement transforme le crédit en collatéral : là où un solde débiteur constitue, dans les systèmes de crédit mutuel classiques, un crédit non garanti reposant sur la seule confiance — et supporte donc le risque de contrepartie —, il est ici entièrement couvert.</w:t>
      </w:r>
    </w:p>
    <w:p w14:paraId="1E30D5AF" w14:textId="77777777" w:rsidR="00E95B2B" w:rsidRDefault="00000000">
      <w:pPr>
        <w:pStyle w:val="Corpsdetexte"/>
        <w:rPr>
          <w:lang w:val="fr-FR"/>
        </w:rPr>
      </w:pPr>
      <w:r>
        <w:rPr>
          <w:lang w:val="fr-FR"/>
        </w:rPr>
        <w:t>À chaque unité de découvert autorisé correspond, euro pour euro, une unité déposée sur un compte séquestre. Cette couverture totale est une spécificité architecturale du graphe, qui n’utilise pas la monnaie comme instrument d’échange, mais uniquement comme instrument de collatéralisation des positions débitrices autorisées. Les fonds ainsi immobilisés ne participent, en fonctionnement normal, à aucune circulation monétaire entre les Membres : ils constituent exclusivement une sûreté individuelle destinée à garantir l'exécution des engagements du Membre qui les a constitués et, en cas de défaillance, à couvrir les conséquences de cette inexécution selon les modalités prévues par le contrat (Art. 22).</w:t>
      </w:r>
    </w:p>
    <w:p w14:paraId="528255B1" w14:textId="77777777" w:rsidR="00E95B2B" w:rsidRDefault="00000000">
      <w:pPr>
        <w:pStyle w:val="Corpsdetexte"/>
        <w:rPr>
          <w:lang w:val="fr-FR"/>
        </w:rPr>
      </w:pPr>
      <w:r>
        <w:rPr>
          <w:lang w:val="fr-FR"/>
        </w:rPr>
        <w:t>Chaque position débitrice étant ainsi collatéralisée, le dispositif est intégralement provisionné. La position ouverte d'un Membre défaillant est couverte par sa propre garantie, sans qu'aucun autre Membre n'en supporte la charge (Art. 22 ; Titre V). Le Capital d'Ancrage n'est pas mobilisé pour couvrir les défaillances : il demeure immobilisé (Art. 3), simple plafond de l'exposition autorisée (Art. 18), ses fruits restant attachés à la nue-propriété (Art. 2). Il n'existe donc aucun risque de contrepartie — non qu'il serait assumé par la collectivité, mais parce qu'il n'existe pas de crédit à découvert non couvert : il n'y a que des positions déjà gagées. C'est le degré maximal de sécurité qu'un système d'échange puisse atteindre. Le dispositif réalise ainsi un crédit mutuel pleinement collatéralisé — chaque unité de découvert autorisé étant gagée, euro pour euro, par une unité déposée —, ce qu'aucun système à jeton, aucun système de crédit mutuel ou bancaire ne garantit.</w:t>
      </w:r>
    </w:p>
    <w:p w14:paraId="6D1E4D33" w14:textId="77777777" w:rsidR="00E95B2B" w:rsidRDefault="00000000">
      <w:pPr>
        <w:pStyle w:val="Titre2"/>
        <w:rPr>
          <w:lang w:val="fr-FR"/>
        </w:rPr>
      </w:pPr>
      <w:r>
        <w:rPr>
          <w:lang w:val="fr-FR"/>
        </w:rPr>
        <w:t>Article 22 — Constitution et réalisation du préfinancement en cas de défaillance</w:t>
      </w:r>
    </w:p>
    <w:p w14:paraId="3E849EEE" w14:textId="77777777" w:rsidR="00E95B2B" w:rsidRDefault="00000000">
      <w:pPr>
        <w:pStyle w:val="FirstParagraph"/>
        <w:rPr>
          <w:lang w:val="fr-FR"/>
        </w:rPr>
      </w:pPr>
      <w:r>
        <w:rPr>
          <w:b/>
          <w:bCs/>
          <w:lang w:val="fr-FR"/>
        </w:rPr>
        <w:t>Nature et constitution</w:t>
      </w:r>
      <w:r>
        <w:rPr>
          <w:lang w:val="fr-FR"/>
        </w:rPr>
        <w:t>. Le préfinancement constitué par un Membre au titre de l'article 21 est une garantie en espèces affectée à la seule couverture de sa position débitrice, constituée en nantissement de compte / gage-espèces au sens des articles 2355 et suivants du Code civil. Il est individualisé par Membre, indisponible, et déposé entre les mains d'un tiers dépositaire habilité — notaire assorti d'une consignation à la Caisse des dépôts et consignations, séquestre conventionnel (art. 1956 du Code civil), ou tout autre tiers légalement habilité à conserver des fonds affectés — sur un sous-compte distinct (Annexe 2). Ce séquestre est propre au préfinancement ; il ne se confond pas avec l'immobilisation du Capital d'Ancrage (Titre I), dont il demeure juridiquement et comptablement séparé.</w:t>
      </w:r>
    </w:p>
    <w:p w14:paraId="00D1DE9E" w14:textId="77777777" w:rsidR="00E95B2B" w:rsidRDefault="00000000">
      <w:pPr>
        <w:pStyle w:val="Corpsdetexte"/>
        <w:rPr>
          <w:lang w:val="fr-FR"/>
        </w:rPr>
      </w:pPr>
      <w:r>
        <w:rPr>
          <w:b/>
          <w:bCs/>
          <w:lang w:val="fr-FR"/>
        </w:rPr>
        <w:t>Fonction en situation normale</w:t>
      </w:r>
      <w:r>
        <w:rPr>
          <w:lang w:val="fr-FR"/>
        </w:rPr>
        <w:t>. Le préfinancement conditionne la latitude de découvert du Membre (Art. 18) : il plafonne l'ampleur de la position débitrice qu'il peut porter, sans être consommé ni versé. Tant que le Membre régularise ses positions, il lui est intégralement restitué à sa sortie soldée (Titre V).</w:t>
      </w:r>
    </w:p>
    <w:p w14:paraId="0E55F1D3" w14:textId="77777777" w:rsidR="00E95B2B" w:rsidRDefault="00000000">
      <w:pPr>
        <w:pStyle w:val="Corpsdetexte"/>
        <w:rPr>
          <w:lang w:val="fr-FR"/>
        </w:rPr>
      </w:pPr>
      <w:r>
        <w:rPr>
          <w:b/>
          <w:bCs/>
          <w:lang w:val="fr-FR"/>
        </w:rPr>
        <w:t>Fait générateur de la réalisation.</w:t>
      </w:r>
      <w:r>
        <w:rPr>
          <w:lang w:val="fr-FR"/>
        </w:rPr>
        <w:t xml:space="preserve"> La défaillance définitive est constatée lorsqu'un Membre, à la clôture d'un cycle ou à sa sortie, laisse une position débitrice scellée qu'il ne régularise pas. Cette constatation résulte de l'état du graphe scellé (Art. 14).</w:t>
      </w:r>
    </w:p>
    <w:p w14:paraId="122AD564" w14:textId="77777777" w:rsidR="00E95B2B" w:rsidRDefault="00000000">
      <w:pPr>
        <w:pStyle w:val="Corpsdetexte"/>
        <w:rPr>
          <w:lang w:val="fr-FR"/>
        </w:rPr>
      </w:pPr>
      <w:r>
        <w:rPr>
          <w:b/>
          <w:bCs/>
          <w:lang w:val="fr-FR"/>
        </w:rPr>
        <w:t>Réalisation et affectation du produit</w:t>
      </w:r>
      <w:r>
        <w:rPr>
          <w:lang w:val="fr-FR"/>
        </w:rPr>
        <w:t>. À la survenance de la défaillance, le tiers dépositaire réalise le préfinancement du Membre défaillant, à concurrence du montant de sa position débitrice, et en répartit le produit entre les Membres dont la position créditrice demeure inhonorée du fait de cette défaillance, au prorata de ces positions telles qu'établies par le registre à l'instant du scellement. Cette répartition constitue la réalisation d'une garantie en espèces affectée ; elle est opérée par le tiers dépositaire au titre de la sûreté, et non par l'entité qui exploite le dispositif.</w:t>
      </w:r>
    </w:p>
    <w:p w14:paraId="104922FA" w14:textId="77777777" w:rsidR="00E95B2B" w:rsidRDefault="00000000">
      <w:pPr>
        <w:pStyle w:val="Corpsdetexte"/>
        <w:rPr>
          <w:lang w:val="fr-FR"/>
        </w:rPr>
      </w:pPr>
      <w:r>
        <w:rPr>
          <w:b/>
          <w:bCs/>
          <w:lang w:val="fr-FR"/>
        </w:rPr>
        <w:t>Exclusions expresses.</w:t>
      </w:r>
      <w:r>
        <w:rPr>
          <w:lang w:val="fr-FR"/>
        </w:rPr>
        <w:t xml:space="preserve"> Il est expressément stipulé que : (i) aucun flux d'euros n'est opéré directement d'un Membre vers un autre, l'entité qui exploite le dispositif ne recevant, ne détenant ni ne transférant aucune somme en euros pour le compte des Membres (Titre X) ; (ii) le produit de la réalisation n'accroît en aucun cas le Capital d'Ancrage ni le patrimoine du Propriétaire, étant exclusivement affecté à l'apurement de la position débitrice du Membre défaillant ; (iii) le préfinancement n'est pas restitué au Membre défaillant à hauteur des sommes nécessaires à cet apurement, seul l'excédent éventuel lui étant restitué.</w:t>
      </w:r>
    </w:p>
    <w:p w14:paraId="60CF9125" w14:textId="77777777" w:rsidR="00E95B2B" w:rsidRDefault="00000000">
      <w:pPr>
        <w:pStyle w:val="Corpsdetexte"/>
        <w:rPr>
          <w:lang w:val="fr-FR"/>
        </w:rPr>
      </w:pPr>
      <w:r>
        <w:rPr>
          <w:b/>
          <w:bCs/>
          <w:lang w:val="fr-FR"/>
        </w:rPr>
        <w:t>Insuffisance.</w:t>
      </w:r>
      <w:r>
        <w:rPr>
          <w:lang w:val="fr-FR"/>
        </w:rPr>
        <w:t xml:space="preserve"> Si le préfinancement ne suffit pas à apurer la position débitrice, le solde demeure une créance de droit commun des Membres lésés à l'égard du Membre défaillant, régie par le Titre V et, le cas échéant, par les règles applicables aux procédures collectives. Le dispositif n'institue aucune garantie complémentaire à ce titre.</w:t>
      </w:r>
    </w:p>
    <w:p w14:paraId="1600231B" w14:textId="77777777" w:rsidR="00E95B2B" w:rsidRDefault="00000000">
      <w:pPr>
        <w:pStyle w:val="Titre2"/>
        <w:rPr>
          <w:lang w:val="fr-FR"/>
        </w:rPr>
      </w:pPr>
      <w:r>
        <w:rPr>
          <w:lang w:val="fr-FR"/>
        </w:rPr>
        <w:t>Article 23 — Conséquences économiques et prudentielles</w:t>
      </w:r>
    </w:p>
    <w:p w14:paraId="1E4F78C2" w14:textId="77777777" w:rsidR="00E95B2B" w:rsidRDefault="00000000">
      <w:pPr>
        <w:pStyle w:val="FirstParagraph"/>
        <w:rPr>
          <w:lang w:val="fr-FR"/>
        </w:rPr>
      </w:pPr>
      <w:r>
        <w:rPr>
          <w:lang w:val="fr-FR"/>
        </w:rPr>
        <w:t>Les invariants précédents produisent simultanément plusieurs propriétés émergentes : une capacité de financement sans détention préalable de monnaie, la contrepartie étant assurée par les engagements inscrits (Art. 14) ou le préfinancement (Art. 21) ; une puissance transactionnelle indépendante du volume de monnaie circulante ; la suppression du risque de concentration monétaire interne ; une séparation complète entre le financement des échanges et la détention de monnaie ; une stabilité reposant sur des contraintes structurelles plutôt que sur des décisions discrétionnaires ; et une capacité permanente de compensation des engagements réciproques.</w:t>
      </w:r>
    </w:p>
    <w:p w14:paraId="69D87BEC" w14:textId="77777777" w:rsidR="00E95B2B" w:rsidRDefault="00000000">
      <w:pPr>
        <w:pStyle w:val="Corpsdetexte"/>
        <w:rPr>
          <w:lang w:val="fr-FR"/>
        </w:rPr>
      </w:pPr>
      <w:r>
        <w:rPr>
          <w:lang w:val="fr-FR"/>
        </w:rPr>
        <w:t>En particulier, le dispositif possède deux degrés de liberté indépendants : la sécurité est fonction des soldes (∑ sᵢ = 0, ∑ δᵢ ≤ K), la performance fonction des flux. Là où, dans un système bancaire classique, sécurité et performance s'opposent le long d'une même variable, elles sont ici découplées : le dispositif peut porter un volume d'échange et une vélocité de la valeur considérables tout en maintenant chaque solde dans des limites sûres. La sécurité encadre les positions ; la performance se déploie dans les flux.</w:t>
      </w:r>
    </w:p>
    <w:p w14:paraId="3116F795" w14:textId="77777777" w:rsidR="00E95B2B" w:rsidRDefault="00000000">
      <w:pPr>
        <w:pStyle w:val="Corpsdetexte"/>
        <w:rPr>
          <w:lang w:val="fr-FR"/>
        </w:rPr>
      </w:pPr>
      <w:r>
        <w:rPr>
          <w:lang w:val="fr-FR"/>
        </w:rPr>
        <w:t>Ces propriétés ne résultent pas d'une politique économique décidée par un organe de gouvernance : elles découlent directement des invariants mathématiques du dispositif, que l'Organe de Gouvernance ne peut ni modifier ni suspendre. L'exposé démonstratif de ces propriétés — leur formulation comme propositions établies à partir des hypothèses ∑ sᵢ = 0, ∑ δᵢ ≤ K, collatéralisation intégrale et compensation cyclique — relève du mémoire doctrinal d'accompagnement, et non du présent contrat.</w:t>
      </w:r>
    </w:p>
    <w:p w14:paraId="5924E9B7" w14:textId="77777777" w:rsidR="00FB6EF5" w:rsidRPr="00C46716" w:rsidRDefault="00000000">
      <w:pPr>
        <w:pStyle w:val="Titre1"/>
        <w:rPr>
          <w:lang w:val="fr-FR"/>
        </w:rPr>
      </w:pPr>
      <w:bookmarkStart w:id="8" w:name="Xe7684f09d945796bbea70615a146156c19d8ee8"/>
      <w:r>
        <w:rPr>
          <w:lang w:val="fr-FR"/>
        </w:rPr>
        <w:t>Titre V — Entrée, sortie, gestion et défaillance</w:t>
      </w:r>
    </w:p>
    <w:p w14:paraId="78270278" w14:textId="77777777" w:rsidR="00FB6EF5" w:rsidRPr="00C46716" w:rsidRDefault="00000000">
      <w:pPr>
        <w:pStyle w:val="Titre2"/>
        <w:rPr>
          <w:lang w:val="fr-FR"/>
        </w:rPr>
      </w:pPr>
      <w:bookmarkStart w:id="9" w:name="X116462cdc8d1e624c64f0c7c098abe8a5995207"/>
      <w:r>
        <w:rPr>
          <w:lang w:val="fr-FR"/>
        </w:rPr>
        <w:t>Article 24 — Les modalités d’entrée dans le système</w:t>
      </w:r>
    </w:p>
    <w:p w14:paraId="0B96B281" w14:textId="77777777" w:rsidR="00FB6EF5" w:rsidRPr="00C46716" w:rsidRDefault="00000000">
      <w:pPr>
        <w:pStyle w:val="FirstParagraph"/>
        <w:rPr>
          <w:lang w:val="fr-FR"/>
        </w:rPr>
      </w:pPr>
      <w:r>
        <w:rPr>
          <w:lang w:val="fr-FR"/>
        </w:rPr>
        <w:t>Chaque Membre choisit librement entre deux modes, également constitutifs d’une participation pleine : (a) s’autoriser des positions débitrices, qu’il préfinance (Art. 21), accédant ainsi au décalage temporel de la compensation multilatérale ; ou (b) n’inscrire que des engagements équilibrés (</w:t>
      </w:r>
      <w:r>
        <w:t>δᵢ</w:t>
      </w:r>
      <w:r>
        <w:rPr>
          <w:lang w:val="fr-FR"/>
        </w:rPr>
        <w:t xml:space="preserve"> = 0), sans aucun préfinancement. Le second mode ne requiert aucun apport et n’exclut nullement le Membre.</w:t>
      </w:r>
    </w:p>
    <w:p w14:paraId="2F4AAA8C" w14:textId="77777777" w:rsidR="00FB6EF5" w:rsidRPr="00C46716" w:rsidRDefault="00000000">
      <w:pPr>
        <w:pStyle w:val="Corpsdetexte"/>
        <w:rPr>
          <w:lang w:val="fr-FR"/>
        </w:rPr>
      </w:pPr>
      <w:r>
        <w:rPr>
          <w:lang w:val="fr-FR"/>
        </w:rPr>
        <w:t>Le mode équilibré donne accès à la pleine puissance du dispositif. Grâce au caractère programmatique du graphe (Art. 14), un Membre sans préfinancement participe pleinement à la compensation multilatérale : il inscrit ses engagements de contrepartie en même temps qu’il reçoit, de sorte que ses soldes demeurent équilibrés. Il n’est donc nullement relégué à l’échange bilatéral ; il accède aux cycles qui brisent la double coïncidence des besoins, exactement comme le Membre qui préfinance.</w:t>
      </w:r>
    </w:p>
    <w:p w14:paraId="5E7D92BA" w14:textId="77777777" w:rsidR="00FB6EF5" w:rsidRPr="00C46716" w:rsidRDefault="00000000">
      <w:pPr>
        <w:pStyle w:val="Corpsdetexte"/>
        <w:rPr>
          <w:lang w:val="fr-FR"/>
        </w:rPr>
      </w:pPr>
      <w:r>
        <w:rPr>
          <w:lang w:val="fr-FR"/>
        </w:rPr>
        <w:t>Le préfinancement ne confère ni un accès supérieur au réseau ni une puissance de financement accrue : il confère seulement une liberté temporelle — la faculté de recevoir avant d’avoir inscrit la totalité de sa contrepartie, en portant une position débitrice ouverte. Cette souplesse de calendrier est un confort, non une condition d’accès. Elle est propre au mode de gestion transactionnelle de chacun.</w:t>
      </w:r>
    </w:p>
    <w:p w14:paraId="1272C98E" w14:textId="77777777" w:rsidR="00FB6EF5" w:rsidRPr="00C46716" w:rsidRDefault="00000000">
      <w:pPr>
        <w:pStyle w:val="Corpsdetexte"/>
        <w:rPr>
          <w:lang w:val="fr-FR"/>
        </w:rPr>
      </w:pPr>
      <w:r>
        <w:rPr>
          <w:b/>
          <w:bCs/>
          <w:lang w:val="fr-FR"/>
        </w:rPr>
        <w:t>Le dispositif est ainsi inclusif par construction.</w:t>
      </w:r>
      <w:r>
        <w:rPr>
          <w:lang w:val="fr-FR"/>
        </w:rPr>
        <w:t xml:space="preserve"> Dans les systèmes bancaires et à jeton, l’accès au crédit suppose une richesse ou une garantie préalable, en sorte que celui qui n’a rien en est exclu. Ici, l’accès à la puissance de financement — la faculté de mobiliser la production d’autrui par la compensation — ne suppose aucune richesse préalable, mais seulement l’engagement à fournir en retour. La richesse, sous la forme du préfinancement, n’achète que de la souplesse de calendrier, jamais l’accès ni le pouvoir. Le dispositif dissocie donc l’accès au financement de la détention préalable de capital, ce qui en fait un instrument ouvert à ceux que la finance ordinaire exclut.</w:t>
      </w:r>
    </w:p>
    <w:p w14:paraId="58AB1A36" w14:textId="77777777" w:rsidR="00FB6EF5" w:rsidRPr="00C46716" w:rsidRDefault="00000000">
      <w:pPr>
        <w:pStyle w:val="Corpsdetexte"/>
        <w:rPr>
          <w:lang w:val="fr-FR"/>
        </w:rPr>
      </w:pPr>
      <w:r>
        <w:rPr>
          <w:lang w:val="fr-FR"/>
        </w:rPr>
        <w:t>Cette inclusion prolonge la symétrie du Titre IV : de même qu’aucune position créditrice accumulée ne confère de pouvoir, aucune absence de capital n’exclut de la participation. L’égalité d’accès et l’égalité de pouvoir sont l’une et l’autre garanties par la structure même du graphe.</w:t>
      </w:r>
    </w:p>
    <w:p w14:paraId="37196A5A" w14:textId="77777777" w:rsidR="00FB6EF5" w:rsidRPr="00C46716" w:rsidRDefault="00000000">
      <w:pPr>
        <w:pStyle w:val="Titre2"/>
        <w:rPr>
          <w:lang w:val="fr-FR"/>
        </w:rPr>
      </w:pPr>
      <w:bookmarkStart w:id="10" w:name="Xe0e53d0b815385122d7e421284415b24f5e4e4a"/>
      <w:bookmarkEnd w:id="9"/>
      <w:r>
        <w:rPr>
          <w:lang w:val="fr-FR"/>
        </w:rPr>
        <w:t>Article 25 — La liberté de sortie du système</w:t>
      </w:r>
    </w:p>
    <w:p w14:paraId="6511C547" w14:textId="77777777" w:rsidR="00FB6EF5" w:rsidRPr="00C46716" w:rsidRDefault="00000000">
      <w:pPr>
        <w:pStyle w:val="FirstParagraph"/>
        <w:rPr>
          <w:lang w:val="fr-FR"/>
        </w:rPr>
      </w:pPr>
      <w:r>
        <w:rPr>
          <w:lang w:val="fr-FR"/>
        </w:rPr>
        <w:t>Le Membre qui se retire solde, en argent personnel, toute position résiduelle qu’il laisserait — débitrice comme créditrice. Sa garantie de préfinancement lui est restituée après solde complet. La sortie ne peut créer aucune insolvabilité pour les autres Membres.</w:t>
      </w:r>
    </w:p>
    <w:p w14:paraId="75CA12AD" w14:textId="77777777" w:rsidR="00FB6EF5" w:rsidRPr="00C46716" w:rsidRDefault="00000000">
      <w:pPr>
        <w:pStyle w:val="Corpsdetexte"/>
        <w:rPr>
          <w:lang w:val="fr-FR"/>
        </w:rPr>
      </w:pPr>
      <w:r>
        <w:rPr>
          <w:lang w:val="fr-FR"/>
        </w:rPr>
        <w:t xml:space="preserve">Cette faculté de sortie à tout instant distingue radicalement le dispositif de l'endettement classique. La dette bancaire enferme l'emprunteur dans un engagement de longue durée — souvent des dizaines d'années — dont il ne peut se délier qu'en remboursant un principal augmenté d'intérêts composés, c'est-à-dire une somme qui excède, parfois considérablement, ce qu'il a reçu. Le temps y joue </w:t>
      </w:r>
      <w:r>
        <w:rPr>
          <w:i/>
          <w:iCs/>
          <w:lang w:val="fr-FR"/>
        </w:rPr>
        <w:t>contre</w:t>
      </w:r>
      <w:r>
        <w:rPr>
          <w:lang w:val="fr-FR"/>
        </w:rPr>
        <w:t xml:space="preserve"> le débiteur : plus il tarde, plus il doit. L'engagement se transmet, se refinance, se prolonge, et lie fréquemment le débiteur au-delà de sa capacité de prévision, voire au-delà de sa vie. La dette n'est pas seulement une somme à rendre : c'est une durée subie. Certains y voient même un moyen subtil de coercition collective.</w:t>
      </w:r>
    </w:p>
    <w:p w14:paraId="643B678A" w14:textId="77777777" w:rsidR="00FB6EF5" w:rsidRPr="00C46716" w:rsidRDefault="00000000">
      <w:pPr>
        <w:pStyle w:val="Corpsdetexte"/>
        <w:rPr>
          <w:lang w:val="fr-FR"/>
        </w:rPr>
      </w:pPr>
      <w:r>
        <w:rPr>
          <w:lang w:val="fr-FR"/>
        </w:rPr>
        <w:t>Le présent dispositif renverse ce rapport au temps. La position d'un Membre n'est jamais un principal qui enfle, mais un solde qui tend vers zéro et qu'il peut ramener à zéro quand il le veut. Il ne doit jamais plus que ce qu'il a effectivement reçu : aucun intérêt ne s'ajoute, aucune durée ne pèse, aucun report ne compose. Le temps ne travaille ni pour ni contre lui — il est neutre. Sortir ne suppose donc pas de « se libérer » d'une charge accumulée, mais simplement de solder une position bornée, dont le montant maximal était connu d'avance (</w:t>
      </w:r>
      <w:r>
        <w:t>δ</w:t>
      </w:r>
      <w:r>
        <w:rPr>
          <w:lang w:val="fr-FR"/>
        </w:rPr>
        <w:t>) et, le cas échéant, déjà couvert par son préfinancement.</w:t>
      </w:r>
    </w:p>
    <w:p w14:paraId="55FFFA2A" w14:textId="77777777" w:rsidR="00FB6EF5" w:rsidRPr="00C46716" w:rsidRDefault="00000000">
      <w:pPr>
        <w:pStyle w:val="Corpsdetexte"/>
        <w:rPr>
          <w:lang w:val="fr-FR"/>
        </w:rPr>
      </w:pPr>
      <w:r>
        <w:rPr>
          <w:lang w:val="fr-FR"/>
        </w:rPr>
        <w:t xml:space="preserve">Il en résulte une liberté que la dette ne connaît pas : </w:t>
      </w:r>
      <w:r>
        <w:rPr>
          <w:b/>
          <w:bCs/>
          <w:lang w:val="fr-FR"/>
        </w:rPr>
        <w:t>le Membre n'est jamais captif du système.</w:t>
      </w:r>
      <w:r>
        <w:rPr>
          <w:lang w:val="fr-FR"/>
        </w:rPr>
        <w:t xml:space="preserve"> Sa participation repose sur une réciprocité présente et volontaire, non sur une obligation héritée du passé qui commanderait son avenir. Il entre parce qu'il y trouve un intérêt mutuel ; il reste tant que cet intérêt dure ; il part sans pénalité dès qu'il le souhaite, en rendant exactement ce qu'il doit et en recevant exactement ce qui lui est dû. Là où la dette subordonne le futur au passé et retient les personnes par la contrainte, le dispositif fonde l'engagement sur le consentement continu et garantit, à chaque instant, un droit de retrait.</w:t>
      </w:r>
    </w:p>
    <w:p w14:paraId="582CFFB6" w14:textId="77777777" w:rsidR="00FB6EF5" w:rsidRPr="00C46716" w:rsidRDefault="00000000">
      <w:pPr>
        <w:pStyle w:val="DefinitionTerm"/>
        <w:rPr>
          <w:lang w:val="fr-FR"/>
        </w:rPr>
      </w:pPr>
      <w:r>
        <w:rPr>
          <w:lang w:val="fr-FR"/>
        </w:rPr>
        <w:t>Cette liberté de dénouement est le corollaire de la symétrie du Titre IV</w:t>
      </w:r>
    </w:p>
    <w:p w14:paraId="515ADCE1" w14:textId="77777777" w:rsidR="00FB6EF5" w:rsidRPr="00C46716" w:rsidRDefault="00000000">
      <w:pPr>
        <w:pStyle w:val="Definition"/>
        <w:rPr>
          <w:lang w:val="fr-FR"/>
        </w:rPr>
      </w:pPr>
      <w:r>
        <w:rPr>
          <w:lang w:val="fr-FR"/>
        </w:rPr>
        <w:t>parce que rien ne s'accumule et que toute position a pour horizon le retour à zéro, nul ne peut être retenu par une position qui grossirait avec le temps. La sortie n'est pas une faveur consentie au Membre, mais une propriété structurelle du graphe — l'exacte inverse de l'enfermement par la dette.</w:t>
      </w:r>
    </w:p>
    <w:p w14:paraId="25D895EE" w14:textId="6DAA8EE5" w:rsidR="00FB6EF5" w:rsidRPr="00C46716" w:rsidRDefault="00000000">
      <w:pPr>
        <w:pStyle w:val="Titre2"/>
        <w:rPr>
          <w:lang w:val="fr-FR"/>
        </w:rPr>
      </w:pPr>
      <w:bookmarkStart w:id="11" w:name="article-16-défaillance-et-droit-commun"/>
      <w:bookmarkEnd w:id="10"/>
      <w:r>
        <w:rPr>
          <w:lang w:val="fr-FR"/>
        </w:rPr>
        <w:t>Article 26 — Rupture des engagements contractuels et responsabilité</w:t>
      </w:r>
    </w:p>
    <w:p w14:paraId="00FC9E69" w14:textId="77777777" w:rsidR="00634AB4" w:rsidRDefault="00634AB4">
      <w:pPr>
        <w:pStyle w:val="FirstParagraph"/>
        <w:rPr>
          <w:lang w:val="fr-FR"/>
        </w:rPr>
      </w:pPr>
      <w:r>
        <w:rPr>
          <w:lang w:val="fr-FR"/>
        </w:rPr>
        <w:t xml:space="preserve">Tous les engagements contractuels inscrits dans le graphe d’échange sont modifiables tant que le contenu du graphe n’est pas scellé. A partir du moment où le graphe est scellé, cela fixe les engagements qui deviennent dès lors des obligations contractuelles. </w:t>
      </w:r>
    </w:p>
    <w:p w14:paraId="7655D88A" w14:textId="77777777" w:rsidR="00634AB4" w:rsidRDefault="00634AB4">
      <w:pPr>
        <w:pStyle w:val="FirstParagraph"/>
        <w:rPr>
          <w:lang w:val="fr-FR"/>
        </w:rPr>
      </w:pPr>
      <w:r>
        <w:rPr>
          <w:lang w:val="fr-FR"/>
        </w:rPr>
        <w:t xml:space="preserve">En cas de non réalisation par l’une des parties de son obligation contractuelle, l’autre partie a l’obligation de respecter son obligation contractuelle envers la partie défaillante, dès lors que son engagement a été inscrit et fixé dans le graphe de réalisation. En effet, dans la mesure où le graphe autorise les réciprocités ternaires unilatérales et bilatérales et ne se réalise jamais sous la forme d’une transaction marchande de type monnaie contre bien, il en découle que celui qui ne reçoit pas le bien ou le service qui lui est dû ne s’appauvrit pas. Il ne fait qu’entretenir une balance créancière un peu plus longtemps qu’il devra rééquilibrer de façon différée en procédant à une nouvelle acquisition avec une autre partie du réseau. </w:t>
      </w:r>
    </w:p>
    <w:p w14:paraId="56612164" w14:textId="77777777" w:rsidR="00634AB4" w:rsidRDefault="00634AB4">
      <w:pPr>
        <w:pStyle w:val="FirstParagraph"/>
        <w:rPr>
          <w:lang w:val="fr-FR"/>
        </w:rPr>
      </w:pPr>
      <w:r>
        <w:rPr>
          <w:lang w:val="fr-FR"/>
        </w:rPr>
        <w:t>Il résulte de ces considérations que bien que le graphe constitue un système de compensation multilatérale entre les parties, il ne fait que générer des obligations autonomes entre ses membres, et cela constitue le pilier de sa sécurité face au risque de contamination des défaillances à l’ensemble du réseau. On peut valablement poser comme principe que la défaillance d'un Membre est sans incidence sur la naissance, la validité et l'opposabilité des obligations contractuelles autonomes résultant du graphe scellé. Les conséquences patrimoniales de cette défaillance demeurent régies par les règles de droit commun applicables, notamment celles relatives aux procédures collectives.</w:t>
      </w:r>
    </w:p>
    <w:p w14:paraId="674AD710" w14:textId="77777777" w:rsidR="005D4A32" w:rsidRDefault="005D4A32" w:rsidP="005D4A32">
      <w:pPr>
        <w:pStyle w:val="Corpsdetexte"/>
        <w:rPr>
          <w:lang w:val="fr-FR"/>
        </w:rPr>
      </w:pPr>
      <w:r>
        <w:rPr>
          <w:lang w:val="fr-FR"/>
        </w:rPr>
        <w:t xml:space="preserve">Le réseau possède de par ses règles de fonctionnement des qualités fortes de résilience. </w:t>
      </w:r>
    </w:p>
    <w:p w14:paraId="3D296392" w14:textId="77777777" w:rsidR="005D4A32" w:rsidRDefault="005D4A32" w:rsidP="005D4A32">
      <w:pPr>
        <w:pStyle w:val="Corpsdetexte"/>
        <w:rPr>
          <w:lang w:val="fr-FR"/>
        </w:rPr>
      </w:pPr>
      <w:r>
        <w:rPr>
          <w:b/>
          <w:bCs/>
          <w:lang w:val="fr-FR"/>
        </w:rPr>
        <w:t xml:space="preserve">La défaillance est sans effet sur le reste du graphe. </w:t>
      </w:r>
      <w:r>
        <w:rPr>
          <w:lang w:val="fr-FR"/>
        </w:rPr>
        <w:t>La défaillance d'un Membre n'affecte ni la validité, ni l'exigibilité, ni l'exécution des obligations contractuelles assumées par les autres Membres. Les opérations demeurent exécutoires entre les Parties non défaillantes selon les conditions initialement arrêtées lors du scellement du graphe.</w:t>
      </w:r>
    </w:p>
    <w:p w14:paraId="77DD9AF2" w14:textId="77777777" w:rsidR="007F6E8E" w:rsidRPr="005D4A32" w:rsidRDefault="007F6E8E" w:rsidP="005D4A32">
      <w:pPr>
        <w:pStyle w:val="Corpsdetexte"/>
        <w:rPr>
          <w:lang w:val="fr-FR"/>
        </w:rPr>
      </w:pPr>
      <w:r>
        <w:rPr>
          <w:b/>
          <w:bCs/>
          <w:lang w:val="fr-FR"/>
        </w:rPr>
        <w:t xml:space="preserve">La propagation des pertes est limitée. </w:t>
      </w:r>
      <w:r>
        <w:rPr>
          <w:lang w:val="fr-FR"/>
        </w:rPr>
        <w:t>La défaillance d'un Membre ne peut avoir pour effet de transférer sa charge économique sur les autres Membres. Les conséquences financières de cette inexécution demeurent exclusivement supportées par son auteur, sous réserve des règles impératives applicables aux procédures collectives.</w:t>
      </w:r>
    </w:p>
    <w:p w14:paraId="0B8E3DFD" w14:textId="77777777" w:rsidR="007F6E8E" w:rsidRDefault="007F6E8E" w:rsidP="007F6E8E">
      <w:pPr>
        <w:pStyle w:val="Corpsdetexte"/>
        <w:rPr>
          <w:lang w:val="fr-FR"/>
        </w:rPr>
      </w:pPr>
      <w:r>
        <w:rPr>
          <w:b/>
          <w:bCs/>
          <w:lang w:val="fr-FR"/>
        </w:rPr>
        <w:t xml:space="preserve">Les créances sont conservées. </w:t>
      </w:r>
      <w:r>
        <w:rPr>
          <w:lang w:val="fr-FR"/>
        </w:rPr>
        <w:t>Les créances résultant d'obligations non exécutées demeurent inscrites au registre des positions jusqu'à leur extinction par exécution, compensation conventionnelle, transaction, décision de justice ou tout autre mode légal d'extinction des obligations.</w:t>
      </w:r>
    </w:p>
    <w:p w14:paraId="6AECC0FD" w14:textId="77777777" w:rsidR="00737A36" w:rsidRPr="007F6E8E" w:rsidRDefault="00737A36" w:rsidP="007F6E8E">
      <w:pPr>
        <w:pStyle w:val="Corpsdetexte"/>
        <w:rPr>
          <w:lang w:val="fr-FR"/>
        </w:rPr>
      </w:pPr>
      <w:r>
        <w:rPr>
          <w:b/>
          <w:bCs/>
          <w:lang w:val="fr-FR"/>
        </w:rPr>
        <w:t xml:space="preserve">Le manquement de la partie défaillante creuse son solde débiteur. </w:t>
      </w:r>
      <w:r>
        <w:rPr>
          <w:lang w:val="fr-FR"/>
        </w:rPr>
        <w:t>Il existe à ce titre deux mécanismes de protection dans le réseau, car le solde débiteur est couvert par le préfinancement et l’inexécution peut faire l’objet de poursuites en responsabilité contractuelle.</w:t>
      </w:r>
      <w:r>
        <w:rPr>
          <w:b/>
          <w:bCs/>
          <w:lang w:val="fr-FR"/>
        </w:rPr>
        <w:t xml:space="preserve"> </w:t>
      </w:r>
      <w:r>
        <w:rPr>
          <w:lang w:val="fr-FR"/>
        </w:rPr>
        <w:t xml:space="preserve">Le réseau ne récompense jamais une position défaillante. </w:t>
      </w:r>
    </w:p>
    <w:p w14:paraId="17B49EF3" w14:textId="77777777" w:rsidR="005D4A32" w:rsidRPr="007F6E8E" w:rsidRDefault="007F6E8E" w:rsidP="005D4A32">
      <w:pPr>
        <w:pStyle w:val="Corpsdetexte"/>
        <w:rPr>
          <w:lang w:val="fr-FR"/>
        </w:rPr>
      </w:pPr>
      <w:r>
        <w:rPr>
          <w:b/>
          <w:bCs/>
          <w:lang w:val="fr-FR"/>
        </w:rPr>
        <w:t>Le réseau a la capacité de se reconfigurer.</w:t>
      </w:r>
      <w:r>
        <w:rPr>
          <w:lang w:val="fr-FR"/>
        </w:rPr>
        <w:t xml:space="preserve"> La défaillance d'un Membre n'interdit pas la poursuite du fonctionnement du réseau. Les autres Membres peuvent procéder à la constitution de nouveaux graphes d'échange permettant de rééquilibrer progressivement les positions créancières affectées, sans préjudice des recours exercés contre le Membre défaillant. Une défaillance individuelle s’analyse en définitive comme un simple déséquilibre temporaire du réseau.</w:t>
      </w:r>
    </w:p>
    <w:p w14:paraId="07429FA1" w14:textId="77777777" w:rsidR="00FB6EF5" w:rsidRPr="00C46716" w:rsidRDefault="007F6E8E" w:rsidP="007F6E8E">
      <w:pPr>
        <w:pStyle w:val="FirstParagraph"/>
        <w:rPr>
          <w:lang w:val="fr-FR"/>
        </w:rPr>
      </w:pPr>
      <w:r>
        <w:rPr>
          <w:b/>
          <w:bCs/>
          <w:lang w:val="fr-FR"/>
        </w:rPr>
        <w:t xml:space="preserve">La non réalisation d’une obligation contractuelle met potentiellement en jeu la responsabilité contractuelle de la partie défaillante. </w:t>
      </w:r>
      <w:r>
        <w:rPr>
          <w:lang w:val="fr-FR"/>
        </w:rPr>
        <w:t>Même si chaque partie doit respecter ses obligations en cas de défaillance de l’autre partie, la partie défaillante peut faire l’objet de poursuites. Le dispositif n’institue aucune protection dérogatoire : l’inscription valant engagement opposable (Art. 55), les Parties disposent des voies de recours de droit commun. Les Membres peuvent, pour une opération donnée ou pour un participant à haut risque, convenir de sûretés renforcées optionnelles (préfinancement accru, réalisation atomique du cycle), sans que celles-ci soient exigées par défaut.</w:t>
      </w:r>
    </w:p>
    <w:p w14:paraId="21F2A4AE" w14:textId="77777777" w:rsidR="00FB6EF5" w:rsidRPr="00C46716" w:rsidRDefault="00000000">
      <w:pPr>
        <w:pStyle w:val="Titre1"/>
        <w:rPr>
          <w:lang w:val="fr-FR"/>
        </w:rPr>
      </w:pPr>
      <w:bookmarkStart w:id="12" w:name="Xfab3b3f5bfc4b986d4308c0c3b3efa4d5dda9a7"/>
      <w:bookmarkEnd w:id="8"/>
      <w:bookmarkEnd w:id="11"/>
      <w:r>
        <w:rPr>
          <w:lang w:val="fr-FR"/>
        </w:rPr>
        <w:t>Titre VI — Pureté du noyau et frontière externe</w:t>
      </w:r>
    </w:p>
    <w:p w14:paraId="74A45BBC" w14:textId="77777777" w:rsidR="00FB6EF5" w:rsidRPr="00C46716" w:rsidRDefault="00000000">
      <w:pPr>
        <w:pStyle w:val="FirstParagraph"/>
        <w:rPr>
          <w:lang w:val="fr-FR"/>
        </w:rPr>
      </w:pPr>
      <w:r>
        <w:rPr>
          <w:lang w:val="fr-FR"/>
        </w:rPr>
        <w:t>Le dispositif comporte deux domaines de nature distincte, dont la stricte séparation conditionne à la fois sa cohérence et sa conformité. Le noyau désigne l’ensemble des échanges qui bouclent entre Membres et se règlent par compensation, sans qu’aucune monnaie ne soit nécessaire ni ne circule. La frontière désigne le point où une opération doit être réglée en euros à l’égard d’un tiers non-membre — un intrant importé, une taxe, une prestation qu’aucun Membre ne fournit.</w:t>
      </w:r>
    </w:p>
    <w:p w14:paraId="606021CC" w14:textId="77777777" w:rsidR="00FB6EF5" w:rsidRPr="00C46716" w:rsidRDefault="00000000">
      <w:pPr>
        <w:pStyle w:val="Corpsdetexte"/>
        <w:rPr>
          <w:lang w:val="fr-FR"/>
        </w:rPr>
      </w:pPr>
      <w:r>
        <w:rPr>
          <w:lang w:val="fr-FR"/>
        </w:rPr>
        <w:t>Le Capital d’Ancrage ne finance ni l’un ni l’autre de ces domaines. À l’intérieur du noyau, il dimensionne et plafonne l’exposition sans être décaissé (Titre IV) ; à la frontière, il n’intervient pas, ses fruits comme sa substance demeurant attachés à la nue-propriété (Art. 2). Le présent titre garantit la pureté du noyau et précise comment la frontière est financée sans jamais mobiliser le capital.</w:t>
      </w:r>
    </w:p>
    <w:p w14:paraId="62FD7B87" w14:textId="77777777" w:rsidR="00FB6EF5" w:rsidRPr="00C46716" w:rsidRDefault="00000000">
      <w:pPr>
        <w:pStyle w:val="Titre2"/>
        <w:rPr>
          <w:lang w:val="fr-FR"/>
        </w:rPr>
      </w:pPr>
      <w:bookmarkStart w:id="13" w:name="article-17-la-pureté-du-noyau"/>
      <w:r>
        <w:rPr>
          <w:lang w:val="fr-FR"/>
        </w:rPr>
        <w:t>Article 27 — La pureté du noyau</w:t>
      </w:r>
    </w:p>
    <w:p w14:paraId="3178E3E1" w14:textId="77777777" w:rsidR="00FB6EF5" w:rsidRPr="00C46716" w:rsidRDefault="00000000">
      <w:pPr>
        <w:pStyle w:val="FirstParagraph"/>
        <w:rPr>
          <w:lang w:val="fr-FR"/>
        </w:rPr>
      </w:pPr>
      <w:r>
        <w:rPr>
          <w:lang w:val="fr-FR"/>
        </w:rPr>
        <w:t>Le noyau est pur en ce qu'il ne manipule aucune monnaie et ne touche ni la substance ni les fruits du capital. Il n'organise que des relations d'usage non rivales, mesurées en unités internes, entre Membres identifiés.</w:t>
      </w:r>
    </w:p>
    <w:p w14:paraId="05CAEF8E" w14:textId="77777777" w:rsidR="00FB6EF5" w:rsidRPr="00C46716" w:rsidRDefault="00000000">
      <w:pPr>
        <w:pStyle w:val="Corpsdetexte"/>
        <w:rPr>
          <w:lang w:val="fr-FR"/>
        </w:rPr>
      </w:pPr>
      <w:r>
        <w:rPr>
          <w:lang w:val="fr-FR"/>
        </w:rPr>
        <w:t>Le dispositif ne tient qu'un registre d'unités internes. Il n'encaisse, ne détient ni ne reverse aucune somme en euros pour le compte de tiers. Toute part d'une opération devant être réglée en euros envers un tiers non-membre est réglée directement par le Membre concerné, sur ses fonds propres, hors du dispositif, qui n'en est ni le dépositaire ni l'intermédiaire. Ne recevant ni ne transférant de fonds pour le compte de tiers, le dispositif ne fournit aucun service de paiement au sens des articles L. 314-1 et L. 521-1 du Code monétaire et financier et relève des instruments à réseau limité (art. L. 521-3).</w:t>
      </w:r>
    </w:p>
    <w:p w14:paraId="5554D2A2" w14:textId="77777777" w:rsidR="00FB6EF5" w:rsidRPr="00C46716" w:rsidRDefault="00000000">
      <w:pPr>
        <w:pStyle w:val="Corpsdetexte"/>
        <w:rPr>
          <w:lang w:val="fr-FR"/>
        </w:rPr>
      </w:pPr>
      <w:r>
        <w:rPr>
          <w:lang w:val="fr-FR"/>
        </w:rPr>
        <w:t xml:space="preserve">Le droit conféré aux Membres est un </w:t>
      </w:r>
      <w:r>
        <w:rPr>
          <w:i/>
          <w:iCs/>
          <w:lang w:val="fr-FR"/>
        </w:rPr>
        <w:t>usus</w:t>
      </w:r>
      <w:r>
        <w:rPr>
          <w:lang w:val="fr-FR"/>
        </w:rPr>
        <w:t xml:space="preserve"> dépourvu d'</w:t>
      </w:r>
      <w:r>
        <w:rPr>
          <w:i/>
          <w:iCs/>
          <w:lang w:val="fr-FR"/>
        </w:rPr>
        <w:t>abusus</w:t>
      </w:r>
      <w:r>
        <w:rPr>
          <w:lang w:val="fr-FR"/>
        </w:rPr>
        <w:t>. L'</w:t>
      </w:r>
      <w:r>
        <w:rPr>
          <w:i/>
          <w:iCs/>
          <w:lang w:val="fr-FR"/>
        </w:rPr>
        <w:t>abusus</w:t>
      </w:r>
      <w:r>
        <w:rPr>
          <w:lang w:val="fr-FR"/>
        </w:rPr>
        <w:t xml:space="preserve"> est, dans la propriété classique, le droit de disposer de la chose dans toute son étendue : l'aliéner, mais aussi la consommer, l'accaparer ou la détruire. C'est précisément cette faculté que le noyau retranche. Les Membres usent et jouissent des relations d'échange — ils les nouent, les font circuler, en perçoivent l'utilité — sans jamais pouvoir se les approprier, les thésauriser ni les anéantir. La substance du capital — son </w:t>
      </w:r>
      <w:r>
        <w:rPr>
          <w:i/>
          <w:iCs/>
          <w:lang w:val="fr-FR"/>
        </w:rPr>
        <w:t>abusus</w:t>
      </w:r>
      <w:r>
        <w:rPr>
          <w:lang w:val="fr-FR"/>
        </w:rPr>
        <w:t xml:space="preserve"> — et ses fruits demeurent au Propriétaire (Art. 2) ; le noyau n'en dispose jamais.</w:t>
      </w:r>
    </w:p>
    <w:p w14:paraId="32216599" w14:textId="77777777" w:rsidR="00FB6EF5" w:rsidRPr="00C46716" w:rsidRDefault="00000000">
      <w:pPr>
        <w:pStyle w:val="Corpsdetexte"/>
        <w:rPr>
          <w:lang w:val="fr-FR"/>
        </w:rPr>
      </w:pPr>
      <w:r>
        <w:rPr>
          <w:lang w:val="fr-FR"/>
        </w:rPr>
        <w:t>Ce retranchement change la nature économique du droit car celui-ci ne porte plus sur une chose mais sur une relation. Il confère au système d’échange cyclique son caractère durable et permanent, sans qu'aucune croissance ne soit requise pour le maintenir.</w:t>
      </w:r>
    </w:p>
    <w:p w14:paraId="464362C4" w14:textId="77777777" w:rsidR="00FB6EF5" w:rsidRPr="00C46716" w:rsidRDefault="00000000">
      <w:pPr>
        <w:pStyle w:val="Corpsdetexte"/>
        <w:rPr>
          <w:lang w:val="fr-FR"/>
        </w:rPr>
      </w:pPr>
      <w:r>
        <w:rPr>
          <w:lang w:val="fr-FR"/>
        </w:rPr>
        <w:t>Les échanges du noyau sont à solde nul : chaque Membre équilibre ce qu'il reçoit par ce qu'il fournit, de sorte que la somme des soldes demeure constamment nulle et que rien n'y est gratuit. Cette exigence d'équilibre, loin d'être une contrainte accessoire, est le principe même de justice du dispositif : elle protège celui qui fournit et interdit qu'une valeur soit prélevée sans contrepartie.</w:t>
      </w:r>
    </w:p>
    <w:p w14:paraId="2230DE49" w14:textId="77777777" w:rsidR="00FB6EF5" w:rsidRPr="00C46716" w:rsidRDefault="00000000">
      <w:pPr>
        <w:pStyle w:val="Corpsdetexte"/>
        <w:rPr>
          <w:lang w:val="fr-FR"/>
        </w:rPr>
      </w:pPr>
      <w:r>
        <w:rPr>
          <w:lang w:val="fr-FR"/>
        </w:rPr>
        <w:t>La valeur ne s'y réalise que dans la circulation, jamais dans la thésaurisation : le droit conféré est un droit de faire circuler la valeur, non de la détenir. Cette orientation vers la circulation est une propriété du noyau, qui vaut pour tout échange entre Membres.</w:t>
      </w:r>
    </w:p>
    <w:p w14:paraId="47CC4B45" w14:textId="77777777" w:rsidR="00FB6EF5" w:rsidRPr="00C46716" w:rsidRDefault="00000000">
      <w:pPr>
        <w:pStyle w:val="Corpsdetexte"/>
        <w:rPr>
          <w:lang w:val="fr-FR"/>
        </w:rPr>
      </w:pPr>
      <w:r>
        <w:rPr>
          <w:lang w:val="fr-FR"/>
        </w:rPr>
        <w:t>Les Objectifs de Développement Durable ne constituent pas une condition de licéité des opérations, mais un critère d’évaluation et de hiérarchisation des préférences : ils fournissent la mesure de ce qui est souhaitable et fondent la priorité qu'une opération reçoit dans le soutien collectif et la priorisation par vote (Titre VII, Principe II). Une opération qui ne relève pas des ODD n'est pas prohibée ; elle demeure admissible dès lors qu'elle satisfait les conditions de sécurité (Titre IV, Principe I), mais elle ne bénéficie pas de la priorité ni du soutien réservés aux opérations à fort bénéfice ODD.</w:t>
      </w:r>
    </w:p>
    <w:p w14:paraId="03706B1D" w14:textId="77777777" w:rsidR="00FB6EF5" w:rsidRPr="00C46716" w:rsidRDefault="00000000">
      <w:pPr>
        <w:pStyle w:val="Titre2"/>
        <w:rPr>
          <w:lang w:val="fr-FR"/>
        </w:rPr>
      </w:pPr>
      <w:bookmarkStart w:id="14" w:name="Xc6856328ef9ff2ce3fffb5ea3588608646ae8ae"/>
      <w:bookmarkEnd w:id="13"/>
      <w:r>
        <w:rPr>
          <w:lang w:val="fr-FR"/>
        </w:rPr>
        <w:t>Article 28 — Une fonction non rivale et non exclusive</w:t>
      </w:r>
    </w:p>
    <w:p w14:paraId="0AC9F13C" w14:textId="77777777" w:rsidR="00FB6EF5" w:rsidRPr="00C46716" w:rsidRDefault="00000000">
      <w:pPr>
        <w:pStyle w:val="FirstParagraph"/>
        <w:rPr>
          <w:lang w:val="fr-FR"/>
        </w:rPr>
      </w:pPr>
      <w:r>
        <w:rPr>
          <w:lang w:val="fr-FR"/>
        </w:rPr>
        <w:t xml:space="preserve">La fonction monétaire exercée dans le noyau est </w:t>
      </w:r>
      <w:r>
        <w:rPr>
          <w:b/>
          <w:bCs/>
          <w:lang w:val="fr-FR"/>
        </w:rPr>
        <w:t>non rivale</w:t>
      </w:r>
      <w:r>
        <w:rPr>
          <w:lang w:val="fr-FR"/>
        </w:rPr>
        <w:t xml:space="preserve"> : plusieurs Membres l'exercent simultanément sans que l'usage de l'un ne prive l'autre, parce qu'ils ne consomment aucun support monétaire mais utilisent seulement la relation d'équivalence que l'unité mesure.</w:t>
      </w:r>
    </w:p>
    <w:p w14:paraId="00383908" w14:textId="77777777" w:rsidR="00FB6EF5" w:rsidRPr="00C46716" w:rsidRDefault="00000000">
      <w:pPr>
        <w:pStyle w:val="Corpsdetexte"/>
        <w:rPr>
          <w:lang w:val="fr-FR"/>
        </w:rPr>
      </w:pPr>
      <w:r>
        <w:rPr>
          <w:lang w:val="fr-FR"/>
        </w:rPr>
        <w:t xml:space="preserve">Elle est aussi </w:t>
      </w:r>
      <w:r>
        <w:rPr>
          <w:b/>
          <w:bCs/>
          <w:lang w:val="fr-FR"/>
        </w:rPr>
        <w:t>non exclusive</w:t>
      </w:r>
      <w:r>
        <w:rPr>
          <w:lang w:val="fr-FR"/>
        </w:rPr>
        <w:t xml:space="preserve"> : nul ne peut être empêché d'en faire usage, ni s'en réserver la jouissance au détriment des autres. Ces deux propriétés sont distinctes — la non-rivalité tient à la </w:t>
      </w:r>
      <w:r>
        <w:rPr>
          <w:i/>
          <w:iCs/>
          <w:lang w:val="fr-FR"/>
        </w:rPr>
        <w:t>nature</w:t>
      </w:r>
      <w:r>
        <w:rPr>
          <w:lang w:val="fr-FR"/>
        </w:rPr>
        <w:t xml:space="preserve"> de la chose (son usage ne l'épuise pas), la non-exclusivité tient au </w:t>
      </w:r>
      <w:r>
        <w:rPr>
          <w:i/>
          <w:iCs/>
          <w:lang w:val="fr-FR"/>
        </w:rPr>
        <w:t>rapport de droit</w:t>
      </w:r>
      <w:r>
        <w:rPr>
          <w:lang w:val="fr-FR"/>
        </w:rPr>
        <w:t xml:space="preserve"> qui l'organise (nul n'en est écarté) — mais dans le noyau elles se conditionnent l'une l'autre.</w:t>
      </w:r>
    </w:p>
    <w:p w14:paraId="07F09E28" w14:textId="77777777" w:rsidR="00FB6EF5" w:rsidRPr="00C46716" w:rsidRDefault="00000000">
      <w:pPr>
        <w:pStyle w:val="Corpsdetexte"/>
        <w:rPr>
          <w:lang w:val="fr-FR"/>
        </w:rPr>
      </w:pPr>
      <w:r>
        <w:rPr>
          <w:lang w:val="fr-FR"/>
        </w:rPr>
        <w:t xml:space="preserve">La non-exclusivité procède d'abord de la non-rivalité. Dans une économie fondée sur un support rare — un jeton, une pièce, une créance accumulable — l'exclusion est une nécessité mécanique : ce que je détiens, un autre ne le détient pas ; le stock que j'immobilise est soustrait à tous. La rareté du support </w:t>
      </w:r>
      <w:r>
        <w:rPr>
          <w:i/>
          <w:iCs/>
          <w:lang w:val="fr-FR"/>
        </w:rPr>
        <w:t>impose</w:t>
      </w:r>
      <w:r>
        <w:rPr>
          <w:lang w:val="fr-FR"/>
        </w:rPr>
        <w:t xml:space="preserve"> l'exclusion, et c'est de là que naissent la concentration et le pouvoir de celui qui accumule. Dans le noyau, le support monétaire n'existe pas : l'unité n'est pas une chose que l'on possède mais la mesure d'une relation entre deux Membres. Or une relation ne se détient pas et ne se retire pas à autrui ; elle ne peut être ni thésaurisée ni confisquée. Ce qui n'a pas de support rare n'a pas de raison d'être exclu — la non-rivalité retire à l'exclusion son fondement même.</w:t>
      </w:r>
    </w:p>
    <w:p w14:paraId="34F02B7E" w14:textId="77777777" w:rsidR="00FB6EF5" w:rsidRPr="00C46716" w:rsidRDefault="00000000">
      <w:pPr>
        <w:pStyle w:val="Corpsdetexte"/>
        <w:rPr>
          <w:lang w:val="fr-FR"/>
        </w:rPr>
      </w:pPr>
      <w:r>
        <w:rPr>
          <w:lang w:val="fr-FR"/>
        </w:rPr>
        <w:t xml:space="preserve">Mais la non-exclusivité procède aussi de la structure juridique du droit conféré. Le droit d'usage est ouvert </w:t>
      </w:r>
      <w:r>
        <w:rPr>
          <w:i/>
          <w:iCs/>
          <w:lang w:val="fr-FR"/>
        </w:rPr>
        <w:t>erga omnes</w:t>
      </w:r>
      <w:r>
        <w:rPr>
          <w:lang w:val="fr-FR"/>
        </w:rPr>
        <w:t xml:space="preserve">, à tout Membre remplissant les critères objectifs d'admission (Art. 11) : il n'est pas attribué par parts qu'il faudrait se disputer, mais reconnu à chacun dans son intégralité, sans que la reconnaissance au profit de l'un diminue celle des autres. C'est précisément ce que la non-rivalité rend cohérent : là où l'usufruit classique est exclusif — un usufruitier prive le nu-propriétaire et les autres usagers — le droit d'usage non rival peut être multiplié à tous sans dépossession ni concurrence, parce qu'aucun usager n'entame ce dont un autre a besoin. C'est un démembrement </w:t>
      </w:r>
      <w:r>
        <w:rPr>
          <w:i/>
          <w:iCs/>
          <w:lang w:val="fr-FR"/>
        </w:rPr>
        <w:t>sui generis</w:t>
      </w:r>
      <w:r>
        <w:rPr>
          <w:lang w:val="fr-FR"/>
        </w:rPr>
        <w:t xml:space="preserve"> que seule la non-rivalité autorise.</w:t>
      </w:r>
    </w:p>
    <w:p w14:paraId="7CC14326" w14:textId="77777777" w:rsidR="00FB6EF5" w:rsidRPr="00C46716" w:rsidRDefault="00000000">
      <w:pPr>
        <w:pStyle w:val="Corpsdetexte"/>
        <w:rPr>
          <w:lang w:val="fr-FR"/>
        </w:rPr>
      </w:pPr>
      <w:r>
        <w:rPr>
          <w:lang w:val="fr-FR"/>
        </w:rPr>
        <w:t xml:space="preserve">Ces deux propriétés, réunies, définissent le noyau comme un </w:t>
      </w:r>
      <w:r>
        <w:rPr>
          <w:b/>
          <w:bCs/>
          <w:lang w:val="fr-FR"/>
        </w:rPr>
        <w:t>commun</w:t>
      </w:r>
      <w:r>
        <w:rPr>
          <w:lang w:val="fr-FR"/>
        </w:rPr>
        <w:t xml:space="preserve"> : une ressource dont l'usage est à la fois inépuisable par le partage (non-rivalité) et ouvert à tous (non-exclusivité). C'est ce double caractère qui fait basculer le dispositif hors de la logique d'appropriation. Là où la monnaie ordinaire est un bien privé — rival et exclusif, donc concentrable — la fonction monétaire du noyau est un bien commun : nul ne peut se l'approprier au détriment d'autrui, ni parce que son usage l'épuiserait, ni parce qu'un droit supérieur en écarterait les autres. L'égalité entre Membres n'est donc pas une règle ajoutée au dispositif ; elle est la conséquence directe de la nature non rivale et non exclusive de ce qu'ils partagent.</w:t>
      </w:r>
    </w:p>
    <w:p w14:paraId="1D39F737" w14:textId="77777777" w:rsidR="00FB6EF5" w:rsidRPr="00C46716" w:rsidRDefault="00000000">
      <w:pPr>
        <w:pStyle w:val="Titre2"/>
        <w:rPr>
          <w:lang w:val="fr-FR"/>
        </w:rPr>
      </w:pPr>
      <w:bookmarkStart w:id="15" w:name="X7e0e8fae7d2e0148380ec66631512370e95040e"/>
      <w:bookmarkEnd w:id="14"/>
      <w:r>
        <w:rPr>
          <w:lang w:val="fr-FR"/>
        </w:rPr>
        <w:t>Article 29 — Le financement de la frontière externe</w:t>
      </w:r>
    </w:p>
    <w:p w14:paraId="53CDB226" w14:textId="77777777" w:rsidR="00FB6EF5" w:rsidRPr="00C46716" w:rsidRDefault="00000000">
      <w:pPr>
        <w:pStyle w:val="FirstParagraph"/>
        <w:rPr>
          <w:lang w:val="fr-FR"/>
        </w:rPr>
      </w:pPr>
      <w:r>
        <w:rPr>
          <w:lang w:val="fr-FR"/>
        </w:rPr>
        <w:t>La frontière externe est financée, en premier lieu, par chaque Membre sur ses fonds propres, pour la part de ses opérations qui doit être réglée en euros à un tiers non-membre (Art. 27). Le Capital d’Ancrage n’y contribue pas : son principal est immobilisé (Art. 3) et ses fruits demeurent attachés à la nue-propriété (Art. 2). Le dispositif ne finance, par le capital, aucune dépense externe.</w:t>
      </w:r>
    </w:p>
    <w:p w14:paraId="15384C5A" w14:textId="77777777" w:rsidR="00FB6EF5" w:rsidRPr="00C46716" w:rsidRDefault="00000000">
      <w:pPr>
        <w:pStyle w:val="Corpsdetexte"/>
        <w:rPr>
          <w:lang w:val="fr-FR"/>
        </w:rPr>
      </w:pPr>
      <w:r>
        <w:rPr>
          <w:lang w:val="fr-FR"/>
        </w:rPr>
        <w:t>Lorsque le dispositif choisit de soutenir collectivement certaines dépenses externes attachées aux opérations ODD, ce soutien est assuré par un fonds de solidarité juridiquement distinct du noyau et du capital, alimenté par des ressources qui lui sont propres — cotisations, dons, subventions — à l’exclusion de toute mobilisation du Capital d’Ancrage. Ce fonds, seul habilité à manier des euros, règle les dépenses concernées ; le noyau, lui, ne manipule jamais de monnaie.</w:t>
      </w:r>
    </w:p>
    <w:p w14:paraId="2BD5C56E" w14:textId="77777777" w:rsidR="00FB6EF5" w:rsidRPr="00C46716" w:rsidRDefault="00000000">
      <w:pPr>
        <w:pStyle w:val="Corpsdetexte"/>
        <w:rPr>
          <w:lang w:val="fr-FR"/>
        </w:rPr>
      </w:pPr>
      <w:r>
        <w:rPr>
          <w:lang w:val="fr-FR"/>
        </w:rPr>
        <w:t>Ce soutien collectif a pour objet de préserver l’égalité d’accès, en permettant aux Membres dépourvus de fonds propres suffisants d’accéder aux opérations comportant une part externe, sans que la participation ne dépende de la détention préalable de capital. Il prolonge le caractère inclusif du dispositif (Art. 6).</w:t>
      </w:r>
    </w:p>
    <w:p w14:paraId="4303D14C" w14:textId="77777777" w:rsidR="00FB6EF5" w:rsidRPr="00C46716" w:rsidRDefault="00000000">
      <w:pPr>
        <w:pStyle w:val="Corpsdetexte"/>
        <w:rPr>
          <w:lang w:val="fr-FR"/>
        </w:rPr>
      </w:pPr>
      <w:r>
        <w:rPr>
          <w:lang w:val="fr-FR"/>
        </w:rPr>
        <w:t>La capacité de soutien collectif est bornée par les ressources propres du fonds de solidarité. Elle ne s’étend pas par une mobilisation du capital, qui demeure exclue, mais par deux leviers : l’accroissement de la part interne des opérations — l’internalisation de fournisseurs, qui réduit d’autant la fuite externe et donc le besoin de règlement en euros — et l’augmentation des ressources propres du fonds de solidarité.</w:t>
      </w:r>
    </w:p>
    <w:p w14:paraId="04811D44" w14:textId="77777777" w:rsidR="00FB6EF5" w:rsidRPr="00C46716" w:rsidRDefault="00000000">
      <w:pPr>
        <w:pStyle w:val="Titre1"/>
        <w:rPr>
          <w:lang w:val="fr-FR"/>
        </w:rPr>
      </w:pPr>
      <w:bookmarkStart w:id="16" w:name="X369a240dfd52c66b6849d8902abe0a97e3bf068"/>
      <w:bookmarkEnd w:id="12"/>
      <w:bookmarkEnd w:id="15"/>
      <w:r>
        <w:rPr>
          <w:lang w:val="fr-FR"/>
        </w:rPr>
        <w:t>Titre VII — Choix de projets, priorisation et vote de préférence</w:t>
      </w:r>
    </w:p>
    <w:p w14:paraId="684C6635" w14:textId="77777777" w:rsidR="00FB6EF5" w:rsidRPr="00C46716" w:rsidRDefault="00000000">
      <w:pPr>
        <w:pStyle w:val="FirstParagraph"/>
        <w:rPr>
          <w:lang w:val="fr-FR"/>
        </w:rPr>
      </w:pPr>
      <w:r>
        <w:rPr>
          <w:lang w:val="fr-FR"/>
        </w:rPr>
        <w:t>Les titres précédents ont montré comment le dispositif permet à des agents d’échanger des biens et des services. Nous allons expliquer maintenant comment il leur permet de voter pour des projets afin de les financer. Dans cette perspective, il convient de répondre à la question suivante : parmi tous les projets admissibles, lesquels soutenir en priorité ? Et comment se traduit concrètement ce soutien ?</w:t>
      </w:r>
    </w:p>
    <w:p w14:paraId="55F9FB69" w14:textId="77777777" w:rsidR="00FB6EF5" w:rsidRPr="00C46716" w:rsidRDefault="00000000">
      <w:pPr>
        <w:pStyle w:val="Corpsdetexte"/>
        <w:rPr>
          <w:lang w:val="fr-FR"/>
        </w:rPr>
      </w:pPr>
      <w:r>
        <w:rPr>
          <w:lang w:val="fr-FR"/>
        </w:rPr>
        <w:t>C'est l'objet de ce titre VII. Il répond en trois temps. D'abord, il fixe le seuil à partir duquel un projet mérite d'être considéré (Article 30). Ensuite, il désigne le mécanisme qui départage les projets admissibles entre eux (Article 31). Enfin, il précise comment ce choix collectif s'exprime concrètement — et pourquoi il est à la fois sincère et égalitaire (Article 32). L'idée directrice est que, dans ce dispositif, choisir collectivement un projet et échanger de la valeur ne sont pas deux opérations distinctes : c'est le même geste.</w:t>
      </w:r>
    </w:p>
    <w:p w14:paraId="722EC428" w14:textId="77777777" w:rsidR="00FB6EF5" w:rsidRPr="00C46716" w:rsidRDefault="00000000">
      <w:pPr>
        <w:pStyle w:val="Titre2"/>
        <w:rPr>
          <w:lang w:val="fr-FR"/>
        </w:rPr>
      </w:pPr>
      <w:bookmarkStart w:id="17" w:name="Xfa6da77c675b461e361fe6ca283d32bf31a96af"/>
      <w:r>
        <w:rPr>
          <w:lang w:val="fr-FR"/>
        </w:rPr>
        <w:t>Article 30 — Critère de bénéfice, extra-comptable</w:t>
      </w:r>
    </w:p>
    <w:p w14:paraId="07282AA5" w14:textId="77777777" w:rsidR="00FB6EF5" w:rsidRPr="00C46716" w:rsidRDefault="00000000">
      <w:pPr>
        <w:pStyle w:val="FirstParagraph"/>
        <w:rPr>
          <w:lang w:val="fr-FR"/>
        </w:rPr>
      </w:pPr>
      <w:r>
        <w:rPr>
          <w:lang w:val="fr-FR"/>
        </w:rPr>
        <w:t xml:space="preserve">Un projet ne peut prétendre au soutien collectif que s'il fait la preuve de son utilité et de son équité. Cette preuve prend la forme d'un rapport d'impact certifié, établi séparément du registre des échanges, qui démontre que les bénéfices attendus au titre des ODD — destruction future évitée, capacité nouvelle créée — sont au moins égaux aux coûts engagés. Ce critère commande l'éligibilité, mais il ne se traduit par aucune écriture comptable : il reste extérieur au registre. Autrement dit, un bénéfice ODD attendu n'est jamais inscrit au crédit de qui que ce soit, car il ne s'agit pas d'une valeur déjà réalisée mais d'un effet espéré ; l'inscrire reviendrait à comptabiliser une promesse, ce qu'interdisent les principes de prudence et de réalisation. Le bénéfice ODD sert donc à </w:t>
      </w:r>
      <w:r>
        <w:rPr>
          <w:i/>
          <w:iCs/>
          <w:lang w:val="fr-FR"/>
        </w:rPr>
        <w:t>décider</w:t>
      </w:r>
      <w:r>
        <w:rPr>
          <w:lang w:val="fr-FR"/>
        </w:rPr>
        <w:t xml:space="preserve">, non à </w:t>
      </w:r>
      <w:r>
        <w:rPr>
          <w:i/>
          <w:iCs/>
          <w:lang w:val="fr-FR"/>
        </w:rPr>
        <w:t>compter</w:t>
      </w:r>
      <w:r>
        <w:rPr>
          <w:lang w:val="fr-FR"/>
        </w:rPr>
        <w:t>. L'évaluation s'appuie sur des méthodologies reconnues — ICAT, IIED, comptabilité des écosystèmes SEEA-EA — sans recourir à un taux d'actualisation financier, et en appliquant, s'il y a lieu, un coefficient de prudence et un facteur de criticité.</w:t>
      </w:r>
    </w:p>
    <w:p w14:paraId="2AF8B603" w14:textId="77777777" w:rsidR="00FB6EF5" w:rsidRPr="00C46716" w:rsidRDefault="00000000">
      <w:pPr>
        <w:pStyle w:val="Titre2"/>
        <w:rPr>
          <w:lang w:val="fr-FR"/>
        </w:rPr>
      </w:pPr>
      <w:bookmarkStart w:id="18" w:name="Xf8f93a8ee92875cebb28f7182e3a3b3621b568a"/>
      <w:bookmarkEnd w:id="17"/>
      <w:r>
        <w:rPr>
          <w:lang w:val="fr-FR"/>
        </w:rPr>
        <w:t>Article 31 — Priorisation par vote de consensus</w:t>
      </w:r>
    </w:p>
    <w:p w14:paraId="226B622A" w14:textId="77777777" w:rsidR="00FB6EF5" w:rsidRPr="00C46716" w:rsidRDefault="00000000">
      <w:pPr>
        <w:pStyle w:val="FirstParagraph"/>
        <w:rPr>
          <w:lang w:val="fr-FR"/>
        </w:rPr>
      </w:pPr>
      <w:r>
        <w:rPr>
          <w:lang w:val="fr-FR"/>
        </w:rPr>
        <w:t xml:space="preserve">Une fois écartés les projets non éligibles (Article 30) et ceux qui ne satisfont pas aux exigences de sécurité (Titre IV), il reste à ordonner ceux qui subsistent. Cet ordre n'est pas décidé par une autorité : il émerge d'un vote de consensus, selon la procédure dite de </w:t>
      </w:r>
      <w:r>
        <w:rPr>
          <w:i/>
          <w:iCs/>
          <w:lang w:val="fr-FR"/>
        </w:rPr>
        <w:t>Welfare Optimisation</w:t>
      </w:r>
      <w:r>
        <w:rPr>
          <w:lang w:val="fr-FR"/>
        </w:rPr>
        <w:t xml:space="preserve">. Ce vote combine deux dimensions. Le </w:t>
      </w:r>
      <w:r>
        <w:rPr>
          <w:b/>
          <w:bCs/>
          <w:lang w:val="fr-FR"/>
        </w:rPr>
        <w:t>soutien</w:t>
      </w:r>
      <w:r>
        <w:rPr>
          <w:lang w:val="fr-FR"/>
        </w:rPr>
        <w:t xml:space="preserve"> exprime l'intensité de la préférence : à quel point les Membres jugent un projet intéressant : quelle est la valeur qu’il va apporter dans monde et quels sont les bénéfices qu’il va générer. L'</w:t>
      </w:r>
      <w:r>
        <w:rPr>
          <w:b/>
          <w:bCs/>
          <w:lang w:val="fr-FR"/>
        </w:rPr>
        <w:t>approbation</w:t>
      </w:r>
      <w:r>
        <w:rPr>
          <w:lang w:val="fr-FR"/>
        </w:rPr>
        <w:t xml:space="preserve"> exprime l'acceptabilité : le projet est-il faisable au regard des capacités réelles et de la solvabilité du dispositif ? La faisabilité relève de cette seconde dimension, et elle est éliminatoire — un projet infaisable ne peut jamais être priorisé, si désirable soit-il.</w:t>
      </w:r>
    </w:p>
    <w:p w14:paraId="0CA1AD44" w14:textId="77777777" w:rsidR="00FB6EF5" w:rsidRPr="00C46716" w:rsidRDefault="00000000">
      <w:pPr>
        <w:pStyle w:val="Corpsdetexte"/>
        <w:rPr>
          <w:lang w:val="fr-FR"/>
        </w:rPr>
      </w:pPr>
      <w:r>
        <w:rPr>
          <w:lang w:val="fr-FR"/>
        </w:rPr>
        <w:t>Ce double critère n'est pas un procédé de vote ajouté de l'extérieur : il reproduit exactement la structure de l'échange cyclique lui-même. Un échange, pour être admis, exige l'équilibre des créances et des dettes (c'est l'acceptabilité) et procède d'un choix de valeur entre plusieurs opérations possibles (c'est la préférence). De la même façon, un bon vote combine l'approbation — qui minimise le regret des minorités, versant sécuritaire de la décision — et l'intensité des préférences — qui maximise la satisfaction de la majorité, versant performatif. Échange individuel et choix collectif obéissent ainsi à une seule et même logique : dans ce dispositif, ils sont une même chose, et reposent sur une identité.</w:t>
      </w:r>
    </w:p>
    <w:p w14:paraId="3180D289" w14:textId="77777777" w:rsidR="00FB6EF5" w:rsidRPr="00C46716" w:rsidRDefault="00000000">
      <w:pPr>
        <w:pStyle w:val="Corpsdetexte"/>
        <w:rPr>
          <w:lang w:val="fr-FR"/>
        </w:rPr>
      </w:pPr>
      <w:r>
        <w:rPr>
          <w:lang w:val="fr-FR"/>
        </w:rPr>
        <w:t>A titre de comparaison, le marché concurrentiel est un mécanisme de coordination des échanges, non un mécanisme de décision collective. Il détermine un prix d'équilibre entre offreurs et demandeurs, mais n'intègre aucun opérateur explicite de composition entre performance collective et équité. Le présent protocole repose au contraire sur un mécanisme de décision collective explicitement intégré au mécanisme d'échange. Les échanges et la sélection des projets obéissent à une même structure d'acceptabilité et de préférence, formalisée par Welfare Optimisation et dotée d’une valeur scientifique certaine.</w:t>
      </w:r>
    </w:p>
    <w:p w14:paraId="36199A87" w14:textId="77777777" w:rsidR="00FB6EF5" w:rsidRPr="00C46716" w:rsidRDefault="00000000">
      <w:pPr>
        <w:pStyle w:val="Titre2"/>
        <w:rPr>
          <w:lang w:val="fr-FR"/>
        </w:rPr>
      </w:pPr>
      <w:bookmarkStart w:id="19" w:name="Xa85cb95b2c5ff7b038ef42666382110f72572ae"/>
      <w:bookmarkEnd w:id="18"/>
      <w:r>
        <w:rPr>
          <w:lang w:val="fr-FR"/>
        </w:rPr>
        <w:t>Article 32 — Vote qui s’exprime par un engagement de créance</w:t>
      </w:r>
    </w:p>
    <w:p w14:paraId="0F49EED5" w14:textId="77777777" w:rsidR="00FB6EF5" w:rsidRPr="00C46716" w:rsidRDefault="00000000">
      <w:pPr>
        <w:pStyle w:val="FirstParagraph"/>
        <w:rPr>
          <w:lang w:val="fr-FR"/>
        </w:rPr>
      </w:pPr>
      <w:r>
        <w:rPr>
          <w:lang w:val="fr-FR"/>
        </w:rPr>
        <w:t>Puisque voter et échanger ne font qu'un, le vote n'est pas seulement une opinion déclarée mais il peut également devenir un acte engageant. Un Membre soutient un projet en engageant une part de sa position dans le réseau, inscrite au graphe des échanges. Ce vote est donc une transaction — et, parce qu'il coûte quelque chose, il est sincère par construction : nul ne peut soutenir sans limite ce qui lui importe peu.</w:t>
      </w:r>
    </w:p>
    <w:p w14:paraId="225C274A" w14:textId="77777777" w:rsidR="00FB6EF5" w:rsidRPr="00C46716" w:rsidRDefault="00000000">
      <w:pPr>
        <w:pStyle w:val="Corpsdetexte"/>
        <w:rPr>
          <w:lang w:val="fr-FR"/>
        </w:rPr>
      </w:pPr>
      <w:r>
        <w:rPr>
          <w:lang w:val="fr-FR"/>
        </w:rPr>
        <w:t xml:space="preserve">Ce mécanisme est aussi égalitaire, et cela tient à la symétrie autour de zéro. La capacité de vote d'un Membre dépend de sa marge d'engagement : elle est maximale lorsque son solde est nul et s'annule à mesure qu'il sature son exposition. Il en résulte qu'accumuler une position créditrice ne procure aucun pouvoir de décision supplémentaire — la richesse excédentaire ne se convertit pas en influence. La richesse limitée oblige à faire de vrais choix dans l’ordonnancement des préférences. </w:t>
      </w:r>
    </w:p>
    <w:p w14:paraId="445C076B" w14:textId="77777777" w:rsidR="00FB6EF5" w:rsidRPr="00C46716" w:rsidRDefault="00000000">
      <w:pPr>
        <w:pStyle w:val="Corpsdetexte"/>
        <w:rPr>
          <w:lang w:val="fr-FR"/>
        </w:rPr>
      </w:pPr>
      <w:r>
        <w:rPr>
          <w:lang w:val="fr-FR"/>
        </w:rPr>
        <w:t>Enfin, les engagements de vote se compensent en cycles, exactement comme les échanges. Le soutien qu'un Membre accorde aux projets d'autrui et celui qu'autrui accorde au sien se referment réciproquement. Lorsqu'un soutien ne trouve pas de contrepartie bilatérale immédiate, il est versé dans un pool de compensation qui recherche des boucles de soutien plus longues, sous le même plafond d'exposition (Article 18). Cette mutualisation sert à relier des soutiens dispersés qui, isolément, ne boucleraient pas ; elle ne crée pas de soutien là où il n'y en a pas, et ne finance donc jamais un projet que personne n'a choisi de soutenir. Elle permet juste au système de l’ensemble des projets financés de trouver son équilibre.</w:t>
      </w:r>
    </w:p>
    <w:p w14:paraId="19955CEE" w14:textId="77777777" w:rsidR="00FB6EF5" w:rsidRPr="00C46716" w:rsidRDefault="00C46716" w:rsidP="00C46716">
      <w:pPr>
        <w:pStyle w:val="Titre1"/>
        <w:rPr>
          <w:lang w:val="fr-FR"/>
        </w:rPr>
      </w:pPr>
      <w:r>
        <w:rPr>
          <w:lang w:val="fr-FR"/>
        </w:rPr>
        <w:t xml:space="preserve">Titre VIII — Comptabilité </w:t>
      </w:r>
    </w:p>
    <w:p w14:paraId="121ACDC3" w14:textId="77777777" w:rsidR="00FB6EF5" w:rsidRPr="00C46716" w:rsidRDefault="00000000">
      <w:pPr>
        <w:pStyle w:val="Corpsdetexte"/>
        <w:rPr>
          <w:lang w:val="fr-FR"/>
        </w:rPr>
      </w:pPr>
      <w:r>
        <w:rPr>
          <w:lang w:val="fr-FR"/>
        </w:rPr>
        <w:t xml:space="preserve">Le présent Titre régit le traitement comptable du dispositif. Il repose sur une distinction cardinale, dont l'étanchéité conditionne la régularité, la sincérité et l'image fidèle des comptes (art. L. 123-14 du Code de commerce) : le </w:t>
      </w:r>
      <w:r>
        <w:rPr>
          <w:b/>
          <w:bCs/>
          <w:lang w:val="fr-FR"/>
        </w:rPr>
        <w:t>bénéfice transactionnel</w:t>
      </w:r>
      <w:r>
        <w:rPr>
          <w:lang w:val="fr-FR"/>
        </w:rPr>
        <w:t xml:space="preserve">, qui procède d'opérations économiques réelles entre Membres, relève de la comptabilité en partie double de droit commun ; le </w:t>
      </w:r>
      <w:r>
        <w:rPr>
          <w:b/>
          <w:bCs/>
          <w:lang w:val="fr-FR"/>
        </w:rPr>
        <w:t>bénéfice ODD</w:t>
      </w:r>
      <w:r>
        <w:rPr>
          <w:lang w:val="fr-FR"/>
        </w:rPr>
        <w:t>, qui procède d'une évaluation d'impact contrefactuelle, relève d'un suivi extra-financier hors bilan. Ces deux grandeurs ne se confondent jamais et ne migrent jamais de l'une à l'autre par le seul effet d'une écriture.</w:t>
      </w:r>
    </w:p>
    <w:p w14:paraId="29546744" w14:textId="77777777" w:rsidR="00FB6EF5" w:rsidRPr="00C46716" w:rsidRDefault="00000000">
      <w:pPr>
        <w:pStyle w:val="Corpsdetexte"/>
        <w:rPr>
          <w:color w:val="0070C0"/>
          <w:sz w:val="28"/>
          <w:szCs w:val="28"/>
          <w:lang w:val="fr-FR"/>
        </w:rPr>
      </w:pPr>
      <w:r>
        <w:rPr>
          <w:b/>
          <w:bCs/>
          <w:color w:val="0070C0"/>
          <w:sz w:val="28"/>
          <w:szCs w:val="28"/>
          <w:lang w:val="fr-FR"/>
        </w:rPr>
        <w:t>Article 33 — Les trois sphères comptables</w:t>
      </w:r>
    </w:p>
    <w:p w14:paraId="260A62BD" w14:textId="77777777" w:rsidR="00FB6EF5" w:rsidRPr="00C46716" w:rsidRDefault="00000000">
      <w:pPr>
        <w:pStyle w:val="Corpsdetexte"/>
        <w:rPr>
          <w:lang w:val="fr-FR"/>
        </w:rPr>
      </w:pPr>
      <w:r>
        <w:rPr>
          <w:lang w:val="fr-FR"/>
        </w:rPr>
        <w:t>Le dispositif distingue rigoureusement trois sphères comptables, étanches entre elles :</w:t>
      </w:r>
    </w:p>
    <w:p w14:paraId="777AA7A0" w14:textId="77777777" w:rsidR="00FB6EF5" w:rsidRPr="00C46716" w:rsidRDefault="00000000">
      <w:pPr>
        <w:pStyle w:val="Corpsdetexte"/>
        <w:rPr>
          <w:lang w:val="fr-FR"/>
        </w:rPr>
      </w:pPr>
      <w:r>
        <w:rPr>
          <w:b/>
          <w:bCs/>
          <w:lang w:val="fr-FR"/>
        </w:rPr>
        <w:t>a) La comptabilité ordinaire</w:t>
      </w:r>
      <w:r>
        <w:rPr>
          <w:lang w:val="fr-FR"/>
        </w:rPr>
        <w:t xml:space="preserve"> enregistre, chez chaque Membre, les flux monétaires effectifs en euros (trésorerie, créances, dettes) selon le Plan comptable général.</w:t>
      </w:r>
    </w:p>
    <w:p w14:paraId="377DA374" w14:textId="77777777" w:rsidR="00FB6EF5" w:rsidRPr="00C46716" w:rsidRDefault="00000000">
      <w:pPr>
        <w:pStyle w:val="Corpsdetexte"/>
        <w:rPr>
          <w:lang w:val="fr-FR"/>
        </w:rPr>
      </w:pPr>
      <w:r>
        <w:rPr>
          <w:b/>
          <w:bCs/>
          <w:lang w:val="fr-FR"/>
        </w:rPr>
        <w:t>b) Le registre du graphe d'échange</w:t>
      </w:r>
      <w:r>
        <w:rPr>
          <w:lang w:val="fr-FR"/>
        </w:rPr>
        <w:t xml:space="preserve"> (Art. 12 à 14) retrace les engagements réciproques entre Membres, exprimés en unités internes, de sorte que la somme algébrique des soldes demeure constamment nulle (∑ s</w:t>
      </w:r>
      <w:r>
        <w:t>ᵢ</w:t>
      </w:r>
      <w:r>
        <w:rPr>
          <w:lang w:val="fr-FR"/>
        </w:rPr>
        <w:t xml:space="preserve"> = 0). Aucune somme en euros n'y transite.</w:t>
      </w:r>
    </w:p>
    <w:p w14:paraId="69F47C91" w14:textId="77777777" w:rsidR="00FB6EF5" w:rsidRPr="00C46716" w:rsidRDefault="00000000">
      <w:pPr>
        <w:pStyle w:val="Corpsdetexte"/>
        <w:rPr>
          <w:lang w:val="fr-FR"/>
        </w:rPr>
      </w:pPr>
      <w:r>
        <w:rPr>
          <w:b/>
          <w:bCs/>
          <w:lang w:val="fr-FR"/>
        </w:rPr>
        <w:t>c) L'état hors bilan des grandeurs civilisationnelles</w:t>
      </w:r>
      <w:r>
        <w:rPr>
          <w:lang w:val="fr-FR"/>
        </w:rPr>
        <w:t xml:space="preserve"> suit, à titre extra-financier, les bénéfices ODD constatés. Ces grandeurs sont des indicateurs certifiés, jamais des produits ou des actifs comptables.</w:t>
      </w:r>
    </w:p>
    <w:p w14:paraId="635BC84D" w14:textId="77777777" w:rsidR="00FB6EF5" w:rsidRPr="00C46716" w:rsidRDefault="00000000">
      <w:pPr>
        <w:pStyle w:val="Corpsdetexte"/>
        <w:rPr>
          <w:lang w:val="fr-FR"/>
        </w:rPr>
      </w:pPr>
      <w:r>
        <w:rPr>
          <w:lang w:val="fr-FR"/>
        </w:rPr>
        <w:t>Aucune grandeur civilisationnelle ne produit, par sa seule inscription, un actif, un produit, ou un moyen de règlement.</w:t>
      </w:r>
    </w:p>
    <w:p w14:paraId="532014F4" w14:textId="77777777" w:rsidR="00FB6EF5" w:rsidRPr="00C46716" w:rsidRDefault="00000000">
      <w:pPr>
        <w:pStyle w:val="Corpsdetexte"/>
        <w:rPr>
          <w:color w:val="0070C0"/>
          <w:sz w:val="28"/>
          <w:szCs w:val="28"/>
          <w:lang w:val="fr-FR"/>
        </w:rPr>
      </w:pPr>
      <w:r>
        <w:rPr>
          <w:b/>
          <w:bCs/>
          <w:color w:val="0070C0"/>
          <w:sz w:val="28"/>
          <w:szCs w:val="28"/>
          <w:lang w:val="fr-FR"/>
        </w:rPr>
        <w:t>Article 34 — Le bénéfice transactionnel : comptabilité en partie double de droit commun</w:t>
      </w:r>
    </w:p>
    <w:p w14:paraId="10D0AC76" w14:textId="77777777" w:rsidR="00FB6EF5" w:rsidRPr="00C46716" w:rsidRDefault="00000000">
      <w:pPr>
        <w:pStyle w:val="Corpsdetexte"/>
        <w:rPr>
          <w:lang w:val="fr-FR"/>
        </w:rPr>
      </w:pPr>
      <w:r>
        <w:rPr>
          <w:lang w:val="fr-FR"/>
        </w:rPr>
        <w:t xml:space="preserve">Toute transaction réalisée dans le graphe est une opération économique réelle : un Membre fournit un bien ou un service, un autre le reçoit. Elle comporte donc, du côté du fournisseur, un </w:t>
      </w:r>
      <w:r>
        <w:rPr>
          <w:b/>
          <w:bCs/>
          <w:lang w:val="fr-FR"/>
        </w:rPr>
        <w:t>produit réel</w:t>
      </w:r>
      <w:r>
        <w:rPr>
          <w:lang w:val="fr-FR"/>
        </w:rPr>
        <w:t xml:space="preserve">, et du côté du bénéficiaire, une </w:t>
      </w:r>
      <w:r>
        <w:rPr>
          <w:b/>
          <w:bCs/>
          <w:lang w:val="fr-FR"/>
        </w:rPr>
        <w:t>charge réelle</w:t>
      </w:r>
      <w:r>
        <w:rPr>
          <w:lang w:val="fr-FR"/>
        </w:rPr>
        <w:t>, assortis de la créance et de la dette correspondantes.</w:t>
      </w:r>
    </w:p>
    <w:p w14:paraId="3074D9D9" w14:textId="77777777" w:rsidR="00FB6EF5" w:rsidRPr="00C46716" w:rsidRDefault="00000000">
      <w:pPr>
        <w:pStyle w:val="Corpsdetexte"/>
        <w:rPr>
          <w:lang w:val="fr-FR"/>
        </w:rPr>
      </w:pPr>
      <w:r>
        <w:rPr>
          <w:lang w:val="fr-FR"/>
        </w:rPr>
        <w:t xml:space="preserve">Chaque Membre enregistre ces deux faces dans sa comptabilité de droit commun, en partie double : le produit au compte de résultat du fournisseur, la charge (ou l'immobilisation) chez le bénéficiaire, et les positions réciproques en comptes de tiers. Le fait que le règlement s'opère par compensation au sein du graphe, et non par un transfert d'euros, ne modifie ni la nature ni la substance économique de l'opération : </w:t>
      </w:r>
      <w:r>
        <w:rPr>
          <w:b/>
          <w:bCs/>
          <w:lang w:val="fr-FR"/>
        </w:rPr>
        <w:t>la compensation change le mode de règlement, non la réalité de la transaction.</w:t>
      </w:r>
    </w:p>
    <w:p w14:paraId="0DD62F67" w14:textId="77777777" w:rsidR="00FB6EF5" w:rsidRPr="00C46716" w:rsidRDefault="00000000">
      <w:pPr>
        <w:pStyle w:val="Corpsdetexte"/>
        <w:rPr>
          <w:lang w:val="fr-FR"/>
        </w:rPr>
      </w:pPr>
      <w:r>
        <w:rPr>
          <w:lang w:val="fr-FR"/>
        </w:rPr>
        <w:t>Il en résulte que le bénéfice transactionnel entre dans les produits d'exploitation du Membre fournisseur, avec les conséquences de droit commun qui s'y attachent. Le traitement fiscal et social de ces produits dépend du statut de chaque Membre (professionnel ou non), du véhicule porteur, du domaine d'activité et du territoire ; il est apprécié séparément, sous le conseil d'un professionnel, et ne relève pas du présent contrat.</w:t>
      </w:r>
    </w:p>
    <w:p w14:paraId="6CE54686" w14:textId="77777777" w:rsidR="00FB6EF5" w:rsidRPr="00C46716" w:rsidRDefault="00000000">
      <w:pPr>
        <w:pStyle w:val="Corpsdetexte"/>
        <w:rPr>
          <w:color w:val="0070C0"/>
          <w:sz w:val="28"/>
          <w:szCs w:val="28"/>
          <w:lang w:val="fr-FR"/>
        </w:rPr>
      </w:pPr>
      <w:r>
        <w:rPr>
          <w:b/>
          <w:bCs/>
          <w:color w:val="0070C0"/>
          <w:sz w:val="28"/>
          <w:szCs w:val="28"/>
          <w:lang w:val="fr-FR"/>
        </w:rPr>
        <w:t>Article 35 — Le bénéfice ODD : suivi hors bilan, jamais au crédit</w:t>
      </w:r>
    </w:p>
    <w:p w14:paraId="32CF8727" w14:textId="77777777" w:rsidR="00FB6EF5" w:rsidRPr="00C46716" w:rsidRDefault="00000000">
      <w:pPr>
        <w:pStyle w:val="Corpsdetexte"/>
        <w:rPr>
          <w:lang w:val="fr-FR"/>
        </w:rPr>
      </w:pPr>
      <w:r>
        <w:rPr>
          <w:lang w:val="fr-FR"/>
        </w:rPr>
        <w:t xml:space="preserve">Le bénéfice ODD — destruction future évitée, capacité nouvelle créée — est de nature contrefactuelle et non réalisée. Conformément aux principes de prudence et de réalisation, il </w:t>
      </w:r>
      <w:r>
        <w:rPr>
          <w:b/>
          <w:bCs/>
          <w:lang w:val="fr-FR"/>
        </w:rPr>
        <w:t>n'est en aucun cas porté au crédit d'une écriture en partie double</w:t>
      </w:r>
      <w:r>
        <w:rPr>
          <w:lang w:val="fr-FR"/>
        </w:rPr>
        <w:t>, ni inscrit à l'actif, ni comptabilisé en produit.</w:t>
      </w:r>
    </w:p>
    <w:p w14:paraId="5E80C266" w14:textId="77777777" w:rsidR="00FB6EF5" w:rsidRPr="00C46716" w:rsidRDefault="00000000">
      <w:pPr>
        <w:pStyle w:val="Corpsdetexte"/>
        <w:rPr>
          <w:lang w:val="fr-FR"/>
        </w:rPr>
      </w:pPr>
      <w:r>
        <w:rPr>
          <w:lang w:val="fr-FR"/>
        </w:rPr>
        <w:t>Il est suivi exclusivement dans l'état hors bilan des grandeurs civilisationnelles, en cohérence avec le critère extra-comptable de l'Article 30. Cet état recense, opération par opération, le coût réel engagé, le bénéfice ODD évalué selon les méthodologies reconnues (ICAT, IIED, comptabilité des écosystèmes SEEA-EA), et la valeur civilisationnelle nette qui en résulte, sans recours à un taux d'actualisation financier.</w:t>
      </w:r>
    </w:p>
    <w:p w14:paraId="0CAEBE17" w14:textId="77777777" w:rsidR="00FB6EF5" w:rsidRPr="00C46716" w:rsidRDefault="00000000">
      <w:pPr>
        <w:pStyle w:val="Corpsdetexte"/>
        <w:rPr>
          <w:lang w:val="fr-FR"/>
        </w:rPr>
      </w:pPr>
      <w:r>
        <w:rPr>
          <w:lang w:val="fr-FR"/>
        </w:rPr>
        <w:t xml:space="preserve">Cette valeur est un </w:t>
      </w:r>
      <w:r>
        <w:rPr>
          <w:i/>
          <w:iCs/>
          <w:lang w:val="fr-FR"/>
        </w:rPr>
        <w:t>indicateur de performance extra-financière</w:t>
      </w:r>
      <w:r>
        <w:rPr>
          <w:lang w:val="fr-FR"/>
        </w:rPr>
        <w:t>, mobilisable dans les rapports de durabilité (directive (UE) 2022/2464 dite CSRD ; art. L. 232-6-3 et R. 225-105 du Code de commerce). Elle n'est jamais un solde de compte de résultat.</w:t>
      </w:r>
    </w:p>
    <w:p w14:paraId="26BF3593" w14:textId="77777777" w:rsidR="00FB6EF5" w:rsidRPr="00C46716" w:rsidRDefault="00000000">
      <w:pPr>
        <w:pStyle w:val="Corpsdetexte"/>
        <w:rPr>
          <w:color w:val="0070C0"/>
          <w:sz w:val="28"/>
          <w:szCs w:val="28"/>
          <w:lang w:val="fr-FR"/>
        </w:rPr>
      </w:pPr>
      <w:r>
        <w:rPr>
          <w:b/>
          <w:bCs/>
          <w:color w:val="0070C0"/>
          <w:sz w:val="28"/>
          <w:szCs w:val="28"/>
          <w:lang w:val="fr-FR"/>
        </w:rPr>
        <w:t>Article 36 — Les postes comptables comme source et comme destination</w:t>
      </w:r>
    </w:p>
    <w:p w14:paraId="10770B3E" w14:textId="77777777" w:rsidR="00FB6EF5" w:rsidRPr="00C46716" w:rsidRDefault="00000000">
      <w:pPr>
        <w:pStyle w:val="Corpsdetexte"/>
        <w:rPr>
          <w:lang w:val="fr-FR"/>
        </w:rPr>
      </w:pPr>
      <w:r>
        <w:rPr>
          <w:lang w:val="fr-FR"/>
        </w:rPr>
        <w:t>La séparation opérée aux Articles 33 à 35 rend au dispositif le plein usage de la comptabilité générale, dans les deux sens.</w:t>
      </w:r>
    </w:p>
    <w:p w14:paraId="41F6FDE6" w14:textId="77777777" w:rsidR="00FB6EF5" w:rsidRPr="00C46716" w:rsidRDefault="00000000">
      <w:pPr>
        <w:pStyle w:val="Corpsdetexte"/>
        <w:rPr>
          <w:lang w:val="fr-FR"/>
        </w:rPr>
      </w:pPr>
      <w:r>
        <w:rPr>
          <w:lang w:val="fr-FR"/>
        </w:rPr>
        <w:t xml:space="preserve">En </w:t>
      </w:r>
      <w:r>
        <w:rPr>
          <w:b/>
          <w:bCs/>
          <w:lang w:val="fr-FR"/>
        </w:rPr>
        <w:t>source</w:t>
      </w:r>
      <w:r>
        <w:rPr>
          <w:lang w:val="fr-FR"/>
        </w:rPr>
        <w:t>, l'information contenue dans les postes comptables d'un Membre — créances ouvertes, stocks, immobilisations sous-employées, capacités de production disponibles — révèle les transactions réelles qu'il peut nouer dans le graphe. Un poste réel adosse ainsi l'engagement que le Membre inscrit.</w:t>
      </w:r>
    </w:p>
    <w:p w14:paraId="3B77391F" w14:textId="77777777" w:rsidR="00FB6EF5" w:rsidRPr="00C46716" w:rsidRDefault="00000000">
      <w:pPr>
        <w:pStyle w:val="Corpsdetexte"/>
        <w:rPr>
          <w:lang w:val="fr-FR"/>
        </w:rPr>
      </w:pPr>
      <w:r>
        <w:rPr>
          <w:lang w:val="fr-FR"/>
        </w:rPr>
        <w:t xml:space="preserve">En </w:t>
      </w:r>
      <w:r>
        <w:rPr>
          <w:b/>
          <w:bCs/>
          <w:lang w:val="fr-FR"/>
        </w:rPr>
        <w:t>destination</w:t>
      </w:r>
      <w:r>
        <w:rPr>
          <w:lang w:val="fr-FR"/>
        </w:rPr>
        <w:t>, la transaction réelle, une fois nouée et compensée dans le graphe, s’inscrit dans les livres de chaque Membre en produits, charges, créances et dettes, où elle hérite de l'outillage comptable de droit commun (amortissements, provisions, immobilisations, ventilation analytique).</w:t>
      </w:r>
    </w:p>
    <w:p w14:paraId="67D7288F" w14:textId="77777777" w:rsidR="00FB6EF5" w:rsidRPr="00C46716" w:rsidRDefault="00000000">
      <w:pPr>
        <w:pStyle w:val="Corpsdetexte"/>
        <w:rPr>
          <w:lang w:val="fr-FR"/>
        </w:rPr>
      </w:pPr>
      <w:r>
        <w:rPr>
          <w:lang w:val="fr-FR"/>
        </w:rPr>
        <w:t xml:space="preserve">Cette double fonction ne vaut que pour des </w:t>
      </w:r>
      <w:r>
        <w:rPr>
          <w:b/>
          <w:bCs/>
          <w:lang w:val="fr-FR"/>
        </w:rPr>
        <w:t>opérations réelles</w:t>
      </w:r>
      <w:r>
        <w:rPr>
          <w:lang w:val="fr-FR"/>
        </w:rPr>
        <w:t>. Un poste comptable réel peut être source ou destination ; une grandeur civilisationnelle contrefactuelle ne peut jamais l'être, et demeure hors bilan. La frontière source/destination se tient toujours du côté du réel.</w:t>
      </w:r>
    </w:p>
    <w:p w14:paraId="443BEF09" w14:textId="77777777" w:rsidR="00FB6EF5" w:rsidRPr="00C46716" w:rsidRDefault="00000000">
      <w:pPr>
        <w:pStyle w:val="Corpsdetexte"/>
        <w:rPr>
          <w:color w:val="0070C0"/>
          <w:sz w:val="28"/>
          <w:szCs w:val="28"/>
          <w:lang w:val="fr-FR"/>
        </w:rPr>
      </w:pPr>
      <w:r>
        <w:rPr>
          <w:b/>
          <w:bCs/>
          <w:color w:val="0070C0"/>
          <w:sz w:val="28"/>
          <w:szCs w:val="28"/>
          <w:lang w:val="fr-FR"/>
        </w:rPr>
        <w:t>Article 37 — Connectivité des postes et détection des cycles de compensation</w:t>
      </w:r>
    </w:p>
    <w:p w14:paraId="4A4DF420" w14:textId="77777777" w:rsidR="00FB6EF5" w:rsidRPr="00C46716" w:rsidRDefault="00000000">
      <w:pPr>
        <w:pStyle w:val="Corpsdetexte"/>
        <w:rPr>
          <w:lang w:val="fr-FR"/>
        </w:rPr>
      </w:pPr>
      <w:r>
        <w:rPr>
          <w:lang w:val="fr-FR"/>
        </w:rPr>
        <w:t>L'étude de la connectivité des postes comptables — réflexivité, symétrie, transitivité des relations de créance et de dette — sert de moteur à la découverte des cycles de compensation latents au sein du réseau. Elle est valable pour la comptabilité privée autant que pour la comptabilité publique.</w:t>
      </w:r>
    </w:p>
    <w:p w14:paraId="2B9B50E2" w14:textId="77777777" w:rsidR="00FB6EF5" w:rsidRPr="00C46716" w:rsidRDefault="00000000">
      <w:pPr>
        <w:pStyle w:val="Corpsdetexte"/>
        <w:rPr>
          <w:lang w:val="fr-FR"/>
        </w:rPr>
      </w:pPr>
      <w:r>
        <w:rPr>
          <w:lang w:val="fr-FR"/>
        </w:rPr>
        <w:t xml:space="preserve">La fermeture transitive appliquée au graphe des positions </w:t>
      </w:r>
      <w:r>
        <w:rPr>
          <w:b/>
          <w:bCs/>
          <w:lang w:val="fr-FR"/>
        </w:rPr>
        <w:t>révèle</w:t>
      </w:r>
      <w:r>
        <w:rPr>
          <w:lang w:val="fr-FR"/>
        </w:rPr>
        <w:t xml:space="preserve"> les chemins réciproques par lesquels des dettes peuvent se compenser (si A doit à B et B à C, la recherche identifie le retour possible de C vers A). Cette révélation est un acte d'information, et non de création : elle met en évidence des réciprocités existant en puissance, sans nouer par elle-même aucune obligation.</w:t>
      </w:r>
    </w:p>
    <w:p w14:paraId="007ABF1A" w14:textId="77777777" w:rsidR="00FB6EF5" w:rsidRPr="00C46716" w:rsidRDefault="00000000">
      <w:pPr>
        <w:pStyle w:val="Corpsdetexte"/>
        <w:rPr>
          <w:lang w:val="fr-FR"/>
        </w:rPr>
      </w:pPr>
      <w:r>
        <w:rPr>
          <w:lang w:val="fr-FR"/>
        </w:rPr>
        <w:t>Un lien ainsi révélé ne devient effectif que lorsqu'il correspond à une transaction réelle, acceptée par les Membres concernés et inscrite conformément à l'Article 14. La détection propose ; l'acceptation réelle valide ; l'inscription enregistre. En aucun cas la fermeture transitive ne crée directement une créance entre deux patrimoines qui ne se devaient rien.</w:t>
      </w:r>
    </w:p>
    <w:p w14:paraId="0002097D" w14:textId="77777777" w:rsidR="00FB6EF5" w:rsidRPr="00C46716" w:rsidRDefault="00000000">
      <w:pPr>
        <w:pStyle w:val="Corpsdetexte"/>
        <w:rPr>
          <w:color w:val="0070C0"/>
          <w:sz w:val="28"/>
          <w:szCs w:val="28"/>
          <w:lang w:val="fr-FR"/>
        </w:rPr>
      </w:pPr>
      <w:r>
        <w:rPr>
          <w:b/>
          <w:bCs/>
          <w:color w:val="0070C0"/>
          <w:sz w:val="28"/>
          <w:szCs w:val="28"/>
          <w:lang w:val="fr-FR"/>
        </w:rPr>
        <w:t>Article 38 — Compensation cyclique et résorption des dettes réciproques</w:t>
      </w:r>
    </w:p>
    <w:p w14:paraId="6932A6FF" w14:textId="77777777" w:rsidR="00FB6EF5" w:rsidRPr="00C46716" w:rsidRDefault="00000000">
      <w:pPr>
        <w:pStyle w:val="Corpsdetexte"/>
        <w:rPr>
          <w:lang w:val="fr-FR"/>
        </w:rPr>
      </w:pPr>
      <w:r>
        <w:rPr>
          <w:lang w:val="fr-FR"/>
        </w:rPr>
        <w:t xml:space="preserve">La fermeture d'un cycle annule les obligations réciproques qui le composent (Art. 13). Sur l'ensemble du réseau, la compensation cyclique résorbe les dettes </w:t>
      </w:r>
      <w:r>
        <w:rPr>
          <w:b/>
          <w:bCs/>
          <w:lang w:val="fr-FR"/>
        </w:rPr>
        <w:t>à hauteur exacte des chemins réciproques trouvés</w:t>
      </w:r>
      <w:r>
        <w:rPr>
          <w:lang w:val="fr-FR"/>
        </w:rPr>
        <w:t xml:space="preserve"> : tout engagement appartenant à une boucle fermée s'éteint contre sa contrepartie.</w:t>
      </w:r>
    </w:p>
    <w:p w14:paraId="573D7EE1" w14:textId="77777777" w:rsidR="00FB6EF5" w:rsidRPr="00C46716" w:rsidRDefault="00000000">
      <w:pPr>
        <w:pStyle w:val="Corpsdetexte"/>
        <w:rPr>
          <w:lang w:val="fr-FR"/>
        </w:rPr>
      </w:pPr>
      <w:r>
        <w:rPr>
          <w:lang w:val="fr-FR"/>
        </w:rPr>
        <w:t xml:space="preserve">Cette résorption réduit le montant </w:t>
      </w:r>
      <w:r>
        <w:rPr>
          <w:b/>
          <w:bCs/>
          <w:lang w:val="fr-FR"/>
        </w:rPr>
        <w:t>brut</w:t>
      </w:r>
      <w:r>
        <w:rPr>
          <w:lang w:val="fr-FR"/>
        </w:rPr>
        <w:t xml:space="preserve"> des créances et dettes croisées entre Membres, et donc le besoin de trésorerie nécessaire à leur dénouement, sans mobiliser d'argent frais. Elle laisse en revanche inchangée toute dette </w:t>
      </w:r>
      <w:r>
        <w:rPr>
          <w:b/>
          <w:bCs/>
          <w:lang w:val="fr-FR"/>
        </w:rPr>
        <w:t>nette</w:t>
      </w:r>
      <w:r>
        <w:rPr>
          <w:lang w:val="fr-FR"/>
        </w:rPr>
        <w:t xml:space="preserve"> contractée envers un tiers extérieur au réseau, laquelle, faute de contrepartie miroir dans le graphe, n'appartient à aucun cycle et ne peut être éteinte par compensation.</w:t>
      </w:r>
    </w:p>
    <w:p w14:paraId="6D39636A" w14:textId="77777777" w:rsidR="00FB6EF5" w:rsidRPr="00C46716" w:rsidRDefault="00000000" w:rsidP="00911EBB">
      <w:pPr>
        <w:pStyle w:val="Normalcentr"/>
        <w:ind w:left="0"/>
        <w:rPr>
          <w:lang w:val="fr-FR"/>
        </w:rPr>
      </w:pPr>
      <w:r>
        <w:rPr>
          <w:b/>
          <w:bCs/>
          <w:lang w:val="fr-FR"/>
        </w:rPr>
        <w:t>Précision.</w:t>
      </w:r>
      <w:r>
        <w:rPr>
          <w:lang w:val="fr-FR"/>
        </w:rPr>
        <w:t xml:space="preserve"> Le dispositif réduit le brut des dettes réciproques internes ; il ne diminue pas la dette nette du réseau envers l'extérieur. Toute présentation de ses effets distingue expressément ces deux grandeurs.</w:t>
      </w:r>
    </w:p>
    <w:p w14:paraId="4DA7C601" w14:textId="77777777" w:rsidR="00FB6EF5" w:rsidRPr="00C46716" w:rsidRDefault="00000000">
      <w:pPr>
        <w:pStyle w:val="FirstParagraph"/>
        <w:rPr>
          <w:color w:val="0070C0"/>
          <w:sz w:val="28"/>
          <w:szCs w:val="28"/>
          <w:lang w:val="fr-FR"/>
        </w:rPr>
      </w:pPr>
      <w:r>
        <w:rPr>
          <w:b/>
          <w:bCs/>
          <w:color w:val="0070C0"/>
          <w:sz w:val="28"/>
          <w:szCs w:val="28"/>
          <w:lang w:val="fr-FR"/>
        </w:rPr>
        <w:t>Article 39 — Tenue, intégrité et valeur probante des registres</w:t>
      </w:r>
    </w:p>
    <w:p w14:paraId="3863EECD" w14:textId="77777777" w:rsidR="00FB6EF5" w:rsidRPr="00C46716" w:rsidRDefault="00000000">
      <w:pPr>
        <w:pStyle w:val="Corpsdetexte"/>
        <w:rPr>
          <w:lang w:val="fr-FR"/>
        </w:rPr>
      </w:pPr>
      <w:r>
        <w:rPr>
          <w:lang w:val="fr-FR"/>
        </w:rPr>
        <w:t>Le registre du graphe et l'état hors bilan des grandeurs civilisationnelles respectent, par analogie, les garanties d'intégrité des articles 420-1 à 420-5 du Plan comptable général : intangibilité et irréversibilité des inscriptions validées, toute correction s'opérant par contre-passation horodatée ; permanence du chemin de révision, chaque inscription étant reliée à sa pièce justificative et, pour l'état hors bilan, au rapport d'impact certifié correspondant ; numérotation chronologique et unicité du fichier par exercice.</w:t>
      </w:r>
    </w:p>
    <w:p w14:paraId="6CCD1187" w14:textId="77777777" w:rsidR="00FB6EF5" w:rsidRPr="00C46716" w:rsidRDefault="00000000">
      <w:pPr>
        <w:pStyle w:val="Corpsdetexte"/>
        <w:rPr>
          <w:lang w:val="fr-FR"/>
        </w:rPr>
      </w:pPr>
      <w:r>
        <w:rPr>
          <w:lang w:val="fr-FR"/>
        </w:rPr>
        <w:t>Le registre, tenu sur support durable et horodaté, assorti d'un procédé d'identification fiable, fait foi des inscriptions dans les conditions des articles 1365 et 1366 du Code civil. Le système support interdit toute suppression ou modification d'une inscription validée.</w:t>
      </w:r>
    </w:p>
    <w:p w14:paraId="122646D5" w14:textId="77777777" w:rsidR="00FB6EF5" w:rsidRPr="00C46716" w:rsidRDefault="00000000">
      <w:pPr>
        <w:pStyle w:val="Corpsdetexte"/>
        <w:rPr>
          <w:color w:val="0070C0"/>
          <w:sz w:val="28"/>
          <w:szCs w:val="28"/>
          <w:lang w:val="fr-FR"/>
        </w:rPr>
      </w:pPr>
      <w:r>
        <w:rPr>
          <w:b/>
          <w:bCs/>
          <w:color w:val="0070C0"/>
          <w:sz w:val="28"/>
          <w:szCs w:val="28"/>
          <w:lang w:val="fr-FR"/>
        </w:rPr>
        <w:t>Article 40 — Reddition de comptes</w:t>
      </w:r>
    </w:p>
    <w:p w14:paraId="61780450" w14:textId="77777777" w:rsidR="00FB6EF5" w:rsidRPr="00C46716" w:rsidRDefault="00000000">
      <w:pPr>
        <w:pStyle w:val="Corpsdetexte"/>
        <w:rPr>
          <w:lang w:val="fr-FR"/>
        </w:rPr>
      </w:pPr>
      <w:r>
        <w:rPr>
          <w:lang w:val="fr-FR"/>
        </w:rPr>
        <w:t xml:space="preserve">L'entité porteuse et, le cas échéant, chaque Membre produisent des comptes ordinaires donnant une image fidèle des transactions réelles et de leurs soldes. Il est produit, en outre, un </w:t>
      </w:r>
      <w:r>
        <w:rPr>
          <w:b/>
          <w:bCs/>
          <w:lang w:val="fr-FR"/>
        </w:rPr>
        <w:t>rapport extra-comptable distinct</w:t>
      </w:r>
      <w:r>
        <w:rPr>
          <w:lang w:val="fr-FR"/>
        </w:rPr>
        <w:t>, présentant les grandeurs civilisationnelles suivies hors bilan — par ODD, par territoire, par contributeur et par période — ainsi que la valeur civilisationnelle nette de l'exercice.</w:t>
      </w:r>
    </w:p>
    <w:p w14:paraId="544A4DF9" w14:textId="77777777" w:rsidR="00FB6EF5" w:rsidRPr="00C46716" w:rsidRDefault="00000000">
      <w:pPr>
        <w:pStyle w:val="Corpsdetexte"/>
        <w:rPr>
          <w:lang w:val="fr-FR"/>
        </w:rPr>
      </w:pPr>
      <w:r>
        <w:rPr>
          <w:lang w:val="fr-FR"/>
        </w:rPr>
        <w:t>Le rapport extra-comptable précise expressément qu'il présente des grandeurs extra-financières hors bilan, non des produits ou actifs comptables, et renvoie aux comptes ordinaires pour les flux réels. Il peut alimenter les rapports de durabilité et les rapports publics de progression vers les ODD.</w:t>
      </w:r>
    </w:p>
    <w:p w14:paraId="419E2C4A" w14:textId="77777777" w:rsidR="00FB6EF5" w:rsidRPr="00C46716" w:rsidRDefault="00000000">
      <w:pPr>
        <w:pStyle w:val="Corpsdetexte"/>
        <w:rPr>
          <w:color w:val="0070C0"/>
          <w:sz w:val="28"/>
          <w:szCs w:val="28"/>
          <w:lang w:val="fr-FR"/>
        </w:rPr>
      </w:pPr>
      <w:r>
        <w:rPr>
          <w:b/>
          <w:bCs/>
          <w:color w:val="0070C0"/>
          <w:sz w:val="28"/>
          <w:szCs w:val="28"/>
          <w:lang w:val="fr-FR"/>
        </w:rPr>
        <w:t>Article 41 — Réserve de conformité comptable</w:t>
      </w:r>
    </w:p>
    <w:p w14:paraId="6C15DCC2" w14:textId="77777777" w:rsidR="00FB6EF5" w:rsidRPr="00C46716" w:rsidRDefault="00000000">
      <w:pPr>
        <w:pStyle w:val="Corpsdetexte"/>
        <w:rPr>
          <w:lang w:val="fr-FR"/>
        </w:rPr>
      </w:pPr>
      <w:r>
        <w:rPr>
          <w:lang w:val="fr-FR"/>
        </w:rPr>
        <w:t>Le présent Titre doit être validé par un expert-comptable et, pour la frontière avec les services de paiement (tenue de comptes de tiers, transfert de fonds), par un conseil en droit bancaire, avant toute mise en œuvre. La qualification définitive de chaque traitement dépendant de détails d'exécution, les stipulations du présent Titre s'appliquent sous réserve de cette validation et de l'Article 57 des clauses finales.</w:t>
      </w:r>
    </w:p>
    <w:p w14:paraId="1DC3026D" w14:textId="77777777" w:rsidR="00FB6EF5" w:rsidRPr="00C46716" w:rsidRDefault="00000000">
      <w:pPr>
        <w:pStyle w:val="Titre1"/>
        <w:rPr>
          <w:lang w:val="fr-FR"/>
        </w:rPr>
      </w:pPr>
      <w:bookmarkStart w:id="20" w:name="titre-ix-gouvernance"/>
      <w:bookmarkEnd w:id="16"/>
      <w:bookmarkEnd w:id="19"/>
      <w:r>
        <w:rPr>
          <w:lang w:val="fr-FR"/>
        </w:rPr>
        <w:t>Titre IX — Gouvernance</w:t>
      </w:r>
    </w:p>
    <w:p w14:paraId="5D40E47D" w14:textId="77777777" w:rsidR="00FB6EF5" w:rsidRPr="00C46716" w:rsidRDefault="00000000">
      <w:pPr>
        <w:pStyle w:val="FirstParagraph"/>
        <w:rPr>
          <w:lang w:val="fr-FR"/>
        </w:rPr>
      </w:pPr>
      <w:r>
        <w:rPr>
          <w:lang w:val="fr-FR"/>
        </w:rPr>
        <w:t>Le présent Titre institue l’Organe de Gouvernance, définit sa nature, sa composition et ses missions, et encadre strictement ses pouvoirs. L’Organe administre le dispositif sans jamais en altérer les invariants : il met à disposition les outils de transmission, veille à la bonne tenue algorithmique du graphe, contrôle les opérations, anime le réseau et rend compte, mais il ne dispose ni du Capital d’Ancrage, ni des soldes, ni des unités internes, dont la nature et les limites sont fixées aux Titres précédents.</w:t>
      </w:r>
    </w:p>
    <w:p w14:paraId="1D8A87E6" w14:textId="77777777" w:rsidR="00FB6EF5" w:rsidRPr="00C46716" w:rsidRDefault="00000000">
      <w:pPr>
        <w:pStyle w:val="Titre2"/>
        <w:rPr>
          <w:lang w:val="fr-FR"/>
        </w:rPr>
      </w:pPr>
      <w:bookmarkStart w:id="21" w:name="Xa901437637f5316d08ea773a2a877ed6021a20b"/>
      <w:r>
        <w:rPr>
          <w:lang w:val="fr-FR"/>
        </w:rPr>
        <w:t>Article 42 — Nature, composition et mission de l’Organe de Gouvernance</w:t>
      </w:r>
    </w:p>
    <w:p w14:paraId="668C3907" w14:textId="77777777" w:rsidR="00FB6EF5" w:rsidRPr="00C46716" w:rsidRDefault="00000000">
      <w:pPr>
        <w:pStyle w:val="FirstParagraph"/>
        <w:rPr>
          <w:lang w:val="fr-FR"/>
        </w:rPr>
      </w:pPr>
      <w:r>
        <w:rPr>
          <w:lang w:val="fr-FR"/>
        </w:rPr>
        <w:t xml:space="preserve">L’Organe de Gouvernance est l’organe par lequel la communauté des Membres administre le dispositif et agit en son nom (Préambule). Il est un administrateur au service du commun, et non un propriétaire : il n’exerce aucun </w:t>
      </w:r>
      <w:r>
        <w:rPr>
          <w:i/>
          <w:iCs/>
          <w:lang w:val="fr-FR"/>
        </w:rPr>
        <w:t>abusus</w:t>
      </w:r>
      <w:r>
        <w:rPr>
          <w:lang w:val="fr-FR"/>
        </w:rPr>
        <w:t>, ne détient aucun pouvoir de disposition sur le Capital d’Ancrage (Art. 2 et 3), ne crée ni n’éteint discrétionnairement aucune unité interne, et ne peut modifier aucun solde en dehors des mécanismes de compensation prévus aux Articles 13, 37 et 38.</w:t>
      </w:r>
    </w:p>
    <w:p w14:paraId="2C749D68" w14:textId="77777777" w:rsidR="00FB6EF5" w:rsidRPr="00C46716" w:rsidRDefault="00000000">
      <w:pPr>
        <w:pStyle w:val="Corpsdetexte"/>
        <w:rPr>
          <w:lang w:val="fr-FR"/>
        </w:rPr>
      </w:pPr>
      <w:r>
        <w:rPr>
          <w:lang w:val="fr-FR"/>
        </w:rPr>
        <w:t>Sa composition procède des Membres et respecte la symétrie qui fonde le dispositif : chaque Membre y dispose d’une voix égale, sans que l’ancienneté, le volume échangé ou une quelconque position créditrice ne confèrent de pouvoir supplémentaire (Titre IV ; Art. 32). Ses membres sont élus pour un mandat de durée déterminée, renouvelable et révocable selon une procédure contradictoire, dans les conditions fixées à l’Annexe 6. L’Organe peut se doter de comités spécialisés — technique, contrôle, animation — et recourir à des prestataires, sous sa responsabilité.</w:t>
      </w:r>
    </w:p>
    <w:p w14:paraId="10C76CC9" w14:textId="77777777" w:rsidR="00FB6EF5" w:rsidRPr="00C46716" w:rsidRDefault="00000000">
      <w:pPr>
        <w:pStyle w:val="Corpsdetexte"/>
        <w:rPr>
          <w:lang w:val="fr-FR"/>
        </w:rPr>
      </w:pPr>
      <w:r>
        <w:rPr>
          <w:lang w:val="fr-FR"/>
        </w:rPr>
        <w:t>Sa mission générale est quintuple : (i) mettre à disposition les outils de transmission numérique (Art. 43) ; (ii) assurer la bonne gestion algorithmique du graphe (Art. 44) ; (iii) contrôler la conformité des opérations (Art. 45) ; (iv) animer le réseau (Art. 46) ; (v) rendre compte annuellement de son activité (Art. 47). Il exerce ces missions dans le respect des Principes directeurs de la décision : l’acceptabilité (Principe I) prime la préférence (Principe II), et aucune considération de performance ne peut justifier une opération inacceptable.</w:t>
      </w:r>
    </w:p>
    <w:p w14:paraId="4DA511DE" w14:textId="77777777" w:rsidR="00FB6EF5" w:rsidRPr="00C46716" w:rsidRDefault="00000000">
      <w:pPr>
        <w:pStyle w:val="Corpsdetexte"/>
        <w:rPr>
          <w:lang w:val="fr-FR"/>
        </w:rPr>
      </w:pPr>
      <w:r>
        <w:rPr>
          <w:lang w:val="fr-FR"/>
        </w:rPr>
        <w:t>Ses décisions sont bornées par le contrat : elles ne peuvent contrevenir à l’équilibre du graphe (∑ s</w:t>
      </w:r>
      <w:r>
        <w:t>ᵢ</w:t>
      </w:r>
      <w:r>
        <w:rPr>
          <w:lang w:val="fr-FR"/>
        </w:rPr>
        <w:t xml:space="preserve"> = 0, Art. 12), aux fourchettes individuelles (Art. 18), au plafond d’exposition (∑ </w:t>
      </w:r>
      <w:r>
        <w:t>δᵢ</w:t>
      </w:r>
      <w:r>
        <w:rPr>
          <w:lang w:val="fr-FR"/>
        </w:rPr>
        <w:t xml:space="preserve"> ≤ K, Art. 18), ni à la pureté du noyau (Art. 27). Les membres de l’Organe sont tenus à une obligation de bonne foi (art. 1104 du Code civil), de diligence et de prévention des conflits d’intérêts ; ils répondent de leurs fautes de gestion selon le droit commun.</w:t>
      </w:r>
    </w:p>
    <w:p w14:paraId="50AB49FD" w14:textId="77777777" w:rsidR="00FB6EF5" w:rsidRPr="00C46716" w:rsidRDefault="00000000">
      <w:pPr>
        <w:pStyle w:val="Titre2"/>
        <w:rPr>
          <w:lang w:val="fr-FR"/>
        </w:rPr>
      </w:pPr>
      <w:bookmarkStart w:id="22" w:name="X97bfc517cc24ff0241d51ee573d03c46a35f9f0"/>
      <w:bookmarkEnd w:id="21"/>
      <w:r>
        <w:rPr>
          <w:lang w:val="fr-FR"/>
        </w:rPr>
        <w:t>Article 43 — Outils de transmission numérique et infrastructure du registre</w:t>
      </w:r>
    </w:p>
    <w:p w14:paraId="56424EAB" w14:textId="77777777" w:rsidR="00FB6EF5" w:rsidRPr="00C46716" w:rsidRDefault="00000000">
      <w:pPr>
        <w:pStyle w:val="FirstParagraph"/>
        <w:rPr>
          <w:lang w:val="fr-FR"/>
        </w:rPr>
      </w:pPr>
      <w:r>
        <w:rPr>
          <w:lang w:val="fr-FR"/>
        </w:rPr>
        <w:t>L’Organe met à la disposition des Membres les outils numériques par lesquels ils déclarent leur offre et leur demande (Art. 11), inscrivent leurs engagements (Art. 14), consultent leur solde et l’état de leurs cycles, et expriment leur soutien aux Projets (Art. 32). Ces outils sont l’interface du registre du graphe (Art. 12 à 14) et de l’état hors bilan des grandeurs civilisationnelles (Art. 33).</w:t>
      </w:r>
    </w:p>
    <w:p w14:paraId="48D0D534" w14:textId="77777777" w:rsidR="00FB6EF5" w:rsidRPr="00C46716" w:rsidRDefault="00000000">
      <w:pPr>
        <w:pStyle w:val="Corpsdetexte"/>
        <w:rPr>
          <w:lang w:val="fr-FR"/>
        </w:rPr>
      </w:pPr>
      <w:r>
        <w:rPr>
          <w:lang w:val="fr-FR"/>
        </w:rPr>
        <w:t>L’infrastructure est tenue sur support durable et horodaté, assortie d’un procédé d’identification fiable et des garanties d’intégrité requises pour la valeur probante des inscriptions (Art. 39 et 55). Elle assure la sécurité des systèmes et la protection des données personnelles conformément à la réglementation applicable. Ces outils transmettent l’information et mesurent les échanges ; ils n’encaissent, ne détiennent ni ne transfèrent aucune somme en euros pour le compte de tiers, en cohérence avec la pureté du noyau (Art. 27).</w:t>
      </w:r>
    </w:p>
    <w:p w14:paraId="0E9018FD" w14:textId="77777777" w:rsidR="00FB6EF5" w:rsidRPr="00C46716" w:rsidRDefault="00000000">
      <w:pPr>
        <w:pStyle w:val="Corpsdetexte"/>
        <w:rPr>
          <w:lang w:val="fr-FR"/>
        </w:rPr>
      </w:pPr>
      <w:r>
        <w:rPr>
          <w:lang w:val="fr-FR"/>
        </w:rPr>
        <w:t>L’Organe garantit l’accessibilité, l’interopérabilité et la portabilité : les Membres accèdent au dispositif sans dépendance à un fournisseur exclusif, et récupèrent à tout moment les données relatives à leurs propres positions, notamment en vue de leur sortie (Art. 25). Les spécifications techniques et les règles de fonctionnement des outils sont documentées et rendues consultables par les Membres.</w:t>
      </w:r>
    </w:p>
    <w:p w14:paraId="491B675E" w14:textId="77777777" w:rsidR="00FB6EF5" w:rsidRPr="00C46716" w:rsidRDefault="00000000">
      <w:pPr>
        <w:pStyle w:val="Titre2"/>
        <w:rPr>
          <w:lang w:val="fr-FR"/>
        </w:rPr>
      </w:pPr>
      <w:bookmarkStart w:id="23" w:name="Xdd92dc6fdb139c5e1386ceff12f221ada5e398e"/>
      <w:bookmarkEnd w:id="22"/>
      <w:r>
        <w:rPr>
          <w:lang w:val="fr-FR"/>
        </w:rPr>
        <w:t>Article 44 — Gestion algorithmique du graphe</w:t>
      </w:r>
    </w:p>
    <w:p w14:paraId="3B596999" w14:textId="77777777" w:rsidR="00FB6EF5" w:rsidRPr="00C46716" w:rsidRDefault="00000000">
      <w:pPr>
        <w:pStyle w:val="FirstParagraph"/>
        <w:rPr>
          <w:lang w:val="fr-FR"/>
        </w:rPr>
      </w:pPr>
      <w:r>
        <w:rPr>
          <w:lang w:val="fr-FR"/>
        </w:rPr>
        <w:t xml:space="preserve">L’Organe opère les traitements algorithmiques qui tiennent le graphe (Art. 12), recherchent les cycles de compensation (Art. 13 et 37) et procèdent à la compensation cyclique (Art. 38), ainsi que la procédure de priorisation par vote de consensus dite </w:t>
      </w:r>
      <w:r>
        <w:rPr>
          <w:i/>
          <w:iCs/>
          <w:lang w:val="fr-FR"/>
        </w:rPr>
        <w:t>Welfare Optimisation</w:t>
      </w:r>
      <w:r>
        <w:rPr>
          <w:lang w:val="fr-FR"/>
        </w:rPr>
        <w:t xml:space="preserve"> (Art. 31).</w:t>
      </w:r>
    </w:p>
    <w:p w14:paraId="7034F45C" w14:textId="77777777" w:rsidR="00FB6EF5" w:rsidRPr="00C46716" w:rsidRDefault="00000000">
      <w:pPr>
        <w:pStyle w:val="Corpsdetexte"/>
        <w:rPr>
          <w:lang w:val="fr-FR"/>
        </w:rPr>
      </w:pPr>
      <w:r>
        <w:rPr>
          <w:lang w:val="fr-FR"/>
        </w:rPr>
        <w:t>Ces algorithmes appliquent, dans l’ordre non commutatif fixé au Préambule, le Principe I avant le Principe II : ils vérifient d’abord l’acceptabilité de chaque opération — équilibre des engagements, respect des fourchettes [−</w:t>
      </w:r>
      <w:r>
        <w:t>δᵢ</w:t>
      </w:r>
      <w:r>
        <w:rPr>
          <w:lang w:val="fr-FR"/>
        </w:rPr>
        <w:t>, +</w:t>
      </w:r>
      <w:r>
        <w:t>δᵢ</w:t>
      </w:r>
      <w:r>
        <w:rPr>
          <w:lang w:val="fr-FR"/>
        </w:rPr>
        <w:t xml:space="preserve">] (Art. 18) et du plafond ∑ </w:t>
      </w:r>
      <w:r>
        <w:t>δᵢ</w:t>
      </w:r>
      <w:r>
        <w:rPr>
          <w:lang w:val="fr-FR"/>
        </w:rPr>
        <w:t xml:space="preserve"> ≤ K (Art. 18) — puis, parmi les seules opérations acceptables, ordonnent les préférences. Une opération inacceptable n’est jamais inscrite, quelle que soit sa valeur.</w:t>
      </w:r>
    </w:p>
    <w:p w14:paraId="3A8F6F33" w14:textId="77777777" w:rsidR="00FB6EF5" w:rsidRPr="00C46716" w:rsidRDefault="00000000">
      <w:pPr>
        <w:pStyle w:val="Corpsdetexte"/>
        <w:rPr>
          <w:lang w:val="fr-FR"/>
        </w:rPr>
      </w:pPr>
      <w:r>
        <w:rPr>
          <w:lang w:val="fr-FR"/>
        </w:rPr>
        <w:t xml:space="preserve">La gestion algorithmique est régie par trois exigences. D’abord la </w:t>
      </w:r>
      <w:r>
        <w:rPr>
          <w:b/>
          <w:bCs/>
          <w:lang w:val="fr-FR"/>
        </w:rPr>
        <w:t>neutralité</w:t>
      </w:r>
      <w:r>
        <w:rPr>
          <w:lang w:val="fr-FR"/>
        </w:rPr>
        <w:t xml:space="preserve"> : les règles s’appliquent à tous les Membres de manière identique, sans discrimination (Art. 11). Ensuite la </w:t>
      </w:r>
      <w:r>
        <w:rPr>
          <w:b/>
          <w:bCs/>
          <w:lang w:val="fr-FR"/>
        </w:rPr>
        <w:t>transparence et l’auditabilité</w:t>
      </w:r>
      <w:r>
        <w:rPr>
          <w:lang w:val="fr-FR"/>
        </w:rPr>
        <w:t xml:space="preserve"> : les algorithmes, leurs paramètres (Annexe 4) et leurs journaux sont documentés, reproductibles et vérifiables ; toute évolution substantielle est portée à la connaissance des Membres et approuvée dans les conditions de l’Article 46. Enfin la </w:t>
      </w:r>
      <w:r>
        <w:rPr>
          <w:b/>
          <w:bCs/>
          <w:lang w:val="fr-FR"/>
        </w:rPr>
        <w:t>subordination au réel</w:t>
      </w:r>
      <w:r>
        <w:rPr>
          <w:lang w:val="fr-FR"/>
        </w:rPr>
        <w:t xml:space="preserve"> : la détection d’un cycle propose, l’acceptation des Membres concernés valide, l’inscription enregistre (Art. 14 et 37) ; en aucun cas l’algorithme ne noue par lui-même une obligation entre des Membres qui ne se devaient rien.</w:t>
      </w:r>
    </w:p>
    <w:p w14:paraId="2BA9C215" w14:textId="77777777" w:rsidR="00FB6EF5" w:rsidRPr="00C46716" w:rsidRDefault="00000000">
      <w:pPr>
        <w:pStyle w:val="Titre2"/>
        <w:rPr>
          <w:lang w:val="fr-FR"/>
        </w:rPr>
      </w:pPr>
      <w:bookmarkStart w:id="24" w:name="Xf8b5efadacbe754dd616a9ce26ac7a0c99f1c44"/>
      <w:bookmarkEnd w:id="23"/>
      <w:r>
        <w:rPr>
          <w:lang w:val="fr-FR"/>
        </w:rPr>
        <w:t>Article 45 — Contrôle des opérations du graphe</w:t>
      </w:r>
    </w:p>
    <w:p w14:paraId="2A876F34" w14:textId="77777777" w:rsidR="00FB6EF5" w:rsidRPr="00C46716" w:rsidRDefault="00000000">
      <w:pPr>
        <w:pStyle w:val="FirstParagraph"/>
        <w:rPr>
          <w:lang w:val="fr-FR"/>
        </w:rPr>
      </w:pPr>
      <w:r>
        <w:rPr>
          <w:lang w:val="fr-FR"/>
        </w:rPr>
        <w:t xml:space="preserve">L’Organe contrôle la conformité des opérations inscrites au graphe. Il vérifie, opération par opération, que chaque inscription respecte l’équilibre requis (Art. 14), les fourchettes individuelles (Art. 18) et, pour toute position débitrice, l’exigence de préfinancement intégral déposé en séquestre (Art. 21). Il s’assure que le plafond d’exposition (∑ </w:t>
      </w:r>
      <w:r>
        <w:t>δᵢ</w:t>
      </w:r>
      <w:r>
        <w:rPr>
          <w:lang w:val="fr-FR"/>
        </w:rPr>
        <w:t xml:space="preserve"> ≤ K, Art. 18) est constamment respecté.</w:t>
      </w:r>
    </w:p>
    <w:p w14:paraId="28C1F3FC" w14:textId="77777777" w:rsidR="00FB6EF5" w:rsidRPr="00C46716" w:rsidRDefault="00000000">
      <w:pPr>
        <w:pStyle w:val="Corpsdetexte"/>
        <w:rPr>
          <w:lang w:val="fr-FR"/>
        </w:rPr>
      </w:pPr>
      <w:r>
        <w:rPr>
          <w:lang w:val="fr-FR"/>
        </w:rPr>
        <w:t>Le contrôle exerce, au stade de l’inscription, la fonction de veto attachée au Principe I : l’opération qui léserait un Membre ou romprait l’équilibre n’accède pas au graphe. L’Organe veille à la séparation du noyau et de la frontière externe (Art. 27 et 29) : aucune somme en euros ne transite par le registre, la part externe de toute opération étant réglée par le Membre concerné sur ses fonds propres. Il veille pareillement à l’étanchéité des sphères comptables (Art. 33), en particulier à ce qu’aucune grandeur civilisationnelle ne soit portée au crédit d’une écriture ni convertie en moyen de règlement (Art. 35).</w:t>
      </w:r>
    </w:p>
    <w:p w14:paraId="33B9D913" w14:textId="77777777" w:rsidR="00FB6EF5" w:rsidRPr="00C46716" w:rsidRDefault="00000000">
      <w:pPr>
        <w:pStyle w:val="Corpsdetexte"/>
        <w:rPr>
          <w:lang w:val="fr-FR"/>
        </w:rPr>
      </w:pPr>
      <w:r>
        <w:rPr>
          <w:lang w:val="fr-FR"/>
        </w:rPr>
        <w:t>L’Organe détecte les anomalies, prévient toute tentative de concentration ou de contournement, et assure l’intégrité et l’irréversibilité des inscriptions validées, toute correction s’opérant par contre-passation horodatée (Art. 39). Il peut faire procéder à un audit indépendant et coopère, en tant que de besoin, avec l’expert-comptable (Art. 41) et le conseil en droit bancaire et financier (Art. 57). Les manquements d’un Membre relèvent du droit commun (Art. 26), sans protection dérogatoire.</w:t>
      </w:r>
    </w:p>
    <w:p w14:paraId="7BC96F29" w14:textId="77777777" w:rsidR="00FB6EF5" w:rsidRPr="00C46716" w:rsidRDefault="00000000">
      <w:pPr>
        <w:pStyle w:val="Titre2"/>
        <w:rPr>
          <w:lang w:val="fr-FR"/>
        </w:rPr>
      </w:pPr>
      <w:bookmarkStart w:id="25" w:name="article-36-animation-du-réseau"/>
      <w:bookmarkEnd w:id="24"/>
      <w:r>
        <w:rPr>
          <w:lang w:val="fr-FR"/>
        </w:rPr>
        <w:t>Article 46 — Animation du réseau</w:t>
      </w:r>
    </w:p>
    <w:p w14:paraId="79BA801C" w14:textId="77777777" w:rsidR="00FB6EF5" w:rsidRPr="00C46716" w:rsidRDefault="00000000">
      <w:pPr>
        <w:pStyle w:val="FirstParagraph"/>
        <w:rPr>
          <w:lang w:val="fr-FR"/>
        </w:rPr>
      </w:pPr>
      <w:r>
        <w:rPr>
          <w:lang w:val="fr-FR"/>
        </w:rPr>
        <w:t>L’Organe anime le réseau afin d’en accroître la richesse compensatoire, laquelle croît avec la densité et la diversité des relations (Art. 13). À cette fin, il facilite la rencontre de l’offre et de la demande, favorise l’internalisation de fournisseurs — qui réduit la part externe des opérations et donc le besoin de règlement en euros (Art. 29) — et accompagne les Membres dans l’usage du dispositif.</w:t>
      </w:r>
    </w:p>
    <w:p w14:paraId="02D1BB12" w14:textId="77777777" w:rsidR="00FB6EF5" w:rsidRPr="00C46716" w:rsidRDefault="00000000">
      <w:pPr>
        <w:pStyle w:val="Corpsdetexte"/>
        <w:rPr>
          <w:lang w:val="fr-FR"/>
        </w:rPr>
      </w:pPr>
      <w:r>
        <w:rPr>
          <w:lang w:val="fr-FR"/>
        </w:rPr>
        <w:t>Il instruit les admissions selon les critères objectifs, publics et non discriminatoires de l’Article 11 : nul remplissant ces critères et acceptant le présent contrat ne peut être arbitrairement exclu, tout refus est motivé et susceptible de réexamen, et la qualité de Membre ne peut être retirée que pour un manquement caractérisé, selon une procédure contradictoire. Il facilite les sorties dans les conditions de l’Article 25.</w:t>
      </w:r>
    </w:p>
    <w:p w14:paraId="43024F9F" w14:textId="77777777" w:rsidR="00FB6EF5" w:rsidRPr="00C46716" w:rsidRDefault="00000000">
      <w:pPr>
        <w:pStyle w:val="Corpsdetexte"/>
        <w:rPr>
          <w:lang w:val="fr-FR"/>
        </w:rPr>
      </w:pPr>
      <w:r>
        <w:rPr>
          <w:lang w:val="fr-FR"/>
        </w:rPr>
        <w:t>L’Organe peut proposer des actions de médiation entre Membres, sans que celles-ci ne fassent obstacle aux voies de recours de droit commun (Art. 26). Il coordonne, dans le respect de l’autonomie juridique de celui-ci, les relations avec le fonds de solidarité (Art. 29), lequel demeure seul habilité à manier des euros et distinct du noyau et du capital.</w:t>
      </w:r>
    </w:p>
    <w:p w14:paraId="4AB55570" w14:textId="77777777" w:rsidR="00FB6EF5" w:rsidRPr="00C46716" w:rsidRDefault="00000000">
      <w:pPr>
        <w:pStyle w:val="Titre2"/>
        <w:rPr>
          <w:lang w:val="fr-FR"/>
        </w:rPr>
      </w:pPr>
      <w:bookmarkStart w:id="26" w:name="X668574d288d7a895376b6d66e24a3a252f16afc"/>
      <w:bookmarkEnd w:id="25"/>
      <w:r>
        <w:rPr>
          <w:lang w:val="fr-FR"/>
        </w:rPr>
        <w:t>Article 47 — Rapport annuel d’activité et reddition</w:t>
      </w:r>
    </w:p>
    <w:p w14:paraId="299B8FE4" w14:textId="77777777" w:rsidR="00FB6EF5" w:rsidRPr="00C46716" w:rsidRDefault="00000000">
      <w:pPr>
        <w:pStyle w:val="FirstParagraph"/>
        <w:rPr>
          <w:lang w:val="fr-FR"/>
        </w:rPr>
      </w:pPr>
      <w:r>
        <w:rPr>
          <w:lang w:val="fr-FR"/>
        </w:rPr>
        <w:t>L’Organe établit et présente aux Membres, à chaque exercice, un rapport annuel d’activité. Ce rapport rend compte de l’état du réseau — nombre de Membres, volume des échanges, cycles compensés et richesse compensatoire mesurée par le nombre cyclomatique (Art. 13) — et atteste du respect des invariants de sécurité : nullité de la somme des soldes (∑ s</w:t>
      </w:r>
      <w:r>
        <w:t>ᵢ</w:t>
      </w:r>
      <w:r>
        <w:rPr>
          <w:lang w:val="fr-FR"/>
        </w:rPr>
        <w:t xml:space="preserve"> = 0, Art. 12), maintien des soldes dans leurs fourchettes (Art. 18) et respect du plafond d’exposition (∑ </w:t>
      </w:r>
      <w:r>
        <w:t>δᵢ</w:t>
      </w:r>
      <w:r>
        <w:rPr>
          <w:lang w:val="fr-FR"/>
        </w:rPr>
        <w:t xml:space="preserve"> ≤ K, Art. 18).</w:t>
      </w:r>
    </w:p>
    <w:p w14:paraId="4FEBEE60" w14:textId="77777777" w:rsidR="00FB6EF5" w:rsidRPr="00C46716" w:rsidRDefault="00000000">
      <w:pPr>
        <w:pStyle w:val="Corpsdetexte"/>
        <w:rPr>
          <w:lang w:val="fr-FR"/>
        </w:rPr>
      </w:pPr>
      <w:r>
        <w:rPr>
          <w:lang w:val="fr-FR"/>
        </w:rPr>
        <w:t>Le rapport d’activité est accompagné de la reddition de comptes prévue à l’Article 40 : d’une part les comptes ordinaires donnant une image fidèle des transactions réelles, d’autre part le rapport extra-comptable distinct présentant les grandeurs civilisationnelles suivies hors bilan (Art. 35 et 40). Il précise expressément que ces grandeurs sont des indicateurs extra-financiers, et non des produits ou des actifs comptables.</w:t>
      </w:r>
    </w:p>
    <w:p w14:paraId="2924BCD5" w14:textId="77777777" w:rsidR="00FB6EF5" w:rsidRDefault="00000000" w:rsidP="008109BD">
      <w:pPr>
        <w:pStyle w:val="Corpsdetexte"/>
        <w:spacing w:after="240"/>
        <w:rPr>
          <w:lang w:val="fr-FR"/>
        </w:rPr>
      </w:pPr>
      <w:r>
        <w:rPr>
          <w:lang w:val="fr-FR"/>
        </w:rPr>
        <w:t>Le rapport est communiqué aux Membres et au Propriétaire, soumis à l’approbation des Membres selon la procédure de l’Article 42, et peut alimenter les rapports de durabilité et les rapports publics de progression vers les Objectifs de Développement Durable. La responsabilité de l’Organe s’apprécie, notamment, au regard de la sincérité et de la complétude de cette reddition.</w:t>
      </w:r>
    </w:p>
    <w:p w14:paraId="016CF6B3" w14:textId="77777777" w:rsidR="008109BD" w:rsidRPr="008109BD" w:rsidRDefault="008109BD" w:rsidP="008109BD">
      <w:pPr>
        <w:pStyle w:val="Corpsdetexte"/>
        <w:spacing w:before="480"/>
        <w:rPr>
          <w:rFonts w:ascii="Calibri" w:hAnsi="Calibri" w:cs="Calibri"/>
          <w:color w:val="0070C0"/>
          <w:sz w:val="28"/>
          <w:szCs w:val="28"/>
          <w:lang w:val="fr-FR"/>
        </w:rPr>
      </w:pPr>
      <w:r>
        <w:rPr>
          <w:rFonts w:ascii="Calibri" w:hAnsi="Calibri" w:cs="Calibri"/>
          <w:b/>
          <w:bCs/>
          <w:color w:val="0070C0"/>
          <w:sz w:val="28"/>
          <w:szCs w:val="28"/>
          <w:lang w:val="fr-FR"/>
        </w:rPr>
        <w:t>Titre X — Paramètres des activités et exclusion bancaire</w:t>
      </w:r>
    </w:p>
    <w:p w14:paraId="4C40D0CC" w14:textId="77777777" w:rsidR="008109BD" w:rsidRPr="008109BD" w:rsidRDefault="008109BD" w:rsidP="008109BD">
      <w:pPr>
        <w:pStyle w:val="Corpsdetexte"/>
        <w:rPr>
          <w:lang w:val="fr-FR"/>
        </w:rPr>
      </w:pPr>
      <w:r>
        <w:rPr>
          <w:lang w:val="fr-FR"/>
        </w:rPr>
        <w:t>Le présent Titre a pour objet de qualifier négativement le dispositif — en écartant, une à une, les qualifications réglementées auxquelles sa ressemblance de surface pourrait le faire faussement rattacher — puis de le qualifier positivement, en énonçant ce qu'il est. Les exclusions qui suivent ne valent qu'autant que la pureté du noyau (Art. 27) est effectivement tenue : elles décrivent la structure telle que le contrat la définit, et cessent de protéger si l'exécution s'en écarte.</w:t>
      </w:r>
    </w:p>
    <w:p w14:paraId="6D96FC8C"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48 — Le dispositif n'est pas un établissement de crédit</w:t>
      </w:r>
    </w:p>
    <w:p w14:paraId="54637561" w14:textId="77777777" w:rsidR="008109BD" w:rsidRPr="008109BD" w:rsidRDefault="008109BD" w:rsidP="008109BD">
      <w:pPr>
        <w:pStyle w:val="Corpsdetexte"/>
        <w:rPr>
          <w:lang w:val="fr-FR"/>
        </w:rPr>
      </w:pPr>
      <w:r>
        <w:rPr>
          <w:lang w:val="fr-FR"/>
        </w:rPr>
        <w:t>Le dispositif ne reçoit aucun fonds remboursable du public et n'octroie aucun crédit pour son propre compte au sens de l'article L. 511-1 du Code monétaire et financier. Il ne crée aucune monnaie : la somme algébrique des soldes internes demeure constamment nulle (∑ sᵢ = 0, Art. 12), de sorte qu'aucune ressource nouvelle n'est produite par inscription. Là où l'établissement de crédit fait croître la masse monétaire par le crédit, le dispositif conserve une somme identiquement nulle. Il n'exerce donc, à aucun titre, l'activité d'établissement de crédit et n'est soumis à aucun agrément à ce titre.</w:t>
      </w:r>
    </w:p>
    <w:p w14:paraId="069AE116" w14:textId="77777777" w:rsidR="008109BD" w:rsidRPr="008109BD" w:rsidRDefault="008109BD" w:rsidP="008109BD">
      <w:pPr>
        <w:pStyle w:val="Corpsdetexte"/>
        <w:rPr>
          <w:rFonts w:asciiTheme="majorHAnsi" w:hAnsiTheme="majorHAnsi" w:cstheme="majorHAnsi"/>
          <w:color w:val="0070C0"/>
          <w:sz w:val="28"/>
          <w:szCs w:val="28"/>
          <w:lang w:val="fr-FR"/>
        </w:rPr>
      </w:pPr>
      <w:r>
        <w:rPr>
          <w:rFonts w:asciiTheme="majorHAnsi" w:hAnsiTheme="majorHAnsi" w:cstheme="majorHAnsi"/>
          <w:b/>
          <w:bCs/>
          <w:color w:val="0070C0"/>
          <w:sz w:val="28"/>
          <w:szCs w:val="28"/>
          <w:lang w:val="fr-FR"/>
        </w:rPr>
        <w:t>Article 49 — Le dispositif n'est pas un prestataire de services de paiement</w:t>
      </w:r>
    </w:p>
    <w:p w14:paraId="7EB9AA1B" w14:textId="77777777" w:rsidR="008109BD" w:rsidRPr="008109BD" w:rsidRDefault="008109BD" w:rsidP="008109BD">
      <w:pPr>
        <w:pStyle w:val="Corpsdetexte"/>
        <w:rPr>
          <w:lang w:val="fr-FR"/>
        </w:rPr>
      </w:pPr>
      <w:r>
        <w:rPr>
          <w:lang w:val="fr-FR"/>
        </w:rPr>
        <w:t>Les services de paiement sont définis par une liste limitative (art. L. 314-1, II du Code monétaire et financier) : exécution d'opérations de paiement, virements, prélèvements, transmission de fonds, acquisition ou émission d'instruments de paiement, tenue de comptes de paiement. Le dispositif ne fournit aucun de ces services.</w:t>
      </w:r>
    </w:p>
    <w:p w14:paraId="33BFD8F4" w14:textId="77777777" w:rsidR="008109BD" w:rsidRPr="008109BD" w:rsidRDefault="008109BD" w:rsidP="008109BD">
      <w:pPr>
        <w:pStyle w:val="Corpsdetexte"/>
        <w:rPr>
          <w:lang w:val="fr-FR"/>
        </w:rPr>
      </w:pPr>
      <w:r>
        <w:rPr>
          <w:lang w:val="fr-FR"/>
        </w:rPr>
        <w:t xml:space="preserve">Il procède exclusivement à la </w:t>
      </w:r>
      <w:r>
        <w:rPr>
          <w:b/>
          <w:bCs/>
          <w:lang w:val="fr-FR"/>
        </w:rPr>
        <w:t>compensation de créances et de dettes réciproques</w:t>
      </w:r>
      <w:r>
        <w:rPr>
          <w:lang w:val="fr-FR"/>
        </w:rPr>
        <w:t>, mode d'extinction des obligations distinct du paiement (art. 1347 et 1348-2 du Code civil), qui n'emporte aucun mouvement de fonds. Aucune somme en euros n'est reçue, détenue ni transférée par l'opérateur pour le compte des Membres (Art. 27). Le monopole des articles L. 521-1 et suivants, qui suppose la fourniture d'un service de paiement à des tiers, n'a donc pas de prise sur le dispositif.</w:t>
      </w:r>
    </w:p>
    <w:p w14:paraId="61F2C7F4" w14:textId="77777777" w:rsidR="008109BD" w:rsidRPr="008109BD" w:rsidRDefault="008109BD" w:rsidP="008109BD">
      <w:pPr>
        <w:pStyle w:val="Corpsdetexte"/>
        <w:rPr>
          <w:lang w:val="fr-FR"/>
        </w:rPr>
      </w:pPr>
      <w:r>
        <w:rPr>
          <w:b/>
          <w:bCs/>
          <w:lang w:val="fr-FR"/>
        </w:rPr>
        <w:t xml:space="preserve">Deux digues conditionnent cette exclusion. </w:t>
      </w:r>
      <w:r>
        <w:rPr>
          <w:lang w:val="fr-FR"/>
        </w:rPr>
        <w:t>L'objection « services de paiement » ne renaîtrait que si (i) des fonds venaient à transiter effectivement par l'opérateur, ou (ii) les unités internes devenaient transférables et circulaient comme moyen de paiement. Le contrat interdit expressément l'un et l'autre (Art. 4 et 27) ; cette interdiction est la condition de l'exclusion.</w:t>
      </w:r>
    </w:p>
    <w:p w14:paraId="39EDC823"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50 — Le dispositif n'émet pas de monnaie électronique</w:t>
      </w:r>
    </w:p>
    <w:p w14:paraId="7223C127" w14:textId="77777777" w:rsidR="008109BD" w:rsidRPr="008109BD" w:rsidRDefault="008109BD" w:rsidP="008109BD">
      <w:pPr>
        <w:pStyle w:val="Corpsdetexte"/>
        <w:rPr>
          <w:lang w:val="fr-FR"/>
        </w:rPr>
      </w:pPr>
      <w:r>
        <w:rPr>
          <w:lang w:val="fr-FR"/>
        </w:rPr>
        <w:t>La monnaie électronique suppose l'émission, contre remise de fonds, d'une valeur monétaire stockée sous forme électronique et acceptée en paiement par des tiers (art. L. 315-1 du Code monétaire et financier). Le dispositif n'émet aucune valeur contre remise de fonds, ne stocke aucune valeur monétaire et ne produit aucun instrument accepté en paiement : l'unité interne s'éteint à la fermeture du cycle et n'est jamais acceptée par un tiers en règlement d'une dette. Il n'est donc pas émetteur de monnaie électronique.</w:t>
      </w:r>
    </w:p>
    <w:p w14:paraId="60B5D839"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51 — Le dispositif n'émet pas de crypto-actif et ne relève pas de MiCA</w:t>
      </w:r>
    </w:p>
    <w:p w14:paraId="3B34E1A4" w14:textId="77777777" w:rsidR="008109BD" w:rsidRPr="008109BD" w:rsidRDefault="008109BD" w:rsidP="008109BD">
      <w:pPr>
        <w:pStyle w:val="Corpsdetexte"/>
        <w:rPr>
          <w:lang w:val="fr-FR"/>
        </w:rPr>
      </w:pPr>
      <w:r>
        <w:rPr>
          <w:lang w:val="fr-FR"/>
        </w:rPr>
        <w:t>Les régimes des prestataires de services sur actifs numériques (droit français) et sur crypto-actifs (règlement (UE) 2023/1114, dit MiCA) ne concernent que les crypto-actifs — représentations numériques de valeur transférables et stockables au moyen d'une technologie de registre distribué. Les unités internes du dispositif ne sont ni une valeur transférable, ni un actif stockable : elles mesurent une relation de créance réciproque et s'annulent à la fermeture du cycle (Art. 4 et 12). Le dispositif n'émet, ne conserve, n'échange et ne négocie aucun crypto-actif. MiCA et les régimes assimilés ne lui sont pas applicables.</w:t>
      </w:r>
    </w:p>
    <w:p w14:paraId="76C12FBC" w14:textId="77777777" w:rsidR="008109BD" w:rsidRPr="008109BD" w:rsidRDefault="008109BD" w:rsidP="008109BD">
      <w:pPr>
        <w:pStyle w:val="Corpsdetexte"/>
        <w:rPr>
          <w:lang w:val="fr-FR"/>
        </w:rPr>
      </w:pPr>
      <w:r>
        <w:rPr>
          <w:b/>
          <w:bCs/>
          <w:lang w:val="fr-FR"/>
        </w:rPr>
        <w:t xml:space="preserve">Réserve d'implémentation. </w:t>
      </w:r>
      <w:r>
        <w:rPr>
          <w:lang w:val="fr-FR"/>
        </w:rPr>
        <w:t>Cette exclusion suppose que la compensation ne soit pas mise en œuvre par des jetons transférables inscrits sur une chaîne (jetons on-chain, échanges atomiques). Une telle implémentation ferait basculer le dispositif dans le champ des crypto-actifs, et le degré de contrôle de l'Organe de Gouvernance sur l'infrastructure et l'appariement (Art. 42 à 45) le rapprocherait alors d'un intermédiaire soumis à agrément. L'exclusion vaut pour une mise en œuvre où aucun instrument transférable ne circule.</w:t>
      </w:r>
    </w:p>
    <w:p w14:paraId="6C51335C"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52 — Le dispositif ne constitue pas une monnaie locale ou nationale</w:t>
      </w:r>
    </w:p>
    <w:p w14:paraId="022C3834" w14:textId="77777777" w:rsidR="008109BD" w:rsidRPr="0019365D" w:rsidRDefault="008109BD" w:rsidP="008109BD">
      <w:pPr>
        <w:pStyle w:val="Corpsdetexte"/>
        <w:rPr>
          <w:lang w:val="fr-FR"/>
        </w:rPr>
      </w:pPr>
      <w:r>
        <w:rPr>
          <w:lang w:val="fr-FR"/>
        </w:rPr>
        <w:t xml:space="preserve">L'unité interne n'est pas une monnaie, car elle n'en remplit aucune des trois fonctions. Elle n'est pas une </w:t>
      </w:r>
      <w:r>
        <w:rPr>
          <w:b/>
          <w:bCs/>
          <w:lang w:val="fr-FR"/>
        </w:rPr>
        <w:t>réserve de valeur</w:t>
      </w:r>
      <w:r>
        <w:rPr>
          <w:lang w:val="fr-FR"/>
        </w:rPr>
        <w:t xml:space="preserve"> : elle ne se conserve pas dans le temps mais s'éteint à la fermeture du cycle. Elle n'est pas un </w:t>
      </w:r>
      <w:r>
        <w:rPr>
          <w:b/>
          <w:bCs/>
          <w:lang w:val="fr-FR"/>
        </w:rPr>
        <w:t>intermédiaire des échanges</w:t>
      </w:r>
      <w:r>
        <w:rPr>
          <w:lang w:val="fr-FR"/>
        </w:rPr>
        <w:t xml:space="preserve"> : elle ne passe pas de main en main, car elle n'existe qu'à l'intérieur d'une relation entre deux Membres identifiés, et disparaît avec elle. Elle n'est pas une </w:t>
      </w:r>
      <w:r>
        <w:rPr>
          <w:b/>
          <w:bCs/>
          <w:lang w:val="fr-FR"/>
        </w:rPr>
        <w:t>unité de règlement opposable</w:t>
      </w:r>
      <w:r>
        <w:rPr>
          <w:lang w:val="fr-FR"/>
        </w:rPr>
        <w:t xml:space="preserve"> : elle n'a pas cours légal et ne confère aucun pouvoir libératoire à l'égard des tiers. Elle n'est ni une devise ayant cours légal (art. L. 111-1 du Code monétaire et financier), ni un titre de monnaie locale complémentaire au sens des articles L. 311-5 et L. 311-6 du même code.</w:t>
      </w:r>
    </w:p>
    <w:p w14:paraId="7574C607" w14:textId="77777777" w:rsidR="008109BD" w:rsidRPr="008109BD" w:rsidRDefault="008109BD" w:rsidP="008109BD">
      <w:pPr>
        <w:pStyle w:val="Corpsdetexte"/>
        <w:rPr>
          <w:lang w:val="fr-FR"/>
        </w:rPr>
      </w:pPr>
      <w:r>
        <w:rPr>
          <w:lang w:val="fr-FR"/>
        </w:rPr>
        <w:t>Le dispositif n'exerce aucune fonction monétaire. Il met en œuvre une</w:t>
      </w:r>
      <w:r>
        <w:rPr>
          <w:b/>
          <w:bCs/>
          <w:lang w:val="fr-FR"/>
        </w:rPr>
        <w:t xml:space="preserve"> fonction propositionnelle de coordination contractuelle </w:t>
      </w:r>
      <w:r>
        <w:rPr>
          <w:lang w:val="fr-FR"/>
        </w:rPr>
        <w:t>basée sur des échanges de biens et services tarifés. Là où un système monétaire coordonne les échanges par la circulation d'un instrument de paiement, le dispositif coordonne les engagements par l'agencement de propositions réciproques inscrites dans un graphe contractuel. Les deux systèmes répondent au même problème économique — la coordination des échanges — mais par des mécanismes juridiques et techniques de nature radicalement différente.</w:t>
      </w:r>
    </w:p>
    <w:p w14:paraId="1BDE0205" w14:textId="77777777" w:rsidR="008109BD" w:rsidRPr="008109BD" w:rsidRDefault="008109BD" w:rsidP="008109BD">
      <w:pPr>
        <w:pStyle w:val="Corpsdetexte"/>
        <w:rPr>
          <w:rFonts w:ascii="Calibri" w:hAnsi="Calibri" w:cs="Calibri"/>
          <w:color w:val="0070C0"/>
          <w:sz w:val="28"/>
          <w:szCs w:val="28"/>
          <w:lang w:val="fr-FR"/>
        </w:rPr>
      </w:pPr>
      <w:r>
        <w:rPr>
          <w:rFonts w:ascii="Calibri" w:hAnsi="Calibri" w:cs="Calibri"/>
          <w:b/>
          <w:bCs/>
          <w:color w:val="0070C0"/>
          <w:sz w:val="28"/>
          <w:szCs w:val="28"/>
          <w:lang w:val="fr-FR"/>
        </w:rPr>
        <w:t>Article 53 — Définition positive du contrat de gestion du droit d'usage</w:t>
      </w:r>
    </w:p>
    <w:p w14:paraId="2F002D98" w14:textId="77777777" w:rsidR="008109BD" w:rsidRPr="008109BD" w:rsidRDefault="008109BD" w:rsidP="008109BD">
      <w:pPr>
        <w:pStyle w:val="Corpsdetexte"/>
        <w:rPr>
          <w:lang w:val="fr-FR"/>
        </w:rPr>
      </w:pPr>
      <w:r>
        <w:rPr>
          <w:lang w:val="fr-FR"/>
        </w:rPr>
        <w:t xml:space="preserve">Le présent contrat est une convention par laquelle une communauté de personnes organise contractuellement ses propres modes de règlement, décentralisés et autonomes. Sa force et son originalité tiennent à ce qu'il fait reposer l'ensemble des règlements non sur des unités monétaires, ni sur une infrastructure centralisée ou décentralisée de paiement, mais sur </w:t>
      </w:r>
      <w:r>
        <w:rPr>
          <w:b/>
          <w:bCs/>
          <w:lang w:val="fr-FR"/>
        </w:rPr>
        <w:t>la la programmation et la réalisation de balances d’engagements équilibrés</w:t>
      </w:r>
      <w:r>
        <w:rPr>
          <w:lang w:val="fr-FR"/>
        </w:rPr>
        <w:t>, à l'échelle locale comme internationale. Pour égaliser ces balances, le contrat recourt à une modélisation par graphes, qui rend visibles les échanges et les chemins de compensation.</w:t>
      </w:r>
    </w:p>
    <w:p w14:paraId="34E1E767" w14:textId="77777777" w:rsidR="008109BD" w:rsidRPr="008109BD" w:rsidRDefault="008109BD" w:rsidP="008109BD">
      <w:pPr>
        <w:pStyle w:val="Corpsdetexte"/>
        <w:rPr>
          <w:lang w:val="fr-FR"/>
        </w:rPr>
      </w:pPr>
      <w:r>
        <w:rPr>
          <w:lang w:val="fr-FR"/>
        </w:rPr>
        <w:t xml:space="preserve">Ce contrat a pour ambition de fonder un </w:t>
      </w:r>
      <w:r>
        <w:rPr>
          <w:b/>
          <w:bCs/>
          <w:lang w:val="fr-FR"/>
        </w:rPr>
        <w:t>système de compensation coopératif et mutualiste</w:t>
      </w:r>
      <w:r>
        <w:rPr>
          <w:lang w:val="fr-FR"/>
        </w:rPr>
        <w:t xml:space="preserve">, inspiré des concepts de l'économie du développement durable. Il propose un modèle de </w:t>
      </w:r>
      <w:r>
        <w:rPr>
          <w:b/>
          <w:bCs/>
          <w:lang w:val="fr-FR"/>
        </w:rPr>
        <w:t>droit d'usage non exclusif et non rival, de nature informationnelle et durable</w:t>
      </w:r>
      <w:r>
        <w:rPr>
          <w:lang w:val="fr-FR"/>
        </w:rPr>
        <w:t>, qui permet aux agents de programmer leur système d'échange pour qu'il atteigne une balance individuelle et collective optimale. Dans cette optique, le contrat prévoit la mise en commun de sept facteurs — le droit d'usage, les objectifs, les ressources, les emplois, la gestion, la règle et l'organisation — dont la combinaison détermine le contenu du droit d'usage et sa portée pour chaque communauté en France et dans le monde.</w:t>
      </w:r>
    </w:p>
    <w:p w14:paraId="59772352" w14:textId="77777777" w:rsidR="008109BD" w:rsidRPr="008109BD" w:rsidRDefault="008109BD" w:rsidP="008109BD">
      <w:pPr>
        <w:pStyle w:val="Corpsdetexte"/>
        <w:rPr>
          <w:lang w:val="fr-FR"/>
        </w:rPr>
      </w:pPr>
      <w:r>
        <w:rPr>
          <w:lang w:val="fr-FR"/>
        </w:rPr>
        <w:t xml:space="preserve">Il s'agit d'un acte juridique : on y retrouve les éléments constitutifs d'un contrat (dénomination des parties, préambule, corps, clauses). On peut le concevoir comme un </w:t>
      </w:r>
      <w:r>
        <w:rPr>
          <w:b/>
          <w:bCs/>
          <w:lang w:val="fr-FR"/>
        </w:rPr>
        <w:t>méta-contrat de programmation économique et sociale</w:t>
      </w:r>
      <w:r>
        <w:rPr>
          <w:lang w:val="fr-FR"/>
        </w:rPr>
        <w:t>, destiné à s'implémenter dans des registres ou contrats distribués, des plateformes de graphes, des réseaux d'échange pair-à-pair — que ce soit sous forme d'un protocole de règles de compensation, d'un jeu d'indicateurs-clés (</w:t>
      </w:r>
      <w:r>
        <w:rPr>
          <w:i/>
          <w:iCs/>
          <w:lang w:val="fr-FR"/>
        </w:rPr>
        <w:t>key value indicators</w:t>
      </w:r>
      <w:r>
        <w:rPr>
          <w:lang w:val="fr-FR"/>
        </w:rPr>
        <w:t>) traduisant les valeurs d'une organisation, ou d'un programme exécutable — sous réserve, en toute implémentation technique, du respect de la pureté du noyau (Art. 27) et des exclusions du présent Titre.</w:t>
      </w:r>
    </w:p>
    <w:p w14:paraId="4A92F6E0" w14:textId="77777777" w:rsidR="008109BD" w:rsidRPr="008109BD" w:rsidRDefault="008109BD" w:rsidP="008109BD">
      <w:pPr>
        <w:pStyle w:val="Corpsdetexte"/>
        <w:rPr>
          <w:lang w:val="fr-FR"/>
        </w:rPr>
      </w:pPr>
      <w:r>
        <w:rPr>
          <w:lang w:val="fr-FR"/>
        </w:rPr>
        <w:t>L'ambition du contrat est de servir d'inspiration à la conception des instruments de l'économie sociale, écologique et solidaire. Il peut être utilisé directement ou servir de contrat-cadre à une multitude de contrats applicatifs. Il constitue un document ouvert, que chacun peut reprendre et adapter à ses objectifs.</w:t>
      </w:r>
    </w:p>
    <w:p w14:paraId="0315D369" w14:textId="77777777" w:rsidR="00FB6EF5" w:rsidRPr="00C46716" w:rsidRDefault="00000000">
      <w:pPr>
        <w:pStyle w:val="Titre1"/>
        <w:rPr>
          <w:lang w:val="fr-FR"/>
        </w:rPr>
      </w:pPr>
      <w:bookmarkStart w:id="27" w:name="titre-x-robustesse-et-clauses-finales"/>
      <w:bookmarkEnd w:id="20"/>
      <w:bookmarkEnd w:id="26"/>
      <w:r>
        <w:rPr>
          <w:lang w:val="fr-FR"/>
        </w:rPr>
        <w:t>Titre XI — Robustesse et clauses finales</w:t>
      </w:r>
    </w:p>
    <w:p w14:paraId="775C0310" w14:textId="77777777" w:rsidR="00FB6EF5" w:rsidRPr="00C46716" w:rsidRDefault="00000000">
      <w:pPr>
        <w:pStyle w:val="Titre2"/>
        <w:rPr>
          <w:lang w:val="fr-FR"/>
        </w:rPr>
      </w:pPr>
      <w:bookmarkStart w:id="28" w:name="X99cbcfe8dd8b8171ce372a06364842b38f6f400"/>
      <w:r>
        <w:rPr>
          <w:lang w:val="fr-FR"/>
        </w:rPr>
        <w:t>Article 54 — Déclarations et prévention de la requalification</w:t>
      </w:r>
    </w:p>
    <w:p w14:paraId="1FEE6531" w14:textId="77777777" w:rsidR="00FB6EF5" w:rsidRPr="00C46716" w:rsidRDefault="00000000">
      <w:pPr>
        <w:pStyle w:val="FirstParagraph"/>
        <w:rPr>
          <w:lang w:val="fr-FR"/>
        </w:rPr>
      </w:pPr>
      <w:r>
        <w:rPr>
          <w:lang w:val="fr-FR"/>
        </w:rPr>
        <w:t>Chaque Partie déclare disposer de la capacité et des pouvoirs requis et consentir librement. La commune intention des Parties (art. 1188 du Code civil) est celle exprimée au Préambule et aux Articles 25 et 5 ; en cas d’ambiguïté, le contrat s’interprète conformément à cette intention et à la règle de l’Article 26.</w:t>
      </w:r>
    </w:p>
    <w:p w14:paraId="17ACD442" w14:textId="77777777" w:rsidR="00FB6EF5" w:rsidRPr="00C46716" w:rsidRDefault="00000000">
      <w:pPr>
        <w:pStyle w:val="Titre2"/>
        <w:rPr>
          <w:lang w:val="fr-FR"/>
        </w:rPr>
      </w:pPr>
      <w:bookmarkStart w:id="29" w:name="Xcec6f1706eafa2d5b58efcc7fa1b39446c3738c"/>
      <w:bookmarkEnd w:id="28"/>
      <w:r>
        <w:rPr>
          <w:lang w:val="fr-FR"/>
        </w:rPr>
        <w:t>Article 55 — Force et opposabilité de l’inscription</w:t>
      </w:r>
    </w:p>
    <w:p w14:paraId="5C579814" w14:textId="77777777" w:rsidR="00FB6EF5" w:rsidRPr="00C46716" w:rsidRDefault="00000000">
      <w:pPr>
        <w:pStyle w:val="FirstParagraph"/>
        <w:rPr>
          <w:lang w:val="fr-FR"/>
        </w:rPr>
      </w:pPr>
      <w:r>
        <w:rPr>
          <w:lang w:val="fr-FR"/>
        </w:rPr>
        <w:t>L’inscription d’un engagement dans le graphe vaut engagement contractuel entre les Parties concernées. Le registre, tenu sur support durable, horodaté et assorti d’un procédé d’identification fiable et de garanties d’intégrité (Annexe 3), fait foi des inscriptions dans les conditions des articles 1365 et 1366 du Code civil. Cette valeur probante conditionne l’effectivité des recours de l’Article 26.</w:t>
      </w:r>
    </w:p>
    <w:p w14:paraId="277228A2" w14:textId="77777777" w:rsidR="00FB6EF5" w:rsidRPr="00C46716" w:rsidRDefault="00000000">
      <w:pPr>
        <w:pStyle w:val="Titre2"/>
        <w:rPr>
          <w:lang w:val="fr-FR"/>
        </w:rPr>
      </w:pPr>
      <w:bookmarkStart w:id="30" w:name="X5b33fe0ea182a99758a3956c51e61648897a66f"/>
      <w:bookmarkEnd w:id="29"/>
      <w:r>
        <w:rPr>
          <w:lang w:val="fr-FR"/>
        </w:rPr>
        <w:t>Article 56 — Divisibilité, durée, intégralité</w:t>
      </w:r>
    </w:p>
    <w:p w14:paraId="618DA1DF" w14:textId="77777777" w:rsidR="00FB6EF5" w:rsidRPr="00C46716" w:rsidRDefault="00000000">
      <w:pPr>
        <w:pStyle w:val="FirstParagraph"/>
        <w:rPr>
          <w:lang w:val="fr-FR"/>
        </w:rPr>
      </w:pPr>
      <w:r>
        <w:rPr>
          <w:lang w:val="fr-FR"/>
        </w:rPr>
        <w:t>Toute stipulation jugée nulle ou inopposable est réputée non écrite sans affecter les autres, les Parties s’engageant à lui substituer de bonne foi une stipulation d’effet équivalent. Le contrat prend effet à sa signature pour [•], renouvelable, modifiable par avenant écrit dans les limites de l’Article 18. Il exprime l’intégralité de l’accord sur son objet.</w:t>
      </w:r>
    </w:p>
    <w:p w14:paraId="1187CBBF" w14:textId="77777777" w:rsidR="00FB6EF5" w:rsidRPr="00C46716" w:rsidRDefault="00000000">
      <w:pPr>
        <w:pStyle w:val="Titre2"/>
        <w:rPr>
          <w:lang w:val="fr-FR"/>
        </w:rPr>
      </w:pPr>
      <w:bookmarkStart w:id="31" w:name="X183671f16fdf98f5549b4b50a42c01ee0c6952e"/>
      <w:bookmarkEnd w:id="30"/>
      <w:r>
        <w:rPr>
          <w:lang w:val="fr-FR"/>
        </w:rPr>
        <w:t>Article 57 — Réserve de conformité (impérative)</w:t>
      </w:r>
    </w:p>
    <w:p w14:paraId="21A008CC" w14:textId="77777777" w:rsidR="00FB6EF5" w:rsidRDefault="00000000">
      <w:pPr>
        <w:pStyle w:val="FirstParagraph"/>
      </w:pPr>
      <w:r>
        <w:rPr>
          <w:b/>
          <w:bCs/>
          <w:lang w:val="fr-FR"/>
        </w:rPr>
        <w:t>Le dispositif est conçu pour demeurer hors du champ des services de paiement réglementés (CMF, art. L. 521-1 et s.), au moyen de la règle de séparation de l’Article 27. Cette frontière dépendant de détails d’exécution, le présent contrat doit être validé par un avocat en droit bancaire et financier, et le cas échéant faire l’objet d’une demande de position auprès de l’autorité compétente, avant tout démarrage.</w:t>
      </w:r>
      <w:r>
        <w:rPr>
          <w:lang w:val="fr-FR"/>
        </w:rPr>
        <w:t xml:space="preserve"> Le cadre des monnaies locales complémentaires (loi n° 2014-856 du 31 juillet 2014 ; CMF art. L. 311-5 et L. 311-6) est examiné comme base alternative. Lorsque les échanges relèvent de l’entraide non professionnelle, la tolérance applicable aux systèmes d’échange local s’applique sous réserve de ne pas se substituer à une activité professionnelle ou salariée ; l’Organe de Gouvernance fixe à ce titre un plafond d’activité non professionnelle. </w:t>
      </w:r>
      <w:r>
        <w:t>Le présent document ne constitue pas un avis juridique.</w:t>
      </w:r>
    </w:p>
    <w:p w14:paraId="137E4C9C" w14:textId="77777777" w:rsidR="00FB6EF5" w:rsidRDefault="00000000">
      <w:pPr>
        <w:pStyle w:val="Titre1"/>
      </w:pPr>
      <w:bookmarkStart w:id="32" w:name="annexes"/>
      <w:bookmarkEnd w:id="27"/>
      <w:bookmarkEnd w:id="31"/>
      <w:r>
        <w:t>Annexes</w:t>
      </w:r>
    </w:p>
    <w:p w14:paraId="6F4DAF9F" w14:textId="77777777" w:rsidR="00FB6EF5" w:rsidRPr="00C46716" w:rsidRDefault="00000000">
      <w:pPr>
        <w:numPr>
          <w:ilvl w:val="0"/>
          <w:numId w:val="2"/>
        </w:numPr>
        <w:rPr>
          <w:lang w:val="fr-FR"/>
        </w:rPr>
      </w:pPr>
      <w:r>
        <w:rPr>
          <w:lang w:val="fr-FR"/>
        </w:rPr>
        <w:t>Annexe 1 — Description du Capital d’Ancrage (nature, teneur, montant K).</w:t>
      </w:r>
    </w:p>
    <w:p w14:paraId="12575463" w14:textId="77777777" w:rsidR="00FB6EF5" w:rsidRPr="00C46716" w:rsidRDefault="00000000">
      <w:pPr>
        <w:numPr>
          <w:ilvl w:val="0"/>
          <w:numId w:val="2"/>
        </w:numPr>
        <w:rPr>
          <w:lang w:val="fr-FR"/>
        </w:rPr>
      </w:pPr>
      <w:r>
        <w:rPr>
          <w:lang w:val="fr-FR"/>
        </w:rPr>
        <w:t>Annexe 2 — Modalités d’immobilisation, de séquestre et de préfinancement.</w:t>
      </w:r>
    </w:p>
    <w:p w14:paraId="3B4D038D" w14:textId="77777777" w:rsidR="00FB6EF5" w:rsidRPr="00C46716" w:rsidRDefault="00000000">
      <w:pPr>
        <w:numPr>
          <w:ilvl w:val="0"/>
          <w:numId w:val="2"/>
        </w:numPr>
        <w:rPr>
          <w:lang w:val="fr-FR"/>
        </w:rPr>
      </w:pPr>
      <w:r>
        <w:rPr>
          <w:lang w:val="fr-FR"/>
        </w:rPr>
        <w:t>Annexe 3 — Tenue du graphe, horodatage, identification, intégrité, valeur probante.</w:t>
      </w:r>
    </w:p>
    <w:p w14:paraId="148E0ACC" w14:textId="77777777" w:rsidR="00FB6EF5" w:rsidRPr="00C46716" w:rsidRDefault="00000000">
      <w:pPr>
        <w:numPr>
          <w:ilvl w:val="0"/>
          <w:numId w:val="2"/>
        </w:numPr>
        <w:rPr>
          <w:lang w:val="fr-FR"/>
        </w:rPr>
      </w:pPr>
      <w:r>
        <w:rPr>
          <w:lang w:val="fr-FR"/>
        </w:rPr>
        <w:t xml:space="preserve">Annexe 4 — Paramètres : fourchettes </w:t>
      </w:r>
      <w:r>
        <w:t>δ</w:t>
      </w:r>
      <w:r>
        <w:rPr>
          <w:lang w:val="fr-FR"/>
        </w:rPr>
        <w:t>, plafond ∑</w:t>
      </w:r>
      <w:r>
        <w:t>δ</w:t>
      </w:r>
      <w:r>
        <w:rPr>
          <w:lang w:val="fr-FR"/>
        </w:rPr>
        <w:t xml:space="preserve"> ≤ K, règle de Welfare Optimisation, plafond d’activité non professionnelle.</w:t>
      </w:r>
    </w:p>
    <w:p w14:paraId="2840EE08" w14:textId="77777777" w:rsidR="00FB6EF5" w:rsidRPr="00C46716" w:rsidRDefault="00000000">
      <w:pPr>
        <w:numPr>
          <w:ilvl w:val="0"/>
          <w:numId w:val="2"/>
        </w:numPr>
        <w:rPr>
          <w:lang w:val="fr-FR"/>
        </w:rPr>
      </w:pPr>
      <w:r>
        <w:rPr>
          <w:lang w:val="fr-FR"/>
        </w:rPr>
        <w:t>Annexe 5 — Méthodologies d’évaluation des bénéfices ODD (ICAT, IIED, SEEA-EA).</w:t>
      </w:r>
    </w:p>
    <w:p w14:paraId="5DF86C0A" w14:textId="77777777" w:rsidR="00FB6EF5" w:rsidRPr="00C46716" w:rsidRDefault="00000000">
      <w:pPr>
        <w:numPr>
          <w:ilvl w:val="0"/>
          <w:numId w:val="2"/>
        </w:numPr>
        <w:rPr>
          <w:lang w:val="fr-FR"/>
        </w:rPr>
      </w:pPr>
      <w:r>
        <w:rPr>
          <w:lang w:val="fr-FR"/>
        </w:rPr>
        <w:t>Annexe 6 — Règlement intérieur de l’Organe de Gouvernance : composition, mandats, procédures de décision, d’approbation et de révocation de ses membres.</w:t>
      </w:r>
    </w:p>
    <w:p w14:paraId="1E55B23F" w14:textId="77777777" w:rsidR="00FB6EF5" w:rsidRPr="00C46716" w:rsidRDefault="00000000">
      <w:pPr>
        <w:pStyle w:val="Titre1"/>
        <w:rPr>
          <w:lang w:val="fr-FR"/>
        </w:rPr>
      </w:pPr>
      <w:bookmarkStart w:id="33" w:name="signatures"/>
      <w:bookmarkEnd w:id="32"/>
      <w:r>
        <w:rPr>
          <w:lang w:val="fr-FR"/>
        </w:rPr>
        <w:t>Signatures</w:t>
      </w:r>
    </w:p>
    <w:p w14:paraId="58A3E2F7" w14:textId="77777777" w:rsidR="00FB6EF5" w:rsidRPr="00C46716" w:rsidRDefault="00000000">
      <w:pPr>
        <w:pStyle w:val="FirstParagraph"/>
        <w:rPr>
          <w:lang w:val="fr-FR"/>
        </w:rPr>
      </w:pPr>
      <w:r>
        <w:rPr>
          <w:lang w:val="fr-FR"/>
        </w:rPr>
        <w:t>Fait à [•], le [•], en [•] exemplaires.</w:t>
      </w:r>
    </w:p>
    <w:p w14:paraId="224713E5" w14:textId="77777777" w:rsidR="00FB6EF5" w:rsidRPr="00C46716" w:rsidRDefault="00000000">
      <w:pPr>
        <w:pStyle w:val="Corpsdetexte"/>
        <w:rPr>
          <w:lang w:val="fr-FR"/>
        </w:rPr>
      </w:pPr>
      <w:r>
        <w:rPr>
          <w:b/>
          <w:bCs/>
          <w:lang w:val="fr-FR"/>
        </w:rPr>
        <w:t>Le Propriétaire</w:t>
      </w:r>
      <w:r>
        <w:rPr>
          <w:lang w:val="fr-FR"/>
        </w:rPr>
        <w:t xml:space="preserve"> </w:t>
      </w:r>
      <w:r>
        <w:rPr>
          <w:b/>
          <w:bCs/>
          <w:lang w:val="fr-FR"/>
        </w:rPr>
        <w:t>Pour les Membres — l’Organe de Gouvernance</w:t>
      </w:r>
    </w:p>
    <w:p w14:paraId="1BD2FCD4" w14:textId="77777777" w:rsidR="00FB6EF5" w:rsidRDefault="00000000">
      <w:pPr>
        <w:pStyle w:val="Corpsdetexte"/>
      </w:pPr>
      <w:r>
        <w:t>______________________ ______________________</w:t>
      </w:r>
      <w:bookmarkEnd w:id="33"/>
    </w:p>
    <w:sectPr w:rsidR="00FB6EF5">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2CB29" w14:textId="77777777" w:rsidR="00523595" w:rsidRDefault="00523595">
      <w:pPr>
        <w:spacing w:after="0"/>
      </w:pPr>
      <w:r>
        <w:separator/>
      </w:r>
    </w:p>
  </w:endnote>
  <w:endnote w:type="continuationSeparator" w:id="0">
    <w:p w14:paraId="29CA2368" w14:textId="77777777" w:rsidR="00523595" w:rsidRDefault="005235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22388" w14:textId="77777777" w:rsidR="00523595" w:rsidRDefault="00523595">
      <w:r>
        <w:separator/>
      </w:r>
    </w:p>
  </w:footnote>
  <w:footnote w:type="continuationSeparator" w:id="0">
    <w:p w14:paraId="41C8591A" w14:textId="77777777" w:rsidR="00523595" w:rsidRDefault="005235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8F8E8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52A89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4E101197"/>
    <w:multiLevelType w:val="multilevel"/>
    <w:tmpl w:val="E0B2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381121">
    <w:abstractNumId w:val="0"/>
  </w:num>
  <w:num w:numId="2" w16cid:durableId="1428388298">
    <w:abstractNumId w:val="1"/>
  </w:num>
  <w:num w:numId="3" w16cid:durableId="2040813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EF5"/>
    <w:rsid w:val="0009212E"/>
    <w:rsid w:val="000E0B0F"/>
    <w:rsid w:val="00174B97"/>
    <w:rsid w:val="001756A4"/>
    <w:rsid w:val="0019365D"/>
    <w:rsid w:val="001D3D36"/>
    <w:rsid w:val="001E35F8"/>
    <w:rsid w:val="001F6016"/>
    <w:rsid w:val="00211CC6"/>
    <w:rsid w:val="0024587B"/>
    <w:rsid w:val="002F20D8"/>
    <w:rsid w:val="00330B85"/>
    <w:rsid w:val="00334132"/>
    <w:rsid w:val="00361D00"/>
    <w:rsid w:val="0036216A"/>
    <w:rsid w:val="003B39F9"/>
    <w:rsid w:val="003D38C7"/>
    <w:rsid w:val="003D548C"/>
    <w:rsid w:val="003E67EE"/>
    <w:rsid w:val="00401100"/>
    <w:rsid w:val="00407954"/>
    <w:rsid w:val="00432E8D"/>
    <w:rsid w:val="0048210B"/>
    <w:rsid w:val="005001A0"/>
    <w:rsid w:val="00523595"/>
    <w:rsid w:val="005D4A32"/>
    <w:rsid w:val="00634AB4"/>
    <w:rsid w:val="00661B3D"/>
    <w:rsid w:val="007059B7"/>
    <w:rsid w:val="00737A36"/>
    <w:rsid w:val="00745F91"/>
    <w:rsid w:val="00761377"/>
    <w:rsid w:val="007B5B0E"/>
    <w:rsid w:val="007F13A5"/>
    <w:rsid w:val="007F6E8E"/>
    <w:rsid w:val="008109BD"/>
    <w:rsid w:val="00892128"/>
    <w:rsid w:val="008A49AE"/>
    <w:rsid w:val="00911EBB"/>
    <w:rsid w:val="00970B6F"/>
    <w:rsid w:val="00A154ED"/>
    <w:rsid w:val="00A33D5E"/>
    <w:rsid w:val="00A73B2E"/>
    <w:rsid w:val="00AE3935"/>
    <w:rsid w:val="00B35DAF"/>
    <w:rsid w:val="00B631BD"/>
    <w:rsid w:val="00B7540A"/>
    <w:rsid w:val="00B840C4"/>
    <w:rsid w:val="00BB42F3"/>
    <w:rsid w:val="00BC10FA"/>
    <w:rsid w:val="00BE1AD0"/>
    <w:rsid w:val="00C07156"/>
    <w:rsid w:val="00C46716"/>
    <w:rsid w:val="00D22B69"/>
    <w:rsid w:val="00D74966"/>
    <w:rsid w:val="00DB179E"/>
    <w:rsid w:val="00E318E7"/>
    <w:rsid w:val="00E50DF8"/>
    <w:rsid w:val="00E746D4"/>
    <w:rsid w:val="00E95B2B"/>
    <w:rsid w:val="00EF27F1"/>
    <w:rsid w:val="00F52B8A"/>
    <w:rsid w:val="00F70B21"/>
    <w:rsid w:val="00FB6EF5"/>
    <w:rsid w:val="00FC5B0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F5E7"/>
  <w15:docId w15:val="{AA53F065-9BBD-4656-9497-AA3E8EC77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1205">
      <w:bodyDiv w:val="1"/>
      <w:marLeft w:val="0"/>
      <w:marRight w:val="0"/>
      <w:marTop w:val="0"/>
      <w:marBottom w:val="0"/>
      <w:divBdr>
        <w:top w:val="none" w:sz="0" w:space="0" w:color="auto"/>
        <w:left w:val="none" w:sz="0" w:space="0" w:color="auto"/>
        <w:bottom w:val="none" w:sz="0" w:space="0" w:color="auto"/>
        <w:right w:val="none" w:sz="0" w:space="0" w:color="auto"/>
      </w:divBdr>
      <w:divsChild>
        <w:div w:id="165610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47966">
      <w:bodyDiv w:val="1"/>
      <w:marLeft w:val="0"/>
      <w:marRight w:val="0"/>
      <w:marTop w:val="0"/>
      <w:marBottom w:val="0"/>
      <w:divBdr>
        <w:top w:val="none" w:sz="0" w:space="0" w:color="auto"/>
        <w:left w:val="none" w:sz="0" w:space="0" w:color="auto"/>
        <w:bottom w:val="none" w:sz="0" w:space="0" w:color="auto"/>
        <w:right w:val="none" w:sz="0" w:space="0" w:color="auto"/>
      </w:divBdr>
    </w:div>
    <w:div w:id="185757689">
      <w:bodyDiv w:val="1"/>
      <w:marLeft w:val="0"/>
      <w:marRight w:val="0"/>
      <w:marTop w:val="0"/>
      <w:marBottom w:val="0"/>
      <w:divBdr>
        <w:top w:val="none" w:sz="0" w:space="0" w:color="auto"/>
        <w:left w:val="none" w:sz="0" w:space="0" w:color="auto"/>
        <w:bottom w:val="none" w:sz="0" w:space="0" w:color="auto"/>
        <w:right w:val="none" w:sz="0" w:space="0" w:color="auto"/>
      </w:divBdr>
    </w:div>
    <w:div w:id="260838427">
      <w:bodyDiv w:val="1"/>
      <w:marLeft w:val="0"/>
      <w:marRight w:val="0"/>
      <w:marTop w:val="0"/>
      <w:marBottom w:val="0"/>
      <w:divBdr>
        <w:top w:val="none" w:sz="0" w:space="0" w:color="auto"/>
        <w:left w:val="none" w:sz="0" w:space="0" w:color="auto"/>
        <w:bottom w:val="none" w:sz="0" w:space="0" w:color="auto"/>
        <w:right w:val="none" w:sz="0" w:space="0" w:color="auto"/>
      </w:divBdr>
    </w:div>
    <w:div w:id="378483516">
      <w:bodyDiv w:val="1"/>
      <w:marLeft w:val="0"/>
      <w:marRight w:val="0"/>
      <w:marTop w:val="0"/>
      <w:marBottom w:val="0"/>
      <w:divBdr>
        <w:top w:val="none" w:sz="0" w:space="0" w:color="auto"/>
        <w:left w:val="none" w:sz="0" w:space="0" w:color="auto"/>
        <w:bottom w:val="none" w:sz="0" w:space="0" w:color="auto"/>
        <w:right w:val="none" w:sz="0" w:space="0" w:color="auto"/>
      </w:divBdr>
      <w:divsChild>
        <w:div w:id="2130775275">
          <w:marLeft w:val="0"/>
          <w:marRight w:val="0"/>
          <w:marTop w:val="0"/>
          <w:marBottom w:val="0"/>
          <w:divBdr>
            <w:top w:val="none" w:sz="0" w:space="0" w:color="auto"/>
            <w:left w:val="none" w:sz="0" w:space="0" w:color="auto"/>
            <w:bottom w:val="none" w:sz="0" w:space="0" w:color="auto"/>
            <w:right w:val="none" w:sz="0" w:space="0" w:color="auto"/>
          </w:divBdr>
          <w:divsChild>
            <w:div w:id="15886884">
              <w:marLeft w:val="0"/>
              <w:marRight w:val="0"/>
              <w:marTop w:val="0"/>
              <w:marBottom w:val="0"/>
              <w:divBdr>
                <w:top w:val="none" w:sz="0" w:space="0" w:color="auto"/>
                <w:left w:val="none" w:sz="0" w:space="0" w:color="auto"/>
                <w:bottom w:val="none" w:sz="0" w:space="0" w:color="auto"/>
                <w:right w:val="none" w:sz="0" w:space="0" w:color="auto"/>
              </w:divBdr>
              <w:divsChild>
                <w:div w:id="1084837713">
                  <w:marLeft w:val="0"/>
                  <w:marRight w:val="0"/>
                  <w:marTop w:val="0"/>
                  <w:marBottom w:val="0"/>
                  <w:divBdr>
                    <w:top w:val="none" w:sz="0" w:space="0" w:color="auto"/>
                    <w:left w:val="none" w:sz="0" w:space="0" w:color="auto"/>
                    <w:bottom w:val="none" w:sz="0" w:space="0" w:color="auto"/>
                    <w:right w:val="none" w:sz="0" w:space="0" w:color="auto"/>
                  </w:divBdr>
                  <w:divsChild>
                    <w:div w:id="519705640">
                      <w:marLeft w:val="0"/>
                      <w:marRight w:val="0"/>
                      <w:marTop w:val="0"/>
                      <w:marBottom w:val="0"/>
                      <w:divBdr>
                        <w:top w:val="none" w:sz="0" w:space="0" w:color="auto"/>
                        <w:left w:val="none" w:sz="0" w:space="0" w:color="auto"/>
                        <w:bottom w:val="none" w:sz="0" w:space="0" w:color="auto"/>
                        <w:right w:val="none" w:sz="0" w:space="0" w:color="auto"/>
                      </w:divBdr>
                      <w:divsChild>
                        <w:div w:id="547306467">
                          <w:marLeft w:val="0"/>
                          <w:marRight w:val="0"/>
                          <w:marTop w:val="0"/>
                          <w:marBottom w:val="0"/>
                          <w:divBdr>
                            <w:top w:val="none" w:sz="0" w:space="0" w:color="auto"/>
                            <w:left w:val="none" w:sz="0" w:space="0" w:color="auto"/>
                            <w:bottom w:val="none" w:sz="0" w:space="0" w:color="auto"/>
                            <w:right w:val="none" w:sz="0" w:space="0" w:color="auto"/>
                          </w:divBdr>
                          <w:divsChild>
                            <w:div w:id="1803038654">
                              <w:marLeft w:val="0"/>
                              <w:marRight w:val="0"/>
                              <w:marTop w:val="0"/>
                              <w:marBottom w:val="0"/>
                              <w:divBdr>
                                <w:top w:val="none" w:sz="0" w:space="0" w:color="auto"/>
                                <w:left w:val="none" w:sz="0" w:space="0" w:color="auto"/>
                                <w:bottom w:val="none" w:sz="0" w:space="0" w:color="auto"/>
                                <w:right w:val="none" w:sz="0" w:space="0" w:color="auto"/>
                              </w:divBdr>
                              <w:divsChild>
                                <w:div w:id="699208545">
                                  <w:marLeft w:val="0"/>
                                  <w:marRight w:val="0"/>
                                  <w:marTop w:val="0"/>
                                  <w:marBottom w:val="0"/>
                                  <w:divBdr>
                                    <w:top w:val="none" w:sz="0" w:space="0" w:color="auto"/>
                                    <w:left w:val="none" w:sz="0" w:space="0" w:color="auto"/>
                                    <w:bottom w:val="none" w:sz="0" w:space="0" w:color="auto"/>
                                    <w:right w:val="none" w:sz="0" w:space="0" w:color="auto"/>
                                  </w:divBdr>
                                  <w:divsChild>
                                    <w:div w:id="1758671316">
                                      <w:marLeft w:val="0"/>
                                      <w:marRight w:val="0"/>
                                      <w:marTop w:val="0"/>
                                      <w:marBottom w:val="0"/>
                                      <w:divBdr>
                                        <w:top w:val="none" w:sz="0" w:space="0" w:color="auto"/>
                                        <w:left w:val="none" w:sz="0" w:space="0" w:color="auto"/>
                                        <w:bottom w:val="none" w:sz="0" w:space="0" w:color="auto"/>
                                        <w:right w:val="none" w:sz="0" w:space="0" w:color="auto"/>
                                      </w:divBdr>
                                      <w:divsChild>
                                        <w:div w:id="1245186058">
                                          <w:marLeft w:val="0"/>
                                          <w:marRight w:val="0"/>
                                          <w:marTop w:val="0"/>
                                          <w:marBottom w:val="0"/>
                                          <w:divBdr>
                                            <w:top w:val="none" w:sz="0" w:space="0" w:color="auto"/>
                                            <w:left w:val="none" w:sz="0" w:space="0" w:color="auto"/>
                                            <w:bottom w:val="none" w:sz="0" w:space="0" w:color="auto"/>
                                            <w:right w:val="none" w:sz="0" w:space="0" w:color="auto"/>
                                          </w:divBdr>
                                          <w:divsChild>
                                            <w:div w:id="147209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3296105">
          <w:marLeft w:val="0"/>
          <w:marRight w:val="0"/>
          <w:marTop w:val="0"/>
          <w:marBottom w:val="0"/>
          <w:divBdr>
            <w:top w:val="none" w:sz="0" w:space="0" w:color="auto"/>
            <w:left w:val="none" w:sz="0" w:space="0" w:color="auto"/>
            <w:bottom w:val="none" w:sz="0" w:space="0" w:color="auto"/>
            <w:right w:val="none" w:sz="0" w:space="0" w:color="auto"/>
          </w:divBdr>
          <w:divsChild>
            <w:div w:id="1106851424">
              <w:marLeft w:val="0"/>
              <w:marRight w:val="0"/>
              <w:marTop w:val="0"/>
              <w:marBottom w:val="0"/>
              <w:divBdr>
                <w:top w:val="none" w:sz="0" w:space="0" w:color="auto"/>
                <w:left w:val="none" w:sz="0" w:space="0" w:color="auto"/>
                <w:bottom w:val="none" w:sz="0" w:space="0" w:color="auto"/>
                <w:right w:val="none" w:sz="0" w:space="0" w:color="auto"/>
              </w:divBdr>
              <w:divsChild>
                <w:div w:id="1889143330">
                  <w:marLeft w:val="0"/>
                  <w:marRight w:val="0"/>
                  <w:marTop w:val="0"/>
                  <w:marBottom w:val="0"/>
                  <w:divBdr>
                    <w:top w:val="none" w:sz="0" w:space="0" w:color="auto"/>
                    <w:left w:val="none" w:sz="0" w:space="0" w:color="auto"/>
                    <w:bottom w:val="none" w:sz="0" w:space="0" w:color="auto"/>
                    <w:right w:val="none" w:sz="0" w:space="0" w:color="auto"/>
                  </w:divBdr>
                  <w:divsChild>
                    <w:div w:id="1972709388">
                      <w:marLeft w:val="0"/>
                      <w:marRight w:val="0"/>
                      <w:marTop w:val="0"/>
                      <w:marBottom w:val="0"/>
                      <w:divBdr>
                        <w:top w:val="none" w:sz="0" w:space="0" w:color="auto"/>
                        <w:left w:val="none" w:sz="0" w:space="0" w:color="auto"/>
                        <w:bottom w:val="none" w:sz="0" w:space="0" w:color="auto"/>
                        <w:right w:val="none" w:sz="0" w:space="0" w:color="auto"/>
                      </w:divBdr>
                      <w:divsChild>
                        <w:div w:id="290091763">
                          <w:marLeft w:val="0"/>
                          <w:marRight w:val="0"/>
                          <w:marTop w:val="0"/>
                          <w:marBottom w:val="0"/>
                          <w:divBdr>
                            <w:top w:val="none" w:sz="0" w:space="0" w:color="auto"/>
                            <w:left w:val="none" w:sz="0" w:space="0" w:color="auto"/>
                            <w:bottom w:val="none" w:sz="0" w:space="0" w:color="auto"/>
                            <w:right w:val="none" w:sz="0" w:space="0" w:color="auto"/>
                          </w:divBdr>
                          <w:divsChild>
                            <w:div w:id="2100641243">
                              <w:marLeft w:val="0"/>
                              <w:marRight w:val="0"/>
                              <w:marTop w:val="0"/>
                              <w:marBottom w:val="0"/>
                              <w:divBdr>
                                <w:top w:val="none" w:sz="0" w:space="0" w:color="auto"/>
                                <w:left w:val="none" w:sz="0" w:space="0" w:color="auto"/>
                                <w:bottom w:val="none" w:sz="0" w:space="0" w:color="auto"/>
                                <w:right w:val="none" w:sz="0" w:space="0" w:color="auto"/>
                              </w:divBdr>
                              <w:divsChild>
                                <w:div w:id="325401420">
                                  <w:marLeft w:val="0"/>
                                  <w:marRight w:val="0"/>
                                  <w:marTop w:val="0"/>
                                  <w:marBottom w:val="0"/>
                                  <w:divBdr>
                                    <w:top w:val="none" w:sz="0" w:space="0" w:color="auto"/>
                                    <w:left w:val="none" w:sz="0" w:space="0" w:color="auto"/>
                                    <w:bottom w:val="none" w:sz="0" w:space="0" w:color="auto"/>
                                    <w:right w:val="none" w:sz="0" w:space="0" w:color="auto"/>
                                  </w:divBdr>
                                  <w:divsChild>
                                    <w:div w:id="387263528">
                                      <w:marLeft w:val="0"/>
                                      <w:marRight w:val="0"/>
                                      <w:marTop w:val="0"/>
                                      <w:marBottom w:val="0"/>
                                      <w:divBdr>
                                        <w:top w:val="none" w:sz="0" w:space="0" w:color="auto"/>
                                        <w:left w:val="none" w:sz="0" w:space="0" w:color="auto"/>
                                        <w:bottom w:val="none" w:sz="0" w:space="0" w:color="auto"/>
                                        <w:right w:val="none" w:sz="0" w:space="0" w:color="auto"/>
                                      </w:divBdr>
                                      <w:divsChild>
                                        <w:div w:id="157273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9646365">
          <w:marLeft w:val="0"/>
          <w:marRight w:val="0"/>
          <w:marTop w:val="0"/>
          <w:marBottom w:val="0"/>
          <w:divBdr>
            <w:top w:val="none" w:sz="0" w:space="0" w:color="auto"/>
            <w:left w:val="none" w:sz="0" w:space="0" w:color="auto"/>
            <w:bottom w:val="none" w:sz="0" w:space="0" w:color="auto"/>
            <w:right w:val="none" w:sz="0" w:space="0" w:color="auto"/>
          </w:divBdr>
          <w:divsChild>
            <w:div w:id="1238444704">
              <w:marLeft w:val="0"/>
              <w:marRight w:val="0"/>
              <w:marTop w:val="0"/>
              <w:marBottom w:val="0"/>
              <w:divBdr>
                <w:top w:val="none" w:sz="0" w:space="0" w:color="auto"/>
                <w:left w:val="none" w:sz="0" w:space="0" w:color="auto"/>
                <w:bottom w:val="none" w:sz="0" w:space="0" w:color="auto"/>
                <w:right w:val="none" w:sz="0" w:space="0" w:color="auto"/>
              </w:divBdr>
              <w:divsChild>
                <w:div w:id="135337357">
                  <w:marLeft w:val="0"/>
                  <w:marRight w:val="0"/>
                  <w:marTop w:val="0"/>
                  <w:marBottom w:val="0"/>
                  <w:divBdr>
                    <w:top w:val="none" w:sz="0" w:space="0" w:color="auto"/>
                    <w:left w:val="none" w:sz="0" w:space="0" w:color="auto"/>
                    <w:bottom w:val="none" w:sz="0" w:space="0" w:color="auto"/>
                    <w:right w:val="none" w:sz="0" w:space="0" w:color="auto"/>
                  </w:divBdr>
                  <w:divsChild>
                    <w:div w:id="1140994702">
                      <w:marLeft w:val="0"/>
                      <w:marRight w:val="0"/>
                      <w:marTop w:val="0"/>
                      <w:marBottom w:val="0"/>
                      <w:divBdr>
                        <w:top w:val="none" w:sz="0" w:space="0" w:color="auto"/>
                        <w:left w:val="none" w:sz="0" w:space="0" w:color="auto"/>
                        <w:bottom w:val="none" w:sz="0" w:space="0" w:color="auto"/>
                        <w:right w:val="none" w:sz="0" w:space="0" w:color="auto"/>
                      </w:divBdr>
                      <w:divsChild>
                        <w:div w:id="1488397713">
                          <w:marLeft w:val="0"/>
                          <w:marRight w:val="0"/>
                          <w:marTop w:val="0"/>
                          <w:marBottom w:val="0"/>
                          <w:divBdr>
                            <w:top w:val="none" w:sz="0" w:space="0" w:color="auto"/>
                            <w:left w:val="none" w:sz="0" w:space="0" w:color="auto"/>
                            <w:bottom w:val="none" w:sz="0" w:space="0" w:color="auto"/>
                            <w:right w:val="none" w:sz="0" w:space="0" w:color="auto"/>
                          </w:divBdr>
                          <w:divsChild>
                            <w:div w:id="730537575">
                              <w:marLeft w:val="0"/>
                              <w:marRight w:val="0"/>
                              <w:marTop w:val="0"/>
                              <w:marBottom w:val="0"/>
                              <w:divBdr>
                                <w:top w:val="none" w:sz="0" w:space="0" w:color="auto"/>
                                <w:left w:val="none" w:sz="0" w:space="0" w:color="auto"/>
                                <w:bottom w:val="none" w:sz="0" w:space="0" w:color="auto"/>
                                <w:right w:val="none" w:sz="0" w:space="0" w:color="auto"/>
                              </w:divBdr>
                              <w:divsChild>
                                <w:div w:id="1898710755">
                                  <w:marLeft w:val="0"/>
                                  <w:marRight w:val="0"/>
                                  <w:marTop w:val="0"/>
                                  <w:marBottom w:val="0"/>
                                  <w:divBdr>
                                    <w:top w:val="none" w:sz="0" w:space="0" w:color="auto"/>
                                    <w:left w:val="none" w:sz="0" w:space="0" w:color="auto"/>
                                    <w:bottom w:val="none" w:sz="0" w:space="0" w:color="auto"/>
                                    <w:right w:val="none" w:sz="0" w:space="0" w:color="auto"/>
                                  </w:divBdr>
                                  <w:divsChild>
                                    <w:div w:id="512115596">
                                      <w:marLeft w:val="0"/>
                                      <w:marRight w:val="0"/>
                                      <w:marTop w:val="0"/>
                                      <w:marBottom w:val="0"/>
                                      <w:divBdr>
                                        <w:top w:val="none" w:sz="0" w:space="0" w:color="auto"/>
                                        <w:left w:val="none" w:sz="0" w:space="0" w:color="auto"/>
                                        <w:bottom w:val="none" w:sz="0" w:space="0" w:color="auto"/>
                                        <w:right w:val="none" w:sz="0" w:space="0" w:color="auto"/>
                                      </w:divBdr>
                                      <w:divsChild>
                                        <w:div w:id="1472095099">
                                          <w:marLeft w:val="0"/>
                                          <w:marRight w:val="0"/>
                                          <w:marTop w:val="0"/>
                                          <w:marBottom w:val="0"/>
                                          <w:divBdr>
                                            <w:top w:val="none" w:sz="0" w:space="0" w:color="auto"/>
                                            <w:left w:val="none" w:sz="0" w:space="0" w:color="auto"/>
                                            <w:bottom w:val="none" w:sz="0" w:space="0" w:color="auto"/>
                                            <w:right w:val="none" w:sz="0" w:space="0" w:color="auto"/>
                                          </w:divBdr>
                                          <w:divsChild>
                                            <w:div w:id="12747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1205718">
          <w:marLeft w:val="0"/>
          <w:marRight w:val="0"/>
          <w:marTop w:val="0"/>
          <w:marBottom w:val="0"/>
          <w:divBdr>
            <w:top w:val="none" w:sz="0" w:space="0" w:color="auto"/>
            <w:left w:val="none" w:sz="0" w:space="0" w:color="auto"/>
            <w:bottom w:val="none" w:sz="0" w:space="0" w:color="auto"/>
            <w:right w:val="none" w:sz="0" w:space="0" w:color="auto"/>
          </w:divBdr>
          <w:divsChild>
            <w:div w:id="751202607">
              <w:marLeft w:val="0"/>
              <w:marRight w:val="0"/>
              <w:marTop w:val="0"/>
              <w:marBottom w:val="0"/>
              <w:divBdr>
                <w:top w:val="none" w:sz="0" w:space="0" w:color="auto"/>
                <w:left w:val="none" w:sz="0" w:space="0" w:color="auto"/>
                <w:bottom w:val="none" w:sz="0" w:space="0" w:color="auto"/>
                <w:right w:val="none" w:sz="0" w:space="0" w:color="auto"/>
              </w:divBdr>
              <w:divsChild>
                <w:div w:id="22294849">
                  <w:marLeft w:val="0"/>
                  <w:marRight w:val="0"/>
                  <w:marTop w:val="0"/>
                  <w:marBottom w:val="0"/>
                  <w:divBdr>
                    <w:top w:val="none" w:sz="0" w:space="0" w:color="auto"/>
                    <w:left w:val="none" w:sz="0" w:space="0" w:color="auto"/>
                    <w:bottom w:val="none" w:sz="0" w:space="0" w:color="auto"/>
                    <w:right w:val="none" w:sz="0" w:space="0" w:color="auto"/>
                  </w:divBdr>
                  <w:divsChild>
                    <w:div w:id="859196898">
                      <w:marLeft w:val="0"/>
                      <w:marRight w:val="0"/>
                      <w:marTop w:val="0"/>
                      <w:marBottom w:val="0"/>
                      <w:divBdr>
                        <w:top w:val="none" w:sz="0" w:space="0" w:color="auto"/>
                        <w:left w:val="none" w:sz="0" w:space="0" w:color="auto"/>
                        <w:bottom w:val="none" w:sz="0" w:space="0" w:color="auto"/>
                        <w:right w:val="none" w:sz="0" w:space="0" w:color="auto"/>
                      </w:divBdr>
                      <w:divsChild>
                        <w:div w:id="1207523619">
                          <w:marLeft w:val="0"/>
                          <w:marRight w:val="0"/>
                          <w:marTop w:val="0"/>
                          <w:marBottom w:val="0"/>
                          <w:divBdr>
                            <w:top w:val="none" w:sz="0" w:space="0" w:color="auto"/>
                            <w:left w:val="none" w:sz="0" w:space="0" w:color="auto"/>
                            <w:bottom w:val="none" w:sz="0" w:space="0" w:color="auto"/>
                            <w:right w:val="none" w:sz="0" w:space="0" w:color="auto"/>
                          </w:divBdr>
                          <w:divsChild>
                            <w:div w:id="26486395">
                              <w:marLeft w:val="0"/>
                              <w:marRight w:val="0"/>
                              <w:marTop w:val="0"/>
                              <w:marBottom w:val="0"/>
                              <w:divBdr>
                                <w:top w:val="none" w:sz="0" w:space="0" w:color="auto"/>
                                <w:left w:val="none" w:sz="0" w:space="0" w:color="auto"/>
                                <w:bottom w:val="none" w:sz="0" w:space="0" w:color="auto"/>
                                <w:right w:val="none" w:sz="0" w:space="0" w:color="auto"/>
                              </w:divBdr>
                              <w:divsChild>
                                <w:div w:id="838353995">
                                  <w:marLeft w:val="0"/>
                                  <w:marRight w:val="0"/>
                                  <w:marTop w:val="0"/>
                                  <w:marBottom w:val="0"/>
                                  <w:divBdr>
                                    <w:top w:val="none" w:sz="0" w:space="0" w:color="auto"/>
                                    <w:left w:val="none" w:sz="0" w:space="0" w:color="auto"/>
                                    <w:bottom w:val="none" w:sz="0" w:space="0" w:color="auto"/>
                                    <w:right w:val="none" w:sz="0" w:space="0" w:color="auto"/>
                                  </w:divBdr>
                                  <w:divsChild>
                                    <w:div w:id="1854765076">
                                      <w:marLeft w:val="0"/>
                                      <w:marRight w:val="0"/>
                                      <w:marTop w:val="0"/>
                                      <w:marBottom w:val="0"/>
                                      <w:divBdr>
                                        <w:top w:val="none" w:sz="0" w:space="0" w:color="auto"/>
                                        <w:left w:val="none" w:sz="0" w:space="0" w:color="auto"/>
                                        <w:bottom w:val="none" w:sz="0" w:space="0" w:color="auto"/>
                                        <w:right w:val="none" w:sz="0" w:space="0" w:color="auto"/>
                                      </w:divBdr>
                                      <w:divsChild>
                                        <w:div w:id="519438822">
                                          <w:marLeft w:val="0"/>
                                          <w:marRight w:val="0"/>
                                          <w:marTop w:val="0"/>
                                          <w:marBottom w:val="0"/>
                                          <w:divBdr>
                                            <w:top w:val="none" w:sz="0" w:space="0" w:color="auto"/>
                                            <w:left w:val="none" w:sz="0" w:space="0" w:color="auto"/>
                                            <w:bottom w:val="none" w:sz="0" w:space="0" w:color="auto"/>
                                            <w:right w:val="none" w:sz="0" w:space="0" w:color="auto"/>
                                          </w:divBdr>
                                          <w:divsChild>
                                            <w:div w:id="2119713022">
                                              <w:marLeft w:val="0"/>
                                              <w:marRight w:val="0"/>
                                              <w:marTop w:val="0"/>
                                              <w:marBottom w:val="0"/>
                                              <w:divBdr>
                                                <w:top w:val="none" w:sz="0" w:space="0" w:color="auto"/>
                                                <w:left w:val="none" w:sz="0" w:space="0" w:color="auto"/>
                                                <w:bottom w:val="none" w:sz="0" w:space="0" w:color="auto"/>
                                                <w:right w:val="none" w:sz="0" w:space="0" w:color="auto"/>
                                              </w:divBdr>
                                              <w:divsChild>
                                                <w:div w:id="729768283">
                                                  <w:marLeft w:val="0"/>
                                                  <w:marRight w:val="0"/>
                                                  <w:marTop w:val="0"/>
                                                  <w:marBottom w:val="0"/>
                                                  <w:divBdr>
                                                    <w:top w:val="none" w:sz="0" w:space="0" w:color="auto"/>
                                                    <w:left w:val="none" w:sz="0" w:space="0" w:color="auto"/>
                                                    <w:bottom w:val="none" w:sz="0" w:space="0" w:color="auto"/>
                                                    <w:right w:val="none" w:sz="0" w:space="0" w:color="auto"/>
                                                  </w:divBdr>
                                                  <w:divsChild>
                                                    <w:div w:id="259682289">
                                                      <w:marLeft w:val="0"/>
                                                      <w:marRight w:val="0"/>
                                                      <w:marTop w:val="0"/>
                                                      <w:marBottom w:val="0"/>
                                                      <w:divBdr>
                                                        <w:top w:val="none" w:sz="0" w:space="0" w:color="auto"/>
                                                        <w:left w:val="none" w:sz="0" w:space="0" w:color="auto"/>
                                                        <w:bottom w:val="none" w:sz="0" w:space="0" w:color="auto"/>
                                                        <w:right w:val="none" w:sz="0" w:space="0" w:color="auto"/>
                                                      </w:divBdr>
                                                      <w:divsChild>
                                                        <w:div w:id="1673951264">
                                                          <w:marLeft w:val="0"/>
                                                          <w:marRight w:val="0"/>
                                                          <w:marTop w:val="0"/>
                                                          <w:marBottom w:val="0"/>
                                                          <w:divBdr>
                                                            <w:top w:val="none" w:sz="0" w:space="0" w:color="auto"/>
                                                            <w:left w:val="none" w:sz="0" w:space="0" w:color="auto"/>
                                                            <w:bottom w:val="none" w:sz="0" w:space="0" w:color="auto"/>
                                                            <w:right w:val="none" w:sz="0" w:space="0" w:color="auto"/>
                                                          </w:divBdr>
                                                          <w:divsChild>
                                                            <w:div w:id="32050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86579">
                                              <w:marLeft w:val="0"/>
                                              <w:marRight w:val="0"/>
                                              <w:marTop w:val="0"/>
                                              <w:marBottom w:val="0"/>
                                              <w:divBdr>
                                                <w:top w:val="none" w:sz="0" w:space="0" w:color="auto"/>
                                                <w:left w:val="none" w:sz="0" w:space="0" w:color="auto"/>
                                                <w:bottom w:val="none" w:sz="0" w:space="0" w:color="auto"/>
                                                <w:right w:val="none" w:sz="0" w:space="0" w:color="auto"/>
                                              </w:divBdr>
                                              <w:divsChild>
                                                <w:div w:id="1350718974">
                                                  <w:marLeft w:val="0"/>
                                                  <w:marRight w:val="0"/>
                                                  <w:marTop w:val="0"/>
                                                  <w:marBottom w:val="0"/>
                                                  <w:divBdr>
                                                    <w:top w:val="none" w:sz="0" w:space="0" w:color="auto"/>
                                                    <w:left w:val="none" w:sz="0" w:space="0" w:color="auto"/>
                                                    <w:bottom w:val="none" w:sz="0" w:space="0" w:color="auto"/>
                                                    <w:right w:val="none" w:sz="0" w:space="0" w:color="auto"/>
                                                  </w:divBdr>
                                                  <w:divsChild>
                                                    <w:div w:id="1546912220">
                                                      <w:marLeft w:val="0"/>
                                                      <w:marRight w:val="0"/>
                                                      <w:marTop w:val="0"/>
                                                      <w:marBottom w:val="0"/>
                                                      <w:divBdr>
                                                        <w:top w:val="none" w:sz="0" w:space="0" w:color="auto"/>
                                                        <w:left w:val="none" w:sz="0" w:space="0" w:color="auto"/>
                                                        <w:bottom w:val="none" w:sz="0" w:space="0" w:color="auto"/>
                                                        <w:right w:val="none" w:sz="0" w:space="0" w:color="auto"/>
                                                      </w:divBdr>
                                                      <w:divsChild>
                                                        <w:div w:id="1090084986">
                                                          <w:marLeft w:val="0"/>
                                                          <w:marRight w:val="0"/>
                                                          <w:marTop w:val="0"/>
                                                          <w:marBottom w:val="0"/>
                                                          <w:divBdr>
                                                            <w:top w:val="none" w:sz="0" w:space="0" w:color="auto"/>
                                                            <w:left w:val="none" w:sz="0" w:space="0" w:color="auto"/>
                                                            <w:bottom w:val="none" w:sz="0" w:space="0" w:color="auto"/>
                                                            <w:right w:val="none" w:sz="0" w:space="0" w:color="auto"/>
                                                          </w:divBdr>
                                                          <w:divsChild>
                                                            <w:div w:id="142785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314110">
          <w:marLeft w:val="0"/>
          <w:marRight w:val="0"/>
          <w:marTop w:val="0"/>
          <w:marBottom w:val="0"/>
          <w:divBdr>
            <w:top w:val="none" w:sz="0" w:space="0" w:color="auto"/>
            <w:left w:val="none" w:sz="0" w:space="0" w:color="auto"/>
            <w:bottom w:val="none" w:sz="0" w:space="0" w:color="auto"/>
            <w:right w:val="none" w:sz="0" w:space="0" w:color="auto"/>
          </w:divBdr>
          <w:divsChild>
            <w:div w:id="897713378">
              <w:marLeft w:val="0"/>
              <w:marRight w:val="0"/>
              <w:marTop w:val="0"/>
              <w:marBottom w:val="0"/>
              <w:divBdr>
                <w:top w:val="none" w:sz="0" w:space="0" w:color="auto"/>
                <w:left w:val="none" w:sz="0" w:space="0" w:color="auto"/>
                <w:bottom w:val="none" w:sz="0" w:space="0" w:color="auto"/>
                <w:right w:val="none" w:sz="0" w:space="0" w:color="auto"/>
              </w:divBdr>
              <w:divsChild>
                <w:div w:id="858616665">
                  <w:marLeft w:val="0"/>
                  <w:marRight w:val="0"/>
                  <w:marTop w:val="0"/>
                  <w:marBottom w:val="0"/>
                  <w:divBdr>
                    <w:top w:val="none" w:sz="0" w:space="0" w:color="auto"/>
                    <w:left w:val="none" w:sz="0" w:space="0" w:color="auto"/>
                    <w:bottom w:val="none" w:sz="0" w:space="0" w:color="auto"/>
                    <w:right w:val="none" w:sz="0" w:space="0" w:color="auto"/>
                  </w:divBdr>
                  <w:divsChild>
                    <w:div w:id="1437823956">
                      <w:marLeft w:val="0"/>
                      <w:marRight w:val="0"/>
                      <w:marTop w:val="0"/>
                      <w:marBottom w:val="0"/>
                      <w:divBdr>
                        <w:top w:val="none" w:sz="0" w:space="0" w:color="auto"/>
                        <w:left w:val="none" w:sz="0" w:space="0" w:color="auto"/>
                        <w:bottom w:val="none" w:sz="0" w:space="0" w:color="auto"/>
                        <w:right w:val="none" w:sz="0" w:space="0" w:color="auto"/>
                      </w:divBdr>
                      <w:divsChild>
                        <w:div w:id="372048638">
                          <w:marLeft w:val="0"/>
                          <w:marRight w:val="0"/>
                          <w:marTop w:val="0"/>
                          <w:marBottom w:val="0"/>
                          <w:divBdr>
                            <w:top w:val="none" w:sz="0" w:space="0" w:color="auto"/>
                            <w:left w:val="none" w:sz="0" w:space="0" w:color="auto"/>
                            <w:bottom w:val="none" w:sz="0" w:space="0" w:color="auto"/>
                            <w:right w:val="none" w:sz="0" w:space="0" w:color="auto"/>
                          </w:divBdr>
                          <w:divsChild>
                            <w:div w:id="1667001">
                              <w:marLeft w:val="0"/>
                              <w:marRight w:val="0"/>
                              <w:marTop w:val="0"/>
                              <w:marBottom w:val="0"/>
                              <w:divBdr>
                                <w:top w:val="none" w:sz="0" w:space="0" w:color="auto"/>
                                <w:left w:val="none" w:sz="0" w:space="0" w:color="auto"/>
                                <w:bottom w:val="none" w:sz="0" w:space="0" w:color="auto"/>
                                <w:right w:val="none" w:sz="0" w:space="0" w:color="auto"/>
                              </w:divBdr>
                              <w:divsChild>
                                <w:div w:id="1147432614">
                                  <w:marLeft w:val="0"/>
                                  <w:marRight w:val="0"/>
                                  <w:marTop w:val="0"/>
                                  <w:marBottom w:val="0"/>
                                  <w:divBdr>
                                    <w:top w:val="none" w:sz="0" w:space="0" w:color="auto"/>
                                    <w:left w:val="none" w:sz="0" w:space="0" w:color="auto"/>
                                    <w:bottom w:val="none" w:sz="0" w:space="0" w:color="auto"/>
                                    <w:right w:val="none" w:sz="0" w:space="0" w:color="auto"/>
                                  </w:divBdr>
                                  <w:divsChild>
                                    <w:div w:id="1428312412">
                                      <w:marLeft w:val="0"/>
                                      <w:marRight w:val="0"/>
                                      <w:marTop w:val="0"/>
                                      <w:marBottom w:val="0"/>
                                      <w:divBdr>
                                        <w:top w:val="none" w:sz="0" w:space="0" w:color="auto"/>
                                        <w:left w:val="none" w:sz="0" w:space="0" w:color="auto"/>
                                        <w:bottom w:val="none" w:sz="0" w:space="0" w:color="auto"/>
                                        <w:right w:val="none" w:sz="0" w:space="0" w:color="auto"/>
                                      </w:divBdr>
                                      <w:divsChild>
                                        <w:div w:id="1486969017">
                                          <w:marLeft w:val="0"/>
                                          <w:marRight w:val="0"/>
                                          <w:marTop w:val="0"/>
                                          <w:marBottom w:val="0"/>
                                          <w:divBdr>
                                            <w:top w:val="none" w:sz="0" w:space="0" w:color="auto"/>
                                            <w:left w:val="none" w:sz="0" w:space="0" w:color="auto"/>
                                            <w:bottom w:val="none" w:sz="0" w:space="0" w:color="auto"/>
                                            <w:right w:val="none" w:sz="0" w:space="0" w:color="auto"/>
                                          </w:divBdr>
                                          <w:divsChild>
                                            <w:div w:id="299383748">
                                              <w:marLeft w:val="0"/>
                                              <w:marRight w:val="0"/>
                                              <w:marTop w:val="0"/>
                                              <w:marBottom w:val="0"/>
                                              <w:divBdr>
                                                <w:top w:val="none" w:sz="0" w:space="0" w:color="auto"/>
                                                <w:left w:val="none" w:sz="0" w:space="0" w:color="auto"/>
                                                <w:bottom w:val="none" w:sz="0" w:space="0" w:color="auto"/>
                                                <w:right w:val="none" w:sz="0" w:space="0" w:color="auto"/>
                                              </w:divBdr>
                                              <w:divsChild>
                                                <w:div w:id="1481849824">
                                                  <w:marLeft w:val="0"/>
                                                  <w:marRight w:val="0"/>
                                                  <w:marTop w:val="0"/>
                                                  <w:marBottom w:val="0"/>
                                                  <w:divBdr>
                                                    <w:top w:val="none" w:sz="0" w:space="0" w:color="auto"/>
                                                    <w:left w:val="none" w:sz="0" w:space="0" w:color="auto"/>
                                                    <w:bottom w:val="none" w:sz="0" w:space="0" w:color="auto"/>
                                                    <w:right w:val="none" w:sz="0" w:space="0" w:color="auto"/>
                                                  </w:divBdr>
                                                </w:div>
                                              </w:divsChild>
                                            </w:div>
                                            <w:div w:id="262802675">
                                              <w:marLeft w:val="0"/>
                                              <w:marRight w:val="0"/>
                                              <w:marTop w:val="0"/>
                                              <w:marBottom w:val="0"/>
                                              <w:divBdr>
                                                <w:top w:val="none" w:sz="0" w:space="0" w:color="auto"/>
                                                <w:left w:val="none" w:sz="0" w:space="0" w:color="auto"/>
                                                <w:bottom w:val="none" w:sz="0" w:space="0" w:color="auto"/>
                                                <w:right w:val="none" w:sz="0" w:space="0" w:color="auto"/>
                                              </w:divBdr>
                                              <w:divsChild>
                                                <w:div w:id="1248806273">
                                                  <w:marLeft w:val="0"/>
                                                  <w:marRight w:val="0"/>
                                                  <w:marTop w:val="0"/>
                                                  <w:marBottom w:val="0"/>
                                                  <w:divBdr>
                                                    <w:top w:val="none" w:sz="0" w:space="0" w:color="auto"/>
                                                    <w:left w:val="none" w:sz="0" w:space="0" w:color="auto"/>
                                                    <w:bottom w:val="none" w:sz="0" w:space="0" w:color="auto"/>
                                                    <w:right w:val="none" w:sz="0" w:space="0" w:color="auto"/>
                                                  </w:divBdr>
                                                  <w:divsChild>
                                                    <w:div w:id="667101789">
                                                      <w:marLeft w:val="0"/>
                                                      <w:marRight w:val="0"/>
                                                      <w:marTop w:val="0"/>
                                                      <w:marBottom w:val="0"/>
                                                      <w:divBdr>
                                                        <w:top w:val="none" w:sz="0" w:space="0" w:color="auto"/>
                                                        <w:left w:val="none" w:sz="0" w:space="0" w:color="auto"/>
                                                        <w:bottom w:val="none" w:sz="0" w:space="0" w:color="auto"/>
                                                        <w:right w:val="none" w:sz="0" w:space="0" w:color="auto"/>
                                                      </w:divBdr>
                                                      <w:divsChild>
                                                        <w:div w:id="202227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9949067">
                              <w:marLeft w:val="0"/>
                              <w:marRight w:val="0"/>
                              <w:marTop w:val="0"/>
                              <w:marBottom w:val="0"/>
                              <w:divBdr>
                                <w:top w:val="none" w:sz="0" w:space="0" w:color="auto"/>
                                <w:left w:val="none" w:sz="0" w:space="0" w:color="auto"/>
                                <w:bottom w:val="none" w:sz="0" w:space="0" w:color="auto"/>
                                <w:right w:val="none" w:sz="0" w:space="0" w:color="auto"/>
                              </w:divBdr>
                              <w:divsChild>
                                <w:div w:id="130487622">
                                  <w:marLeft w:val="0"/>
                                  <w:marRight w:val="0"/>
                                  <w:marTop w:val="0"/>
                                  <w:marBottom w:val="0"/>
                                  <w:divBdr>
                                    <w:top w:val="none" w:sz="0" w:space="0" w:color="auto"/>
                                    <w:left w:val="none" w:sz="0" w:space="0" w:color="auto"/>
                                    <w:bottom w:val="none" w:sz="0" w:space="0" w:color="auto"/>
                                    <w:right w:val="none" w:sz="0" w:space="0" w:color="auto"/>
                                  </w:divBdr>
                                  <w:divsChild>
                                    <w:div w:id="1536120041">
                                      <w:marLeft w:val="0"/>
                                      <w:marRight w:val="0"/>
                                      <w:marTop w:val="0"/>
                                      <w:marBottom w:val="0"/>
                                      <w:divBdr>
                                        <w:top w:val="none" w:sz="0" w:space="0" w:color="auto"/>
                                        <w:left w:val="none" w:sz="0" w:space="0" w:color="auto"/>
                                        <w:bottom w:val="none" w:sz="0" w:space="0" w:color="auto"/>
                                        <w:right w:val="none" w:sz="0" w:space="0" w:color="auto"/>
                                      </w:divBdr>
                                      <w:divsChild>
                                        <w:div w:id="555552491">
                                          <w:marLeft w:val="0"/>
                                          <w:marRight w:val="0"/>
                                          <w:marTop w:val="0"/>
                                          <w:marBottom w:val="0"/>
                                          <w:divBdr>
                                            <w:top w:val="none" w:sz="0" w:space="0" w:color="auto"/>
                                            <w:left w:val="none" w:sz="0" w:space="0" w:color="auto"/>
                                            <w:bottom w:val="none" w:sz="0" w:space="0" w:color="auto"/>
                                            <w:right w:val="none" w:sz="0" w:space="0" w:color="auto"/>
                                          </w:divBdr>
                                          <w:divsChild>
                                            <w:div w:id="97098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5059697">
          <w:marLeft w:val="0"/>
          <w:marRight w:val="0"/>
          <w:marTop w:val="0"/>
          <w:marBottom w:val="0"/>
          <w:divBdr>
            <w:top w:val="none" w:sz="0" w:space="0" w:color="auto"/>
            <w:left w:val="none" w:sz="0" w:space="0" w:color="auto"/>
            <w:bottom w:val="none" w:sz="0" w:space="0" w:color="auto"/>
            <w:right w:val="none" w:sz="0" w:space="0" w:color="auto"/>
          </w:divBdr>
          <w:divsChild>
            <w:div w:id="1311709977">
              <w:marLeft w:val="0"/>
              <w:marRight w:val="0"/>
              <w:marTop w:val="0"/>
              <w:marBottom w:val="0"/>
              <w:divBdr>
                <w:top w:val="none" w:sz="0" w:space="0" w:color="auto"/>
                <w:left w:val="none" w:sz="0" w:space="0" w:color="auto"/>
                <w:bottom w:val="none" w:sz="0" w:space="0" w:color="auto"/>
                <w:right w:val="none" w:sz="0" w:space="0" w:color="auto"/>
              </w:divBdr>
              <w:divsChild>
                <w:div w:id="1876891285">
                  <w:marLeft w:val="0"/>
                  <w:marRight w:val="0"/>
                  <w:marTop w:val="0"/>
                  <w:marBottom w:val="0"/>
                  <w:divBdr>
                    <w:top w:val="none" w:sz="0" w:space="0" w:color="auto"/>
                    <w:left w:val="none" w:sz="0" w:space="0" w:color="auto"/>
                    <w:bottom w:val="none" w:sz="0" w:space="0" w:color="auto"/>
                    <w:right w:val="none" w:sz="0" w:space="0" w:color="auto"/>
                  </w:divBdr>
                  <w:divsChild>
                    <w:div w:id="1944223008">
                      <w:marLeft w:val="0"/>
                      <w:marRight w:val="0"/>
                      <w:marTop w:val="0"/>
                      <w:marBottom w:val="0"/>
                      <w:divBdr>
                        <w:top w:val="none" w:sz="0" w:space="0" w:color="auto"/>
                        <w:left w:val="none" w:sz="0" w:space="0" w:color="auto"/>
                        <w:bottom w:val="none" w:sz="0" w:space="0" w:color="auto"/>
                        <w:right w:val="none" w:sz="0" w:space="0" w:color="auto"/>
                      </w:divBdr>
                      <w:divsChild>
                        <w:div w:id="203367206">
                          <w:marLeft w:val="0"/>
                          <w:marRight w:val="0"/>
                          <w:marTop w:val="0"/>
                          <w:marBottom w:val="0"/>
                          <w:divBdr>
                            <w:top w:val="none" w:sz="0" w:space="0" w:color="auto"/>
                            <w:left w:val="none" w:sz="0" w:space="0" w:color="auto"/>
                            <w:bottom w:val="none" w:sz="0" w:space="0" w:color="auto"/>
                            <w:right w:val="none" w:sz="0" w:space="0" w:color="auto"/>
                          </w:divBdr>
                          <w:divsChild>
                            <w:div w:id="1868525556">
                              <w:marLeft w:val="0"/>
                              <w:marRight w:val="0"/>
                              <w:marTop w:val="0"/>
                              <w:marBottom w:val="0"/>
                              <w:divBdr>
                                <w:top w:val="none" w:sz="0" w:space="0" w:color="auto"/>
                                <w:left w:val="none" w:sz="0" w:space="0" w:color="auto"/>
                                <w:bottom w:val="none" w:sz="0" w:space="0" w:color="auto"/>
                                <w:right w:val="none" w:sz="0" w:space="0" w:color="auto"/>
                              </w:divBdr>
                              <w:divsChild>
                                <w:div w:id="1536313672">
                                  <w:marLeft w:val="0"/>
                                  <w:marRight w:val="0"/>
                                  <w:marTop w:val="0"/>
                                  <w:marBottom w:val="0"/>
                                  <w:divBdr>
                                    <w:top w:val="none" w:sz="0" w:space="0" w:color="auto"/>
                                    <w:left w:val="none" w:sz="0" w:space="0" w:color="auto"/>
                                    <w:bottom w:val="none" w:sz="0" w:space="0" w:color="auto"/>
                                    <w:right w:val="none" w:sz="0" w:space="0" w:color="auto"/>
                                  </w:divBdr>
                                  <w:divsChild>
                                    <w:div w:id="478571526">
                                      <w:marLeft w:val="0"/>
                                      <w:marRight w:val="0"/>
                                      <w:marTop w:val="0"/>
                                      <w:marBottom w:val="0"/>
                                      <w:divBdr>
                                        <w:top w:val="none" w:sz="0" w:space="0" w:color="auto"/>
                                        <w:left w:val="none" w:sz="0" w:space="0" w:color="auto"/>
                                        <w:bottom w:val="none" w:sz="0" w:space="0" w:color="auto"/>
                                        <w:right w:val="none" w:sz="0" w:space="0" w:color="auto"/>
                                      </w:divBdr>
                                      <w:divsChild>
                                        <w:div w:id="12887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945358">
          <w:marLeft w:val="0"/>
          <w:marRight w:val="0"/>
          <w:marTop w:val="0"/>
          <w:marBottom w:val="0"/>
          <w:divBdr>
            <w:top w:val="none" w:sz="0" w:space="0" w:color="auto"/>
            <w:left w:val="none" w:sz="0" w:space="0" w:color="auto"/>
            <w:bottom w:val="none" w:sz="0" w:space="0" w:color="auto"/>
            <w:right w:val="none" w:sz="0" w:space="0" w:color="auto"/>
          </w:divBdr>
          <w:divsChild>
            <w:div w:id="1321688709">
              <w:marLeft w:val="0"/>
              <w:marRight w:val="0"/>
              <w:marTop w:val="0"/>
              <w:marBottom w:val="0"/>
              <w:divBdr>
                <w:top w:val="none" w:sz="0" w:space="0" w:color="auto"/>
                <w:left w:val="none" w:sz="0" w:space="0" w:color="auto"/>
                <w:bottom w:val="none" w:sz="0" w:space="0" w:color="auto"/>
                <w:right w:val="none" w:sz="0" w:space="0" w:color="auto"/>
              </w:divBdr>
              <w:divsChild>
                <w:div w:id="1460147443">
                  <w:marLeft w:val="0"/>
                  <w:marRight w:val="0"/>
                  <w:marTop w:val="0"/>
                  <w:marBottom w:val="0"/>
                  <w:divBdr>
                    <w:top w:val="none" w:sz="0" w:space="0" w:color="auto"/>
                    <w:left w:val="none" w:sz="0" w:space="0" w:color="auto"/>
                    <w:bottom w:val="none" w:sz="0" w:space="0" w:color="auto"/>
                    <w:right w:val="none" w:sz="0" w:space="0" w:color="auto"/>
                  </w:divBdr>
                  <w:divsChild>
                    <w:div w:id="739713706">
                      <w:marLeft w:val="0"/>
                      <w:marRight w:val="0"/>
                      <w:marTop w:val="0"/>
                      <w:marBottom w:val="0"/>
                      <w:divBdr>
                        <w:top w:val="none" w:sz="0" w:space="0" w:color="auto"/>
                        <w:left w:val="none" w:sz="0" w:space="0" w:color="auto"/>
                        <w:bottom w:val="none" w:sz="0" w:space="0" w:color="auto"/>
                        <w:right w:val="none" w:sz="0" w:space="0" w:color="auto"/>
                      </w:divBdr>
                      <w:divsChild>
                        <w:div w:id="450978063">
                          <w:marLeft w:val="0"/>
                          <w:marRight w:val="0"/>
                          <w:marTop w:val="0"/>
                          <w:marBottom w:val="0"/>
                          <w:divBdr>
                            <w:top w:val="none" w:sz="0" w:space="0" w:color="auto"/>
                            <w:left w:val="none" w:sz="0" w:space="0" w:color="auto"/>
                            <w:bottom w:val="none" w:sz="0" w:space="0" w:color="auto"/>
                            <w:right w:val="none" w:sz="0" w:space="0" w:color="auto"/>
                          </w:divBdr>
                          <w:divsChild>
                            <w:div w:id="1022899037">
                              <w:marLeft w:val="0"/>
                              <w:marRight w:val="0"/>
                              <w:marTop w:val="0"/>
                              <w:marBottom w:val="0"/>
                              <w:divBdr>
                                <w:top w:val="none" w:sz="0" w:space="0" w:color="auto"/>
                                <w:left w:val="none" w:sz="0" w:space="0" w:color="auto"/>
                                <w:bottom w:val="none" w:sz="0" w:space="0" w:color="auto"/>
                                <w:right w:val="none" w:sz="0" w:space="0" w:color="auto"/>
                              </w:divBdr>
                              <w:divsChild>
                                <w:div w:id="1778981878">
                                  <w:marLeft w:val="0"/>
                                  <w:marRight w:val="0"/>
                                  <w:marTop w:val="0"/>
                                  <w:marBottom w:val="0"/>
                                  <w:divBdr>
                                    <w:top w:val="none" w:sz="0" w:space="0" w:color="auto"/>
                                    <w:left w:val="none" w:sz="0" w:space="0" w:color="auto"/>
                                    <w:bottom w:val="none" w:sz="0" w:space="0" w:color="auto"/>
                                    <w:right w:val="none" w:sz="0" w:space="0" w:color="auto"/>
                                  </w:divBdr>
                                  <w:divsChild>
                                    <w:div w:id="332997964">
                                      <w:marLeft w:val="0"/>
                                      <w:marRight w:val="0"/>
                                      <w:marTop w:val="0"/>
                                      <w:marBottom w:val="0"/>
                                      <w:divBdr>
                                        <w:top w:val="none" w:sz="0" w:space="0" w:color="auto"/>
                                        <w:left w:val="none" w:sz="0" w:space="0" w:color="auto"/>
                                        <w:bottom w:val="none" w:sz="0" w:space="0" w:color="auto"/>
                                        <w:right w:val="none" w:sz="0" w:space="0" w:color="auto"/>
                                      </w:divBdr>
                                      <w:divsChild>
                                        <w:div w:id="347800133">
                                          <w:marLeft w:val="0"/>
                                          <w:marRight w:val="0"/>
                                          <w:marTop w:val="0"/>
                                          <w:marBottom w:val="0"/>
                                          <w:divBdr>
                                            <w:top w:val="none" w:sz="0" w:space="0" w:color="auto"/>
                                            <w:left w:val="none" w:sz="0" w:space="0" w:color="auto"/>
                                            <w:bottom w:val="none" w:sz="0" w:space="0" w:color="auto"/>
                                            <w:right w:val="none" w:sz="0" w:space="0" w:color="auto"/>
                                          </w:divBdr>
                                          <w:divsChild>
                                            <w:div w:id="9623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3943331">
          <w:marLeft w:val="0"/>
          <w:marRight w:val="0"/>
          <w:marTop w:val="0"/>
          <w:marBottom w:val="0"/>
          <w:divBdr>
            <w:top w:val="none" w:sz="0" w:space="0" w:color="auto"/>
            <w:left w:val="none" w:sz="0" w:space="0" w:color="auto"/>
            <w:bottom w:val="none" w:sz="0" w:space="0" w:color="auto"/>
            <w:right w:val="none" w:sz="0" w:space="0" w:color="auto"/>
          </w:divBdr>
          <w:divsChild>
            <w:div w:id="614867340">
              <w:marLeft w:val="0"/>
              <w:marRight w:val="0"/>
              <w:marTop w:val="0"/>
              <w:marBottom w:val="0"/>
              <w:divBdr>
                <w:top w:val="none" w:sz="0" w:space="0" w:color="auto"/>
                <w:left w:val="none" w:sz="0" w:space="0" w:color="auto"/>
                <w:bottom w:val="none" w:sz="0" w:space="0" w:color="auto"/>
                <w:right w:val="none" w:sz="0" w:space="0" w:color="auto"/>
              </w:divBdr>
              <w:divsChild>
                <w:div w:id="1514148176">
                  <w:marLeft w:val="0"/>
                  <w:marRight w:val="0"/>
                  <w:marTop w:val="0"/>
                  <w:marBottom w:val="0"/>
                  <w:divBdr>
                    <w:top w:val="none" w:sz="0" w:space="0" w:color="auto"/>
                    <w:left w:val="none" w:sz="0" w:space="0" w:color="auto"/>
                    <w:bottom w:val="none" w:sz="0" w:space="0" w:color="auto"/>
                    <w:right w:val="none" w:sz="0" w:space="0" w:color="auto"/>
                  </w:divBdr>
                  <w:divsChild>
                    <w:div w:id="654770415">
                      <w:marLeft w:val="0"/>
                      <w:marRight w:val="0"/>
                      <w:marTop w:val="0"/>
                      <w:marBottom w:val="0"/>
                      <w:divBdr>
                        <w:top w:val="none" w:sz="0" w:space="0" w:color="auto"/>
                        <w:left w:val="none" w:sz="0" w:space="0" w:color="auto"/>
                        <w:bottom w:val="none" w:sz="0" w:space="0" w:color="auto"/>
                        <w:right w:val="none" w:sz="0" w:space="0" w:color="auto"/>
                      </w:divBdr>
                      <w:divsChild>
                        <w:div w:id="271010849">
                          <w:marLeft w:val="0"/>
                          <w:marRight w:val="0"/>
                          <w:marTop w:val="0"/>
                          <w:marBottom w:val="0"/>
                          <w:divBdr>
                            <w:top w:val="none" w:sz="0" w:space="0" w:color="auto"/>
                            <w:left w:val="none" w:sz="0" w:space="0" w:color="auto"/>
                            <w:bottom w:val="none" w:sz="0" w:space="0" w:color="auto"/>
                            <w:right w:val="none" w:sz="0" w:space="0" w:color="auto"/>
                          </w:divBdr>
                          <w:divsChild>
                            <w:div w:id="1763136508">
                              <w:marLeft w:val="0"/>
                              <w:marRight w:val="0"/>
                              <w:marTop w:val="0"/>
                              <w:marBottom w:val="0"/>
                              <w:divBdr>
                                <w:top w:val="none" w:sz="0" w:space="0" w:color="auto"/>
                                <w:left w:val="none" w:sz="0" w:space="0" w:color="auto"/>
                                <w:bottom w:val="none" w:sz="0" w:space="0" w:color="auto"/>
                                <w:right w:val="none" w:sz="0" w:space="0" w:color="auto"/>
                              </w:divBdr>
                              <w:divsChild>
                                <w:div w:id="1145856913">
                                  <w:marLeft w:val="0"/>
                                  <w:marRight w:val="0"/>
                                  <w:marTop w:val="0"/>
                                  <w:marBottom w:val="0"/>
                                  <w:divBdr>
                                    <w:top w:val="none" w:sz="0" w:space="0" w:color="auto"/>
                                    <w:left w:val="none" w:sz="0" w:space="0" w:color="auto"/>
                                    <w:bottom w:val="none" w:sz="0" w:space="0" w:color="auto"/>
                                    <w:right w:val="none" w:sz="0" w:space="0" w:color="auto"/>
                                  </w:divBdr>
                                  <w:divsChild>
                                    <w:div w:id="1036546368">
                                      <w:marLeft w:val="0"/>
                                      <w:marRight w:val="0"/>
                                      <w:marTop w:val="0"/>
                                      <w:marBottom w:val="0"/>
                                      <w:divBdr>
                                        <w:top w:val="none" w:sz="0" w:space="0" w:color="auto"/>
                                        <w:left w:val="none" w:sz="0" w:space="0" w:color="auto"/>
                                        <w:bottom w:val="none" w:sz="0" w:space="0" w:color="auto"/>
                                        <w:right w:val="none" w:sz="0" w:space="0" w:color="auto"/>
                                      </w:divBdr>
                                      <w:divsChild>
                                        <w:div w:id="704869012">
                                          <w:marLeft w:val="0"/>
                                          <w:marRight w:val="0"/>
                                          <w:marTop w:val="0"/>
                                          <w:marBottom w:val="0"/>
                                          <w:divBdr>
                                            <w:top w:val="none" w:sz="0" w:space="0" w:color="auto"/>
                                            <w:left w:val="none" w:sz="0" w:space="0" w:color="auto"/>
                                            <w:bottom w:val="none" w:sz="0" w:space="0" w:color="auto"/>
                                            <w:right w:val="none" w:sz="0" w:space="0" w:color="auto"/>
                                          </w:divBdr>
                                          <w:divsChild>
                                            <w:div w:id="239799695">
                                              <w:marLeft w:val="0"/>
                                              <w:marRight w:val="0"/>
                                              <w:marTop w:val="0"/>
                                              <w:marBottom w:val="0"/>
                                              <w:divBdr>
                                                <w:top w:val="none" w:sz="0" w:space="0" w:color="auto"/>
                                                <w:left w:val="none" w:sz="0" w:space="0" w:color="auto"/>
                                                <w:bottom w:val="none" w:sz="0" w:space="0" w:color="auto"/>
                                                <w:right w:val="none" w:sz="0" w:space="0" w:color="auto"/>
                                              </w:divBdr>
                                              <w:divsChild>
                                                <w:div w:id="1197037795">
                                                  <w:marLeft w:val="0"/>
                                                  <w:marRight w:val="0"/>
                                                  <w:marTop w:val="0"/>
                                                  <w:marBottom w:val="0"/>
                                                  <w:divBdr>
                                                    <w:top w:val="none" w:sz="0" w:space="0" w:color="auto"/>
                                                    <w:left w:val="none" w:sz="0" w:space="0" w:color="auto"/>
                                                    <w:bottom w:val="none" w:sz="0" w:space="0" w:color="auto"/>
                                                    <w:right w:val="none" w:sz="0" w:space="0" w:color="auto"/>
                                                  </w:divBdr>
                                                  <w:divsChild>
                                                    <w:div w:id="931276611">
                                                      <w:marLeft w:val="0"/>
                                                      <w:marRight w:val="0"/>
                                                      <w:marTop w:val="0"/>
                                                      <w:marBottom w:val="0"/>
                                                      <w:divBdr>
                                                        <w:top w:val="none" w:sz="0" w:space="0" w:color="auto"/>
                                                        <w:left w:val="none" w:sz="0" w:space="0" w:color="auto"/>
                                                        <w:bottom w:val="none" w:sz="0" w:space="0" w:color="auto"/>
                                                        <w:right w:val="none" w:sz="0" w:space="0" w:color="auto"/>
                                                      </w:divBdr>
                                                      <w:divsChild>
                                                        <w:div w:id="1137844348">
                                                          <w:marLeft w:val="0"/>
                                                          <w:marRight w:val="0"/>
                                                          <w:marTop w:val="0"/>
                                                          <w:marBottom w:val="0"/>
                                                          <w:divBdr>
                                                            <w:top w:val="none" w:sz="0" w:space="0" w:color="auto"/>
                                                            <w:left w:val="none" w:sz="0" w:space="0" w:color="auto"/>
                                                            <w:bottom w:val="none" w:sz="0" w:space="0" w:color="auto"/>
                                                            <w:right w:val="none" w:sz="0" w:space="0" w:color="auto"/>
                                                          </w:divBdr>
                                                          <w:divsChild>
                                                            <w:div w:id="4510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474776">
                                              <w:marLeft w:val="0"/>
                                              <w:marRight w:val="0"/>
                                              <w:marTop w:val="0"/>
                                              <w:marBottom w:val="0"/>
                                              <w:divBdr>
                                                <w:top w:val="none" w:sz="0" w:space="0" w:color="auto"/>
                                                <w:left w:val="none" w:sz="0" w:space="0" w:color="auto"/>
                                                <w:bottom w:val="none" w:sz="0" w:space="0" w:color="auto"/>
                                                <w:right w:val="none" w:sz="0" w:space="0" w:color="auto"/>
                                              </w:divBdr>
                                              <w:divsChild>
                                                <w:div w:id="379523144">
                                                  <w:marLeft w:val="0"/>
                                                  <w:marRight w:val="0"/>
                                                  <w:marTop w:val="0"/>
                                                  <w:marBottom w:val="0"/>
                                                  <w:divBdr>
                                                    <w:top w:val="none" w:sz="0" w:space="0" w:color="auto"/>
                                                    <w:left w:val="none" w:sz="0" w:space="0" w:color="auto"/>
                                                    <w:bottom w:val="none" w:sz="0" w:space="0" w:color="auto"/>
                                                    <w:right w:val="none" w:sz="0" w:space="0" w:color="auto"/>
                                                  </w:divBdr>
                                                  <w:divsChild>
                                                    <w:div w:id="1512062897">
                                                      <w:marLeft w:val="0"/>
                                                      <w:marRight w:val="0"/>
                                                      <w:marTop w:val="0"/>
                                                      <w:marBottom w:val="0"/>
                                                      <w:divBdr>
                                                        <w:top w:val="none" w:sz="0" w:space="0" w:color="auto"/>
                                                        <w:left w:val="none" w:sz="0" w:space="0" w:color="auto"/>
                                                        <w:bottom w:val="none" w:sz="0" w:space="0" w:color="auto"/>
                                                        <w:right w:val="none" w:sz="0" w:space="0" w:color="auto"/>
                                                      </w:divBdr>
                                                      <w:divsChild>
                                                        <w:div w:id="1229923463">
                                                          <w:marLeft w:val="0"/>
                                                          <w:marRight w:val="0"/>
                                                          <w:marTop w:val="0"/>
                                                          <w:marBottom w:val="0"/>
                                                          <w:divBdr>
                                                            <w:top w:val="none" w:sz="0" w:space="0" w:color="auto"/>
                                                            <w:left w:val="none" w:sz="0" w:space="0" w:color="auto"/>
                                                            <w:bottom w:val="none" w:sz="0" w:space="0" w:color="auto"/>
                                                            <w:right w:val="none" w:sz="0" w:space="0" w:color="auto"/>
                                                          </w:divBdr>
                                                          <w:divsChild>
                                                            <w:div w:id="96654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5035218">
      <w:bodyDiv w:val="1"/>
      <w:marLeft w:val="0"/>
      <w:marRight w:val="0"/>
      <w:marTop w:val="0"/>
      <w:marBottom w:val="0"/>
      <w:divBdr>
        <w:top w:val="none" w:sz="0" w:space="0" w:color="auto"/>
        <w:left w:val="none" w:sz="0" w:space="0" w:color="auto"/>
        <w:bottom w:val="none" w:sz="0" w:space="0" w:color="auto"/>
        <w:right w:val="none" w:sz="0" w:space="0" w:color="auto"/>
      </w:divBdr>
    </w:div>
    <w:div w:id="1171068047">
      <w:bodyDiv w:val="1"/>
      <w:marLeft w:val="0"/>
      <w:marRight w:val="0"/>
      <w:marTop w:val="0"/>
      <w:marBottom w:val="0"/>
      <w:divBdr>
        <w:top w:val="none" w:sz="0" w:space="0" w:color="auto"/>
        <w:left w:val="none" w:sz="0" w:space="0" w:color="auto"/>
        <w:bottom w:val="none" w:sz="0" w:space="0" w:color="auto"/>
        <w:right w:val="none" w:sz="0" w:space="0" w:color="auto"/>
      </w:divBdr>
      <w:divsChild>
        <w:div w:id="728767217">
          <w:marLeft w:val="0"/>
          <w:marRight w:val="0"/>
          <w:marTop w:val="0"/>
          <w:marBottom w:val="0"/>
          <w:divBdr>
            <w:top w:val="none" w:sz="0" w:space="0" w:color="auto"/>
            <w:left w:val="none" w:sz="0" w:space="0" w:color="auto"/>
            <w:bottom w:val="none" w:sz="0" w:space="0" w:color="auto"/>
            <w:right w:val="none" w:sz="0" w:space="0" w:color="auto"/>
          </w:divBdr>
          <w:divsChild>
            <w:div w:id="1698461909">
              <w:marLeft w:val="0"/>
              <w:marRight w:val="0"/>
              <w:marTop w:val="0"/>
              <w:marBottom w:val="0"/>
              <w:divBdr>
                <w:top w:val="none" w:sz="0" w:space="0" w:color="auto"/>
                <w:left w:val="none" w:sz="0" w:space="0" w:color="auto"/>
                <w:bottom w:val="none" w:sz="0" w:space="0" w:color="auto"/>
                <w:right w:val="none" w:sz="0" w:space="0" w:color="auto"/>
              </w:divBdr>
              <w:divsChild>
                <w:div w:id="1982809245">
                  <w:marLeft w:val="0"/>
                  <w:marRight w:val="0"/>
                  <w:marTop w:val="0"/>
                  <w:marBottom w:val="0"/>
                  <w:divBdr>
                    <w:top w:val="none" w:sz="0" w:space="0" w:color="auto"/>
                    <w:left w:val="none" w:sz="0" w:space="0" w:color="auto"/>
                    <w:bottom w:val="none" w:sz="0" w:space="0" w:color="auto"/>
                    <w:right w:val="none" w:sz="0" w:space="0" w:color="auto"/>
                  </w:divBdr>
                  <w:divsChild>
                    <w:div w:id="102923623">
                      <w:marLeft w:val="0"/>
                      <w:marRight w:val="0"/>
                      <w:marTop w:val="0"/>
                      <w:marBottom w:val="0"/>
                      <w:divBdr>
                        <w:top w:val="none" w:sz="0" w:space="0" w:color="auto"/>
                        <w:left w:val="none" w:sz="0" w:space="0" w:color="auto"/>
                        <w:bottom w:val="none" w:sz="0" w:space="0" w:color="auto"/>
                        <w:right w:val="none" w:sz="0" w:space="0" w:color="auto"/>
                      </w:divBdr>
                      <w:divsChild>
                        <w:div w:id="2075666185">
                          <w:marLeft w:val="0"/>
                          <w:marRight w:val="0"/>
                          <w:marTop w:val="0"/>
                          <w:marBottom w:val="0"/>
                          <w:divBdr>
                            <w:top w:val="none" w:sz="0" w:space="0" w:color="auto"/>
                            <w:left w:val="none" w:sz="0" w:space="0" w:color="auto"/>
                            <w:bottom w:val="none" w:sz="0" w:space="0" w:color="auto"/>
                            <w:right w:val="none" w:sz="0" w:space="0" w:color="auto"/>
                          </w:divBdr>
                          <w:divsChild>
                            <w:div w:id="342633902">
                              <w:marLeft w:val="0"/>
                              <w:marRight w:val="0"/>
                              <w:marTop w:val="0"/>
                              <w:marBottom w:val="0"/>
                              <w:divBdr>
                                <w:top w:val="none" w:sz="0" w:space="0" w:color="auto"/>
                                <w:left w:val="none" w:sz="0" w:space="0" w:color="auto"/>
                                <w:bottom w:val="none" w:sz="0" w:space="0" w:color="auto"/>
                                <w:right w:val="none" w:sz="0" w:space="0" w:color="auto"/>
                              </w:divBdr>
                              <w:divsChild>
                                <w:div w:id="1100636427">
                                  <w:marLeft w:val="0"/>
                                  <w:marRight w:val="0"/>
                                  <w:marTop w:val="0"/>
                                  <w:marBottom w:val="0"/>
                                  <w:divBdr>
                                    <w:top w:val="none" w:sz="0" w:space="0" w:color="auto"/>
                                    <w:left w:val="none" w:sz="0" w:space="0" w:color="auto"/>
                                    <w:bottom w:val="none" w:sz="0" w:space="0" w:color="auto"/>
                                    <w:right w:val="none" w:sz="0" w:space="0" w:color="auto"/>
                                  </w:divBdr>
                                  <w:divsChild>
                                    <w:div w:id="538468797">
                                      <w:marLeft w:val="0"/>
                                      <w:marRight w:val="0"/>
                                      <w:marTop w:val="0"/>
                                      <w:marBottom w:val="0"/>
                                      <w:divBdr>
                                        <w:top w:val="none" w:sz="0" w:space="0" w:color="auto"/>
                                        <w:left w:val="none" w:sz="0" w:space="0" w:color="auto"/>
                                        <w:bottom w:val="none" w:sz="0" w:space="0" w:color="auto"/>
                                        <w:right w:val="none" w:sz="0" w:space="0" w:color="auto"/>
                                      </w:divBdr>
                                      <w:divsChild>
                                        <w:div w:id="25028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28664">
          <w:marLeft w:val="0"/>
          <w:marRight w:val="0"/>
          <w:marTop w:val="0"/>
          <w:marBottom w:val="0"/>
          <w:divBdr>
            <w:top w:val="none" w:sz="0" w:space="0" w:color="auto"/>
            <w:left w:val="none" w:sz="0" w:space="0" w:color="auto"/>
            <w:bottom w:val="none" w:sz="0" w:space="0" w:color="auto"/>
            <w:right w:val="none" w:sz="0" w:space="0" w:color="auto"/>
          </w:divBdr>
          <w:divsChild>
            <w:div w:id="1111054105">
              <w:marLeft w:val="0"/>
              <w:marRight w:val="0"/>
              <w:marTop w:val="0"/>
              <w:marBottom w:val="0"/>
              <w:divBdr>
                <w:top w:val="none" w:sz="0" w:space="0" w:color="auto"/>
                <w:left w:val="none" w:sz="0" w:space="0" w:color="auto"/>
                <w:bottom w:val="none" w:sz="0" w:space="0" w:color="auto"/>
                <w:right w:val="none" w:sz="0" w:space="0" w:color="auto"/>
              </w:divBdr>
              <w:divsChild>
                <w:div w:id="779644250">
                  <w:marLeft w:val="0"/>
                  <w:marRight w:val="0"/>
                  <w:marTop w:val="0"/>
                  <w:marBottom w:val="0"/>
                  <w:divBdr>
                    <w:top w:val="none" w:sz="0" w:space="0" w:color="auto"/>
                    <w:left w:val="none" w:sz="0" w:space="0" w:color="auto"/>
                    <w:bottom w:val="none" w:sz="0" w:space="0" w:color="auto"/>
                    <w:right w:val="none" w:sz="0" w:space="0" w:color="auto"/>
                  </w:divBdr>
                  <w:divsChild>
                    <w:div w:id="1904829465">
                      <w:marLeft w:val="0"/>
                      <w:marRight w:val="0"/>
                      <w:marTop w:val="0"/>
                      <w:marBottom w:val="0"/>
                      <w:divBdr>
                        <w:top w:val="none" w:sz="0" w:space="0" w:color="auto"/>
                        <w:left w:val="none" w:sz="0" w:space="0" w:color="auto"/>
                        <w:bottom w:val="none" w:sz="0" w:space="0" w:color="auto"/>
                        <w:right w:val="none" w:sz="0" w:space="0" w:color="auto"/>
                      </w:divBdr>
                      <w:divsChild>
                        <w:div w:id="1472483173">
                          <w:marLeft w:val="0"/>
                          <w:marRight w:val="0"/>
                          <w:marTop w:val="0"/>
                          <w:marBottom w:val="0"/>
                          <w:divBdr>
                            <w:top w:val="none" w:sz="0" w:space="0" w:color="auto"/>
                            <w:left w:val="none" w:sz="0" w:space="0" w:color="auto"/>
                            <w:bottom w:val="none" w:sz="0" w:space="0" w:color="auto"/>
                            <w:right w:val="none" w:sz="0" w:space="0" w:color="auto"/>
                          </w:divBdr>
                          <w:divsChild>
                            <w:div w:id="1536771866">
                              <w:marLeft w:val="0"/>
                              <w:marRight w:val="0"/>
                              <w:marTop w:val="0"/>
                              <w:marBottom w:val="0"/>
                              <w:divBdr>
                                <w:top w:val="none" w:sz="0" w:space="0" w:color="auto"/>
                                <w:left w:val="none" w:sz="0" w:space="0" w:color="auto"/>
                                <w:bottom w:val="none" w:sz="0" w:space="0" w:color="auto"/>
                                <w:right w:val="none" w:sz="0" w:space="0" w:color="auto"/>
                              </w:divBdr>
                              <w:divsChild>
                                <w:div w:id="858354785">
                                  <w:marLeft w:val="0"/>
                                  <w:marRight w:val="0"/>
                                  <w:marTop w:val="0"/>
                                  <w:marBottom w:val="0"/>
                                  <w:divBdr>
                                    <w:top w:val="none" w:sz="0" w:space="0" w:color="auto"/>
                                    <w:left w:val="none" w:sz="0" w:space="0" w:color="auto"/>
                                    <w:bottom w:val="none" w:sz="0" w:space="0" w:color="auto"/>
                                    <w:right w:val="none" w:sz="0" w:space="0" w:color="auto"/>
                                  </w:divBdr>
                                  <w:divsChild>
                                    <w:div w:id="1598292336">
                                      <w:marLeft w:val="0"/>
                                      <w:marRight w:val="0"/>
                                      <w:marTop w:val="0"/>
                                      <w:marBottom w:val="0"/>
                                      <w:divBdr>
                                        <w:top w:val="none" w:sz="0" w:space="0" w:color="auto"/>
                                        <w:left w:val="none" w:sz="0" w:space="0" w:color="auto"/>
                                        <w:bottom w:val="none" w:sz="0" w:space="0" w:color="auto"/>
                                        <w:right w:val="none" w:sz="0" w:space="0" w:color="auto"/>
                                      </w:divBdr>
                                      <w:divsChild>
                                        <w:div w:id="317077797">
                                          <w:marLeft w:val="0"/>
                                          <w:marRight w:val="0"/>
                                          <w:marTop w:val="0"/>
                                          <w:marBottom w:val="0"/>
                                          <w:divBdr>
                                            <w:top w:val="none" w:sz="0" w:space="0" w:color="auto"/>
                                            <w:left w:val="none" w:sz="0" w:space="0" w:color="auto"/>
                                            <w:bottom w:val="none" w:sz="0" w:space="0" w:color="auto"/>
                                            <w:right w:val="none" w:sz="0" w:space="0" w:color="auto"/>
                                          </w:divBdr>
                                          <w:divsChild>
                                            <w:div w:id="68887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4920126">
          <w:marLeft w:val="0"/>
          <w:marRight w:val="0"/>
          <w:marTop w:val="0"/>
          <w:marBottom w:val="0"/>
          <w:divBdr>
            <w:top w:val="none" w:sz="0" w:space="0" w:color="auto"/>
            <w:left w:val="none" w:sz="0" w:space="0" w:color="auto"/>
            <w:bottom w:val="none" w:sz="0" w:space="0" w:color="auto"/>
            <w:right w:val="none" w:sz="0" w:space="0" w:color="auto"/>
          </w:divBdr>
          <w:divsChild>
            <w:div w:id="1834025100">
              <w:marLeft w:val="0"/>
              <w:marRight w:val="0"/>
              <w:marTop w:val="0"/>
              <w:marBottom w:val="0"/>
              <w:divBdr>
                <w:top w:val="none" w:sz="0" w:space="0" w:color="auto"/>
                <w:left w:val="none" w:sz="0" w:space="0" w:color="auto"/>
                <w:bottom w:val="none" w:sz="0" w:space="0" w:color="auto"/>
                <w:right w:val="none" w:sz="0" w:space="0" w:color="auto"/>
              </w:divBdr>
              <w:divsChild>
                <w:div w:id="1773280975">
                  <w:marLeft w:val="0"/>
                  <w:marRight w:val="0"/>
                  <w:marTop w:val="0"/>
                  <w:marBottom w:val="0"/>
                  <w:divBdr>
                    <w:top w:val="none" w:sz="0" w:space="0" w:color="auto"/>
                    <w:left w:val="none" w:sz="0" w:space="0" w:color="auto"/>
                    <w:bottom w:val="none" w:sz="0" w:space="0" w:color="auto"/>
                    <w:right w:val="none" w:sz="0" w:space="0" w:color="auto"/>
                  </w:divBdr>
                  <w:divsChild>
                    <w:div w:id="523860069">
                      <w:marLeft w:val="0"/>
                      <w:marRight w:val="0"/>
                      <w:marTop w:val="0"/>
                      <w:marBottom w:val="0"/>
                      <w:divBdr>
                        <w:top w:val="none" w:sz="0" w:space="0" w:color="auto"/>
                        <w:left w:val="none" w:sz="0" w:space="0" w:color="auto"/>
                        <w:bottom w:val="none" w:sz="0" w:space="0" w:color="auto"/>
                        <w:right w:val="none" w:sz="0" w:space="0" w:color="auto"/>
                      </w:divBdr>
                      <w:divsChild>
                        <w:div w:id="15618828">
                          <w:marLeft w:val="0"/>
                          <w:marRight w:val="0"/>
                          <w:marTop w:val="0"/>
                          <w:marBottom w:val="0"/>
                          <w:divBdr>
                            <w:top w:val="none" w:sz="0" w:space="0" w:color="auto"/>
                            <w:left w:val="none" w:sz="0" w:space="0" w:color="auto"/>
                            <w:bottom w:val="none" w:sz="0" w:space="0" w:color="auto"/>
                            <w:right w:val="none" w:sz="0" w:space="0" w:color="auto"/>
                          </w:divBdr>
                          <w:divsChild>
                            <w:div w:id="1924223405">
                              <w:marLeft w:val="0"/>
                              <w:marRight w:val="0"/>
                              <w:marTop w:val="0"/>
                              <w:marBottom w:val="0"/>
                              <w:divBdr>
                                <w:top w:val="none" w:sz="0" w:space="0" w:color="auto"/>
                                <w:left w:val="none" w:sz="0" w:space="0" w:color="auto"/>
                                <w:bottom w:val="none" w:sz="0" w:space="0" w:color="auto"/>
                                <w:right w:val="none" w:sz="0" w:space="0" w:color="auto"/>
                              </w:divBdr>
                              <w:divsChild>
                                <w:div w:id="1165513149">
                                  <w:marLeft w:val="0"/>
                                  <w:marRight w:val="0"/>
                                  <w:marTop w:val="0"/>
                                  <w:marBottom w:val="0"/>
                                  <w:divBdr>
                                    <w:top w:val="none" w:sz="0" w:space="0" w:color="auto"/>
                                    <w:left w:val="none" w:sz="0" w:space="0" w:color="auto"/>
                                    <w:bottom w:val="none" w:sz="0" w:space="0" w:color="auto"/>
                                    <w:right w:val="none" w:sz="0" w:space="0" w:color="auto"/>
                                  </w:divBdr>
                                  <w:divsChild>
                                    <w:div w:id="702631142">
                                      <w:marLeft w:val="0"/>
                                      <w:marRight w:val="0"/>
                                      <w:marTop w:val="0"/>
                                      <w:marBottom w:val="0"/>
                                      <w:divBdr>
                                        <w:top w:val="none" w:sz="0" w:space="0" w:color="auto"/>
                                        <w:left w:val="none" w:sz="0" w:space="0" w:color="auto"/>
                                        <w:bottom w:val="none" w:sz="0" w:space="0" w:color="auto"/>
                                        <w:right w:val="none" w:sz="0" w:space="0" w:color="auto"/>
                                      </w:divBdr>
                                      <w:divsChild>
                                        <w:div w:id="525992297">
                                          <w:marLeft w:val="0"/>
                                          <w:marRight w:val="0"/>
                                          <w:marTop w:val="0"/>
                                          <w:marBottom w:val="0"/>
                                          <w:divBdr>
                                            <w:top w:val="none" w:sz="0" w:space="0" w:color="auto"/>
                                            <w:left w:val="none" w:sz="0" w:space="0" w:color="auto"/>
                                            <w:bottom w:val="none" w:sz="0" w:space="0" w:color="auto"/>
                                            <w:right w:val="none" w:sz="0" w:space="0" w:color="auto"/>
                                          </w:divBdr>
                                          <w:divsChild>
                                            <w:div w:id="1586039469">
                                              <w:marLeft w:val="0"/>
                                              <w:marRight w:val="0"/>
                                              <w:marTop w:val="0"/>
                                              <w:marBottom w:val="0"/>
                                              <w:divBdr>
                                                <w:top w:val="none" w:sz="0" w:space="0" w:color="auto"/>
                                                <w:left w:val="none" w:sz="0" w:space="0" w:color="auto"/>
                                                <w:bottom w:val="none" w:sz="0" w:space="0" w:color="auto"/>
                                                <w:right w:val="none" w:sz="0" w:space="0" w:color="auto"/>
                                              </w:divBdr>
                                              <w:divsChild>
                                                <w:div w:id="788401719">
                                                  <w:marLeft w:val="0"/>
                                                  <w:marRight w:val="0"/>
                                                  <w:marTop w:val="0"/>
                                                  <w:marBottom w:val="0"/>
                                                  <w:divBdr>
                                                    <w:top w:val="none" w:sz="0" w:space="0" w:color="auto"/>
                                                    <w:left w:val="none" w:sz="0" w:space="0" w:color="auto"/>
                                                    <w:bottom w:val="none" w:sz="0" w:space="0" w:color="auto"/>
                                                    <w:right w:val="none" w:sz="0" w:space="0" w:color="auto"/>
                                                  </w:divBdr>
                                                  <w:divsChild>
                                                    <w:div w:id="1367177022">
                                                      <w:marLeft w:val="0"/>
                                                      <w:marRight w:val="0"/>
                                                      <w:marTop w:val="0"/>
                                                      <w:marBottom w:val="0"/>
                                                      <w:divBdr>
                                                        <w:top w:val="none" w:sz="0" w:space="0" w:color="auto"/>
                                                        <w:left w:val="none" w:sz="0" w:space="0" w:color="auto"/>
                                                        <w:bottom w:val="none" w:sz="0" w:space="0" w:color="auto"/>
                                                        <w:right w:val="none" w:sz="0" w:space="0" w:color="auto"/>
                                                      </w:divBdr>
                                                      <w:divsChild>
                                                        <w:div w:id="415857428">
                                                          <w:marLeft w:val="0"/>
                                                          <w:marRight w:val="0"/>
                                                          <w:marTop w:val="0"/>
                                                          <w:marBottom w:val="0"/>
                                                          <w:divBdr>
                                                            <w:top w:val="none" w:sz="0" w:space="0" w:color="auto"/>
                                                            <w:left w:val="none" w:sz="0" w:space="0" w:color="auto"/>
                                                            <w:bottom w:val="none" w:sz="0" w:space="0" w:color="auto"/>
                                                            <w:right w:val="none" w:sz="0" w:space="0" w:color="auto"/>
                                                          </w:divBdr>
                                                          <w:divsChild>
                                                            <w:div w:id="6429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8948">
                                              <w:marLeft w:val="0"/>
                                              <w:marRight w:val="0"/>
                                              <w:marTop w:val="0"/>
                                              <w:marBottom w:val="0"/>
                                              <w:divBdr>
                                                <w:top w:val="none" w:sz="0" w:space="0" w:color="auto"/>
                                                <w:left w:val="none" w:sz="0" w:space="0" w:color="auto"/>
                                                <w:bottom w:val="none" w:sz="0" w:space="0" w:color="auto"/>
                                                <w:right w:val="none" w:sz="0" w:space="0" w:color="auto"/>
                                              </w:divBdr>
                                              <w:divsChild>
                                                <w:div w:id="607544604">
                                                  <w:marLeft w:val="0"/>
                                                  <w:marRight w:val="0"/>
                                                  <w:marTop w:val="0"/>
                                                  <w:marBottom w:val="0"/>
                                                  <w:divBdr>
                                                    <w:top w:val="none" w:sz="0" w:space="0" w:color="auto"/>
                                                    <w:left w:val="none" w:sz="0" w:space="0" w:color="auto"/>
                                                    <w:bottom w:val="none" w:sz="0" w:space="0" w:color="auto"/>
                                                    <w:right w:val="none" w:sz="0" w:space="0" w:color="auto"/>
                                                  </w:divBdr>
                                                  <w:divsChild>
                                                    <w:div w:id="1264068798">
                                                      <w:marLeft w:val="0"/>
                                                      <w:marRight w:val="0"/>
                                                      <w:marTop w:val="0"/>
                                                      <w:marBottom w:val="0"/>
                                                      <w:divBdr>
                                                        <w:top w:val="none" w:sz="0" w:space="0" w:color="auto"/>
                                                        <w:left w:val="none" w:sz="0" w:space="0" w:color="auto"/>
                                                        <w:bottom w:val="none" w:sz="0" w:space="0" w:color="auto"/>
                                                        <w:right w:val="none" w:sz="0" w:space="0" w:color="auto"/>
                                                      </w:divBdr>
                                                      <w:divsChild>
                                                        <w:div w:id="1523010020">
                                                          <w:marLeft w:val="0"/>
                                                          <w:marRight w:val="0"/>
                                                          <w:marTop w:val="0"/>
                                                          <w:marBottom w:val="0"/>
                                                          <w:divBdr>
                                                            <w:top w:val="none" w:sz="0" w:space="0" w:color="auto"/>
                                                            <w:left w:val="none" w:sz="0" w:space="0" w:color="auto"/>
                                                            <w:bottom w:val="none" w:sz="0" w:space="0" w:color="auto"/>
                                                            <w:right w:val="none" w:sz="0" w:space="0" w:color="auto"/>
                                                          </w:divBdr>
                                                          <w:divsChild>
                                                            <w:div w:id="47973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347083">
                                      <w:marLeft w:val="0"/>
                                      <w:marRight w:val="0"/>
                                      <w:marTop w:val="0"/>
                                      <w:marBottom w:val="0"/>
                                      <w:divBdr>
                                        <w:top w:val="none" w:sz="0" w:space="0" w:color="auto"/>
                                        <w:left w:val="none" w:sz="0" w:space="0" w:color="auto"/>
                                        <w:bottom w:val="none" w:sz="0" w:space="0" w:color="auto"/>
                                        <w:right w:val="none" w:sz="0" w:space="0" w:color="auto"/>
                                      </w:divBdr>
                                      <w:divsChild>
                                        <w:div w:id="1894661424">
                                          <w:marLeft w:val="0"/>
                                          <w:marRight w:val="0"/>
                                          <w:marTop w:val="0"/>
                                          <w:marBottom w:val="0"/>
                                          <w:divBdr>
                                            <w:top w:val="none" w:sz="0" w:space="0" w:color="auto"/>
                                            <w:left w:val="none" w:sz="0" w:space="0" w:color="auto"/>
                                            <w:bottom w:val="none" w:sz="0" w:space="0" w:color="auto"/>
                                            <w:right w:val="none" w:sz="0" w:space="0" w:color="auto"/>
                                          </w:divBdr>
                                          <w:divsChild>
                                            <w:div w:id="1230111212">
                                              <w:marLeft w:val="0"/>
                                              <w:marRight w:val="0"/>
                                              <w:marTop w:val="0"/>
                                              <w:marBottom w:val="0"/>
                                              <w:divBdr>
                                                <w:top w:val="none" w:sz="0" w:space="0" w:color="auto"/>
                                                <w:left w:val="none" w:sz="0" w:space="0" w:color="auto"/>
                                                <w:bottom w:val="none" w:sz="0" w:space="0" w:color="auto"/>
                                                <w:right w:val="none" w:sz="0" w:space="0" w:color="auto"/>
                                              </w:divBdr>
                                              <w:divsChild>
                                                <w:div w:id="1237976520">
                                                  <w:marLeft w:val="0"/>
                                                  <w:marRight w:val="0"/>
                                                  <w:marTop w:val="0"/>
                                                  <w:marBottom w:val="0"/>
                                                  <w:divBdr>
                                                    <w:top w:val="none" w:sz="0" w:space="0" w:color="auto"/>
                                                    <w:left w:val="none" w:sz="0" w:space="0" w:color="auto"/>
                                                    <w:bottom w:val="none" w:sz="0" w:space="0" w:color="auto"/>
                                                    <w:right w:val="none" w:sz="0" w:space="0" w:color="auto"/>
                                                  </w:divBdr>
                                                  <w:divsChild>
                                                    <w:div w:id="1105224419">
                                                      <w:marLeft w:val="0"/>
                                                      <w:marRight w:val="0"/>
                                                      <w:marTop w:val="0"/>
                                                      <w:marBottom w:val="0"/>
                                                      <w:divBdr>
                                                        <w:top w:val="none" w:sz="0" w:space="0" w:color="auto"/>
                                                        <w:left w:val="none" w:sz="0" w:space="0" w:color="auto"/>
                                                        <w:bottom w:val="none" w:sz="0" w:space="0" w:color="auto"/>
                                                        <w:right w:val="none" w:sz="0" w:space="0" w:color="auto"/>
                                                      </w:divBdr>
                                                      <w:divsChild>
                                                        <w:div w:id="600917198">
                                                          <w:marLeft w:val="0"/>
                                                          <w:marRight w:val="0"/>
                                                          <w:marTop w:val="0"/>
                                                          <w:marBottom w:val="0"/>
                                                          <w:divBdr>
                                                            <w:top w:val="none" w:sz="0" w:space="0" w:color="auto"/>
                                                            <w:left w:val="none" w:sz="0" w:space="0" w:color="auto"/>
                                                            <w:bottom w:val="none" w:sz="0" w:space="0" w:color="auto"/>
                                                            <w:right w:val="none" w:sz="0" w:space="0" w:color="auto"/>
                                                          </w:divBdr>
                                                          <w:divsChild>
                                                            <w:div w:id="1114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463510">
                                              <w:marLeft w:val="0"/>
                                              <w:marRight w:val="0"/>
                                              <w:marTop w:val="0"/>
                                              <w:marBottom w:val="0"/>
                                              <w:divBdr>
                                                <w:top w:val="none" w:sz="0" w:space="0" w:color="auto"/>
                                                <w:left w:val="none" w:sz="0" w:space="0" w:color="auto"/>
                                                <w:bottom w:val="none" w:sz="0" w:space="0" w:color="auto"/>
                                                <w:right w:val="none" w:sz="0" w:space="0" w:color="auto"/>
                                              </w:divBdr>
                                              <w:divsChild>
                                                <w:div w:id="161775342">
                                                  <w:marLeft w:val="0"/>
                                                  <w:marRight w:val="0"/>
                                                  <w:marTop w:val="0"/>
                                                  <w:marBottom w:val="0"/>
                                                  <w:divBdr>
                                                    <w:top w:val="none" w:sz="0" w:space="0" w:color="auto"/>
                                                    <w:left w:val="none" w:sz="0" w:space="0" w:color="auto"/>
                                                    <w:bottom w:val="none" w:sz="0" w:space="0" w:color="auto"/>
                                                    <w:right w:val="none" w:sz="0" w:space="0" w:color="auto"/>
                                                  </w:divBdr>
                                                  <w:divsChild>
                                                    <w:div w:id="515583927">
                                                      <w:marLeft w:val="0"/>
                                                      <w:marRight w:val="0"/>
                                                      <w:marTop w:val="0"/>
                                                      <w:marBottom w:val="0"/>
                                                      <w:divBdr>
                                                        <w:top w:val="none" w:sz="0" w:space="0" w:color="auto"/>
                                                        <w:left w:val="none" w:sz="0" w:space="0" w:color="auto"/>
                                                        <w:bottom w:val="none" w:sz="0" w:space="0" w:color="auto"/>
                                                        <w:right w:val="none" w:sz="0" w:space="0" w:color="auto"/>
                                                      </w:divBdr>
                                                      <w:divsChild>
                                                        <w:div w:id="1631322780">
                                                          <w:marLeft w:val="0"/>
                                                          <w:marRight w:val="0"/>
                                                          <w:marTop w:val="0"/>
                                                          <w:marBottom w:val="0"/>
                                                          <w:divBdr>
                                                            <w:top w:val="none" w:sz="0" w:space="0" w:color="auto"/>
                                                            <w:left w:val="none" w:sz="0" w:space="0" w:color="auto"/>
                                                            <w:bottom w:val="none" w:sz="0" w:space="0" w:color="auto"/>
                                                            <w:right w:val="none" w:sz="0" w:space="0" w:color="auto"/>
                                                          </w:divBdr>
                                                          <w:divsChild>
                                                            <w:div w:id="1347488708">
                                                              <w:marLeft w:val="0"/>
                                                              <w:marRight w:val="0"/>
                                                              <w:marTop w:val="0"/>
                                                              <w:marBottom w:val="0"/>
                                                              <w:divBdr>
                                                                <w:top w:val="none" w:sz="0" w:space="0" w:color="auto"/>
                                                                <w:left w:val="none" w:sz="0" w:space="0" w:color="auto"/>
                                                                <w:bottom w:val="none" w:sz="0" w:space="0" w:color="auto"/>
                                                                <w:right w:val="none" w:sz="0" w:space="0" w:color="auto"/>
                                                              </w:divBdr>
                                                            </w:div>
                                                          </w:divsChild>
                                                        </w:div>
                                                        <w:div w:id="553392461">
                                                          <w:marLeft w:val="0"/>
                                                          <w:marRight w:val="0"/>
                                                          <w:marTop w:val="0"/>
                                                          <w:marBottom w:val="0"/>
                                                          <w:divBdr>
                                                            <w:top w:val="none" w:sz="0" w:space="0" w:color="auto"/>
                                                            <w:left w:val="none" w:sz="0" w:space="0" w:color="auto"/>
                                                            <w:bottom w:val="none" w:sz="0" w:space="0" w:color="auto"/>
                                                            <w:right w:val="none" w:sz="0" w:space="0" w:color="auto"/>
                                                          </w:divBdr>
                                                          <w:divsChild>
                                                            <w:div w:id="2066636958">
                                                              <w:marLeft w:val="0"/>
                                                              <w:marRight w:val="0"/>
                                                              <w:marTop w:val="0"/>
                                                              <w:marBottom w:val="0"/>
                                                              <w:divBdr>
                                                                <w:top w:val="none" w:sz="0" w:space="0" w:color="auto"/>
                                                                <w:left w:val="none" w:sz="0" w:space="0" w:color="auto"/>
                                                                <w:bottom w:val="none" w:sz="0" w:space="0" w:color="auto"/>
                                                                <w:right w:val="none" w:sz="0" w:space="0" w:color="auto"/>
                                                              </w:divBdr>
                                                              <w:divsChild>
                                                                <w:div w:id="1972052774">
                                                                  <w:marLeft w:val="0"/>
                                                                  <w:marRight w:val="0"/>
                                                                  <w:marTop w:val="0"/>
                                                                  <w:marBottom w:val="0"/>
                                                                  <w:divBdr>
                                                                    <w:top w:val="none" w:sz="0" w:space="0" w:color="auto"/>
                                                                    <w:left w:val="none" w:sz="0" w:space="0" w:color="auto"/>
                                                                    <w:bottom w:val="none" w:sz="0" w:space="0" w:color="auto"/>
                                                                    <w:right w:val="none" w:sz="0" w:space="0" w:color="auto"/>
                                                                  </w:divBdr>
                                                                  <w:divsChild>
                                                                    <w:div w:id="987169502">
                                                                      <w:marLeft w:val="0"/>
                                                                      <w:marRight w:val="0"/>
                                                                      <w:marTop w:val="0"/>
                                                                      <w:marBottom w:val="0"/>
                                                                      <w:divBdr>
                                                                        <w:top w:val="none" w:sz="0" w:space="0" w:color="auto"/>
                                                                        <w:left w:val="none" w:sz="0" w:space="0" w:color="auto"/>
                                                                        <w:bottom w:val="none" w:sz="0" w:space="0" w:color="auto"/>
                                                                        <w:right w:val="none" w:sz="0" w:space="0" w:color="auto"/>
                                                                      </w:divBdr>
                                                                      <w:divsChild>
                                                                        <w:div w:id="1318070223">
                                                                          <w:marLeft w:val="0"/>
                                                                          <w:marRight w:val="0"/>
                                                                          <w:marTop w:val="0"/>
                                                                          <w:marBottom w:val="0"/>
                                                                          <w:divBdr>
                                                                            <w:top w:val="none" w:sz="0" w:space="0" w:color="auto"/>
                                                                            <w:left w:val="none" w:sz="0" w:space="0" w:color="auto"/>
                                                                            <w:bottom w:val="none" w:sz="0" w:space="0" w:color="auto"/>
                                                                            <w:right w:val="none" w:sz="0" w:space="0" w:color="auto"/>
                                                                          </w:divBdr>
                                                                          <w:divsChild>
                                                                            <w:div w:id="414939659">
                                                                              <w:marLeft w:val="0"/>
                                                                              <w:marRight w:val="0"/>
                                                                              <w:marTop w:val="0"/>
                                                                              <w:marBottom w:val="0"/>
                                                                              <w:divBdr>
                                                                                <w:top w:val="none" w:sz="0" w:space="0" w:color="auto"/>
                                                                                <w:left w:val="none" w:sz="0" w:space="0" w:color="auto"/>
                                                                                <w:bottom w:val="none" w:sz="0" w:space="0" w:color="auto"/>
                                                                                <w:right w:val="none" w:sz="0" w:space="0" w:color="auto"/>
                                                                              </w:divBdr>
                                                                            </w:div>
                                                                            <w:div w:id="7781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382449">
          <w:marLeft w:val="0"/>
          <w:marRight w:val="0"/>
          <w:marTop w:val="0"/>
          <w:marBottom w:val="0"/>
          <w:divBdr>
            <w:top w:val="none" w:sz="0" w:space="0" w:color="auto"/>
            <w:left w:val="none" w:sz="0" w:space="0" w:color="auto"/>
            <w:bottom w:val="none" w:sz="0" w:space="0" w:color="auto"/>
            <w:right w:val="none" w:sz="0" w:space="0" w:color="auto"/>
          </w:divBdr>
          <w:divsChild>
            <w:div w:id="1530030391">
              <w:marLeft w:val="0"/>
              <w:marRight w:val="0"/>
              <w:marTop w:val="0"/>
              <w:marBottom w:val="0"/>
              <w:divBdr>
                <w:top w:val="none" w:sz="0" w:space="0" w:color="auto"/>
                <w:left w:val="none" w:sz="0" w:space="0" w:color="auto"/>
                <w:bottom w:val="none" w:sz="0" w:space="0" w:color="auto"/>
                <w:right w:val="none" w:sz="0" w:space="0" w:color="auto"/>
              </w:divBdr>
              <w:divsChild>
                <w:div w:id="1828353955">
                  <w:marLeft w:val="0"/>
                  <w:marRight w:val="0"/>
                  <w:marTop w:val="0"/>
                  <w:marBottom w:val="0"/>
                  <w:divBdr>
                    <w:top w:val="none" w:sz="0" w:space="0" w:color="auto"/>
                    <w:left w:val="none" w:sz="0" w:space="0" w:color="auto"/>
                    <w:bottom w:val="none" w:sz="0" w:space="0" w:color="auto"/>
                    <w:right w:val="none" w:sz="0" w:space="0" w:color="auto"/>
                  </w:divBdr>
                  <w:divsChild>
                    <w:div w:id="1728871125">
                      <w:marLeft w:val="0"/>
                      <w:marRight w:val="0"/>
                      <w:marTop w:val="0"/>
                      <w:marBottom w:val="0"/>
                      <w:divBdr>
                        <w:top w:val="none" w:sz="0" w:space="0" w:color="auto"/>
                        <w:left w:val="none" w:sz="0" w:space="0" w:color="auto"/>
                        <w:bottom w:val="none" w:sz="0" w:space="0" w:color="auto"/>
                        <w:right w:val="none" w:sz="0" w:space="0" w:color="auto"/>
                      </w:divBdr>
                      <w:divsChild>
                        <w:div w:id="1495493542">
                          <w:marLeft w:val="0"/>
                          <w:marRight w:val="0"/>
                          <w:marTop w:val="0"/>
                          <w:marBottom w:val="0"/>
                          <w:divBdr>
                            <w:top w:val="none" w:sz="0" w:space="0" w:color="auto"/>
                            <w:left w:val="none" w:sz="0" w:space="0" w:color="auto"/>
                            <w:bottom w:val="none" w:sz="0" w:space="0" w:color="auto"/>
                            <w:right w:val="none" w:sz="0" w:space="0" w:color="auto"/>
                          </w:divBdr>
                          <w:divsChild>
                            <w:div w:id="1771774844">
                              <w:marLeft w:val="0"/>
                              <w:marRight w:val="0"/>
                              <w:marTop w:val="0"/>
                              <w:marBottom w:val="0"/>
                              <w:divBdr>
                                <w:top w:val="none" w:sz="0" w:space="0" w:color="auto"/>
                                <w:left w:val="none" w:sz="0" w:space="0" w:color="auto"/>
                                <w:bottom w:val="none" w:sz="0" w:space="0" w:color="auto"/>
                                <w:right w:val="none" w:sz="0" w:space="0" w:color="auto"/>
                              </w:divBdr>
                              <w:divsChild>
                                <w:div w:id="183980364">
                                  <w:marLeft w:val="0"/>
                                  <w:marRight w:val="0"/>
                                  <w:marTop w:val="0"/>
                                  <w:marBottom w:val="0"/>
                                  <w:divBdr>
                                    <w:top w:val="none" w:sz="0" w:space="0" w:color="auto"/>
                                    <w:left w:val="none" w:sz="0" w:space="0" w:color="auto"/>
                                    <w:bottom w:val="none" w:sz="0" w:space="0" w:color="auto"/>
                                    <w:right w:val="none" w:sz="0" w:space="0" w:color="auto"/>
                                  </w:divBdr>
                                  <w:divsChild>
                                    <w:div w:id="379401650">
                                      <w:marLeft w:val="0"/>
                                      <w:marRight w:val="0"/>
                                      <w:marTop w:val="0"/>
                                      <w:marBottom w:val="0"/>
                                      <w:divBdr>
                                        <w:top w:val="none" w:sz="0" w:space="0" w:color="auto"/>
                                        <w:left w:val="none" w:sz="0" w:space="0" w:color="auto"/>
                                        <w:bottom w:val="none" w:sz="0" w:space="0" w:color="auto"/>
                                        <w:right w:val="none" w:sz="0" w:space="0" w:color="auto"/>
                                      </w:divBdr>
                                      <w:divsChild>
                                        <w:div w:id="1164004615">
                                          <w:marLeft w:val="0"/>
                                          <w:marRight w:val="0"/>
                                          <w:marTop w:val="0"/>
                                          <w:marBottom w:val="0"/>
                                          <w:divBdr>
                                            <w:top w:val="none" w:sz="0" w:space="0" w:color="auto"/>
                                            <w:left w:val="none" w:sz="0" w:space="0" w:color="auto"/>
                                            <w:bottom w:val="none" w:sz="0" w:space="0" w:color="auto"/>
                                            <w:right w:val="none" w:sz="0" w:space="0" w:color="auto"/>
                                          </w:divBdr>
                                          <w:divsChild>
                                            <w:div w:id="11461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5032076">
          <w:marLeft w:val="0"/>
          <w:marRight w:val="0"/>
          <w:marTop w:val="0"/>
          <w:marBottom w:val="0"/>
          <w:divBdr>
            <w:top w:val="none" w:sz="0" w:space="0" w:color="auto"/>
            <w:left w:val="none" w:sz="0" w:space="0" w:color="auto"/>
            <w:bottom w:val="none" w:sz="0" w:space="0" w:color="auto"/>
            <w:right w:val="none" w:sz="0" w:space="0" w:color="auto"/>
          </w:divBdr>
          <w:divsChild>
            <w:div w:id="1054351317">
              <w:marLeft w:val="0"/>
              <w:marRight w:val="0"/>
              <w:marTop w:val="0"/>
              <w:marBottom w:val="0"/>
              <w:divBdr>
                <w:top w:val="none" w:sz="0" w:space="0" w:color="auto"/>
                <w:left w:val="none" w:sz="0" w:space="0" w:color="auto"/>
                <w:bottom w:val="none" w:sz="0" w:space="0" w:color="auto"/>
                <w:right w:val="none" w:sz="0" w:space="0" w:color="auto"/>
              </w:divBdr>
              <w:divsChild>
                <w:div w:id="2133135660">
                  <w:marLeft w:val="0"/>
                  <w:marRight w:val="0"/>
                  <w:marTop w:val="0"/>
                  <w:marBottom w:val="0"/>
                  <w:divBdr>
                    <w:top w:val="none" w:sz="0" w:space="0" w:color="auto"/>
                    <w:left w:val="none" w:sz="0" w:space="0" w:color="auto"/>
                    <w:bottom w:val="none" w:sz="0" w:space="0" w:color="auto"/>
                    <w:right w:val="none" w:sz="0" w:space="0" w:color="auto"/>
                  </w:divBdr>
                  <w:divsChild>
                    <w:div w:id="530922850">
                      <w:marLeft w:val="0"/>
                      <w:marRight w:val="0"/>
                      <w:marTop w:val="0"/>
                      <w:marBottom w:val="0"/>
                      <w:divBdr>
                        <w:top w:val="none" w:sz="0" w:space="0" w:color="auto"/>
                        <w:left w:val="none" w:sz="0" w:space="0" w:color="auto"/>
                        <w:bottom w:val="none" w:sz="0" w:space="0" w:color="auto"/>
                        <w:right w:val="none" w:sz="0" w:space="0" w:color="auto"/>
                      </w:divBdr>
                      <w:divsChild>
                        <w:div w:id="1427071938">
                          <w:marLeft w:val="0"/>
                          <w:marRight w:val="0"/>
                          <w:marTop w:val="0"/>
                          <w:marBottom w:val="0"/>
                          <w:divBdr>
                            <w:top w:val="none" w:sz="0" w:space="0" w:color="auto"/>
                            <w:left w:val="none" w:sz="0" w:space="0" w:color="auto"/>
                            <w:bottom w:val="none" w:sz="0" w:space="0" w:color="auto"/>
                            <w:right w:val="none" w:sz="0" w:space="0" w:color="auto"/>
                          </w:divBdr>
                          <w:divsChild>
                            <w:div w:id="426393630">
                              <w:marLeft w:val="0"/>
                              <w:marRight w:val="0"/>
                              <w:marTop w:val="0"/>
                              <w:marBottom w:val="0"/>
                              <w:divBdr>
                                <w:top w:val="none" w:sz="0" w:space="0" w:color="auto"/>
                                <w:left w:val="none" w:sz="0" w:space="0" w:color="auto"/>
                                <w:bottom w:val="none" w:sz="0" w:space="0" w:color="auto"/>
                                <w:right w:val="none" w:sz="0" w:space="0" w:color="auto"/>
                              </w:divBdr>
                              <w:divsChild>
                                <w:div w:id="776800657">
                                  <w:marLeft w:val="0"/>
                                  <w:marRight w:val="0"/>
                                  <w:marTop w:val="0"/>
                                  <w:marBottom w:val="0"/>
                                  <w:divBdr>
                                    <w:top w:val="none" w:sz="0" w:space="0" w:color="auto"/>
                                    <w:left w:val="none" w:sz="0" w:space="0" w:color="auto"/>
                                    <w:bottom w:val="none" w:sz="0" w:space="0" w:color="auto"/>
                                    <w:right w:val="none" w:sz="0" w:space="0" w:color="auto"/>
                                  </w:divBdr>
                                  <w:divsChild>
                                    <w:div w:id="1046566185">
                                      <w:marLeft w:val="0"/>
                                      <w:marRight w:val="0"/>
                                      <w:marTop w:val="0"/>
                                      <w:marBottom w:val="0"/>
                                      <w:divBdr>
                                        <w:top w:val="none" w:sz="0" w:space="0" w:color="auto"/>
                                        <w:left w:val="none" w:sz="0" w:space="0" w:color="auto"/>
                                        <w:bottom w:val="none" w:sz="0" w:space="0" w:color="auto"/>
                                        <w:right w:val="none" w:sz="0" w:space="0" w:color="auto"/>
                                      </w:divBdr>
                                      <w:divsChild>
                                        <w:div w:id="10042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6449117">
          <w:marLeft w:val="0"/>
          <w:marRight w:val="0"/>
          <w:marTop w:val="0"/>
          <w:marBottom w:val="0"/>
          <w:divBdr>
            <w:top w:val="none" w:sz="0" w:space="0" w:color="auto"/>
            <w:left w:val="none" w:sz="0" w:space="0" w:color="auto"/>
            <w:bottom w:val="none" w:sz="0" w:space="0" w:color="auto"/>
            <w:right w:val="none" w:sz="0" w:space="0" w:color="auto"/>
          </w:divBdr>
          <w:divsChild>
            <w:div w:id="1977830267">
              <w:marLeft w:val="0"/>
              <w:marRight w:val="0"/>
              <w:marTop w:val="0"/>
              <w:marBottom w:val="0"/>
              <w:divBdr>
                <w:top w:val="none" w:sz="0" w:space="0" w:color="auto"/>
                <w:left w:val="none" w:sz="0" w:space="0" w:color="auto"/>
                <w:bottom w:val="none" w:sz="0" w:space="0" w:color="auto"/>
                <w:right w:val="none" w:sz="0" w:space="0" w:color="auto"/>
              </w:divBdr>
              <w:divsChild>
                <w:div w:id="1626235597">
                  <w:marLeft w:val="0"/>
                  <w:marRight w:val="0"/>
                  <w:marTop w:val="0"/>
                  <w:marBottom w:val="0"/>
                  <w:divBdr>
                    <w:top w:val="none" w:sz="0" w:space="0" w:color="auto"/>
                    <w:left w:val="none" w:sz="0" w:space="0" w:color="auto"/>
                    <w:bottom w:val="none" w:sz="0" w:space="0" w:color="auto"/>
                    <w:right w:val="none" w:sz="0" w:space="0" w:color="auto"/>
                  </w:divBdr>
                  <w:divsChild>
                    <w:div w:id="554505643">
                      <w:marLeft w:val="0"/>
                      <w:marRight w:val="0"/>
                      <w:marTop w:val="0"/>
                      <w:marBottom w:val="0"/>
                      <w:divBdr>
                        <w:top w:val="none" w:sz="0" w:space="0" w:color="auto"/>
                        <w:left w:val="none" w:sz="0" w:space="0" w:color="auto"/>
                        <w:bottom w:val="none" w:sz="0" w:space="0" w:color="auto"/>
                        <w:right w:val="none" w:sz="0" w:space="0" w:color="auto"/>
                      </w:divBdr>
                      <w:divsChild>
                        <w:div w:id="1271164886">
                          <w:marLeft w:val="0"/>
                          <w:marRight w:val="0"/>
                          <w:marTop w:val="0"/>
                          <w:marBottom w:val="0"/>
                          <w:divBdr>
                            <w:top w:val="none" w:sz="0" w:space="0" w:color="auto"/>
                            <w:left w:val="none" w:sz="0" w:space="0" w:color="auto"/>
                            <w:bottom w:val="none" w:sz="0" w:space="0" w:color="auto"/>
                            <w:right w:val="none" w:sz="0" w:space="0" w:color="auto"/>
                          </w:divBdr>
                          <w:divsChild>
                            <w:div w:id="1301377451">
                              <w:marLeft w:val="0"/>
                              <w:marRight w:val="0"/>
                              <w:marTop w:val="0"/>
                              <w:marBottom w:val="0"/>
                              <w:divBdr>
                                <w:top w:val="none" w:sz="0" w:space="0" w:color="auto"/>
                                <w:left w:val="none" w:sz="0" w:space="0" w:color="auto"/>
                                <w:bottom w:val="none" w:sz="0" w:space="0" w:color="auto"/>
                                <w:right w:val="none" w:sz="0" w:space="0" w:color="auto"/>
                              </w:divBdr>
                              <w:divsChild>
                                <w:div w:id="1741515715">
                                  <w:marLeft w:val="0"/>
                                  <w:marRight w:val="0"/>
                                  <w:marTop w:val="0"/>
                                  <w:marBottom w:val="0"/>
                                  <w:divBdr>
                                    <w:top w:val="none" w:sz="0" w:space="0" w:color="auto"/>
                                    <w:left w:val="none" w:sz="0" w:space="0" w:color="auto"/>
                                    <w:bottom w:val="none" w:sz="0" w:space="0" w:color="auto"/>
                                    <w:right w:val="none" w:sz="0" w:space="0" w:color="auto"/>
                                  </w:divBdr>
                                  <w:divsChild>
                                    <w:div w:id="127430957">
                                      <w:marLeft w:val="0"/>
                                      <w:marRight w:val="0"/>
                                      <w:marTop w:val="0"/>
                                      <w:marBottom w:val="0"/>
                                      <w:divBdr>
                                        <w:top w:val="none" w:sz="0" w:space="0" w:color="auto"/>
                                        <w:left w:val="none" w:sz="0" w:space="0" w:color="auto"/>
                                        <w:bottom w:val="none" w:sz="0" w:space="0" w:color="auto"/>
                                        <w:right w:val="none" w:sz="0" w:space="0" w:color="auto"/>
                                      </w:divBdr>
                                      <w:divsChild>
                                        <w:div w:id="2143770243">
                                          <w:marLeft w:val="0"/>
                                          <w:marRight w:val="0"/>
                                          <w:marTop w:val="0"/>
                                          <w:marBottom w:val="0"/>
                                          <w:divBdr>
                                            <w:top w:val="none" w:sz="0" w:space="0" w:color="auto"/>
                                            <w:left w:val="none" w:sz="0" w:space="0" w:color="auto"/>
                                            <w:bottom w:val="none" w:sz="0" w:space="0" w:color="auto"/>
                                            <w:right w:val="none" w:sz="0" w:space="0" w:color="auto"/>
                                          </w:divBdr>
                                          <w:divsChild>
                                            <w:div w:id="8595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4988660">
          <w:marLeft w:val="0"/>
          <w:marRight w:val="0"/>
          <w:marTop w:val="0"/>
          <w:marBottom w:val="0"/>
          <w:divBdr>
            <w:top w:val="none" w:sz="0" w:space="0" w:color="auto"/>
            <w:left w:val="none" w:sz="0" w:space="0" w:color="auto"/>
            <w:bottom w:val="none" w:sz="0" w:space="0" w:color="auto"/>
            <w:right w:val="none" w:sz="0" w:space="0" w:color="auto"/>
          </w:divBdr>
          <w:divsChild>
            <w:div w:id="2131626073">
              <w:marLeft w:val="0"/>
              <w:marRight w:val="0"/>
              <w:marTop w:val="0"/>
              <w:marBottom w:val="0"/>
              <w:divBdr>
                <w:top w:val="none" w:sz="0" w:space="0" w:color="auto"/>
                <w:left w:val="none" w:sz="0" w:space="0" w:color="auto"/>
                <w:bottom w:val="none" w:sz="0" w:space="0" w:color="auto"/>
                <w:right w:val="none" w:sz="0" w:space="0" w:color="auto"/>
              </w:divBdr>
              <w:divsChild>
                <w:div w:id="892935357">
                  <w:marLeft w:val="0"/>
                  <w:marRight w:val="0"/>
                  <w:marTop w:val="0"/>
                  <w:marBottom w:val="0"/>
                  <w:divBdr>
                    <w:top w:val="none" w:sz="0" w:space="0" w:color="auto"/>
                    <w:left w:val="none" w:sz="0" w:space="0" w:color="auto"/>
                    <w:bottom w:val="none" w:sz="0" w:space="0" w:color="auto"/>
                    <w:right w:val="none" w:sz="0" w:space="0" w:color="auto"/>
                  </w:divBdr>
                  <w:divsChild>
                    <w:div w:id="1561817878">
                      <w:marLeft w:val="0"/>
                      <w:marRight w:val="0"/>
                      <w:marTop w:val="0"/>
                      <w:marBottom w:val="0"/>
                      <w:divBdr>
                        <w:top w:val="none" w:sz="0" w:space="0" w:color="auto"/>
                        <w:left w:val="none" w:sz="0" w:space="0" w:color="auto"/>
                        <w:bottom w:val="none" w:sz="0" w:space="0" w:color="auto"/>
                        <w:right w:val="none" w:sz="0" w:space="0" w:color="auto"/>
                      </w:divBdr>
                      <w:divsChild>
                        <w:div w:id="724379706">
                          <w:marLeft w:val="0"/>
                          <w:marRight w:val="0"/>
                          <w:marTop w:val="0"/>
                          <w:marBottom w:val="0"/>
                          <w:divBdr>
                            <w:top w:val="none" w:sz="0" w:space="0" w:color="auto"/>
                            <w:left w:val="none" w:sz="0" w:space="0" w:color="auto"/>
                            <w:bottom w:val="none" w:sz="0" w:space="0" w:color="auto"/>
                            <w:right w:val="none" w:sz="0" w:space="0" w:color="auto"/>
                          </w:divBdr>
                          <w:divsChild>
                            <w:div w:id="1111629427">
                              <w:marLeft w:val="0"/>
                              <w:marRight w:val="0"/>
                              <w:marTop w:val="0"/>
                              <w:marBottom w:val="0"/>
                              <w:divBdr>
                                <w:top w:val="none" w:sz="0" w:space="0" w:color="auto"/>
                                <w:left w:val="none" w:sz="0" w:space="0" w:color="auto"/>
                                <w:bottom w:val="none" w:sz="0" w:space="0" w:color="auto"/>
                                <w:right w:val="none" w:sz="0" w:space="0" w:color="auto"/>
                              </w:divBdr>
                              <w:divsChild>
                                <w:div w:id="418211005">
                                  <w:marLeft w:val="0"/>
                                  <w:marRight w:val="0"/>
                                  <w:marTop w:val="0"/>
                                  <w:marBottom w:val="0"/>
                                  <w:divBdr>
                                    <w:top w:val="none" w:sz="0" w:space="0" w:color="auto"/>
                                    <w:left w:val="none" w:sz="0" w:space="0" w:color="auto"/>
                                    <w:bottom w:val="none" w:sz="0" w:space="0" w:color="auto"/>
                                    <w:right w:val="none" w:sz="0" w:space="0" w:color="auto"/>
                                  </w:divBdr>
                                  <w:divsChild>
                                    <w:div w:id="1407724271">
                                      <w:marLeft w:val="0"/>
                                      <w:marRight w:val="0"/>
                                      <w:marTop w:val="0"/>
                                      <w:marBottom w:val="0"/>
                                      <w:divBdr>
                                        <w:top w:val="none" w:sz="0" w:space="0" w:color="auto"/>
                                        <w:left w:val="none" w:sz="0" w:space="0" w:color="auto"/>
                                        <w:bottom w:val="none" w:sz="0" w:space="0" w:color="auto"/>
                                        <w:right w:val="none" w:sz="0" w:space="0" w:color="auto"/>
                                      </w:divBdr>
                                      <w:divsChild>
                                        <w:div w:id="107454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7629142">
          <w:marLeft w:val="0"/>
          <w:marRight w:val="0"/>
          <w:marTop w:val="0"/>
          <w:marBottom w:val="0"/>
          <w:divBdr>
            <w:top w:val="none" w:sz="0" w:space="0" w:color="auto"/>
            <w:left w:val="none" w:sz="0" w:space="0" w:color="auto"/>
            <w:bottom w:val="none" w:sz="0" w:space="0" w:color="auto"/>
            <w:right w:val="none" w:sz="0" w:space="0" w:color="auto"/>
          </w:divBdr>
          <w:divsChild>
            <w:div w:id="521821829">
              <w:marLeft w:val="0"/>
              <w:marRight w:val="0"/>
              <w:marTop w:val="0"/>
              <w:marBottom w:val="0"/>
              <w:divBdr>
                <w:top w:val="none" w:sz="0" w:space="0" w:color="auto"/>
                <w:left w:val="none" w:sz="0" w:space="0" w:color="auto"/>
                <w:bottom w:val="none" w:sz="0" w:space="0" w:color="auto"/>
                <w:right w:val="none" w:sz="0" w:space="0" w:color="auto"/>
              </w:divBdr>
              <w:divsChild>
                <w:div w:id="1670786088">
                  <w:marLeft w:val="0"/>
                  <w:marRight w:val="0"/>
                  <w:marTop w:val="0"/>
                  <w:marBottom w:val="0"/>
                  <w:divBdr>
                    <w:top w:val="none" w:sz="0" w:space="0" w:color="auto"/>
                    <w:left w:val="none" w:sz="0" w:space="0" w:color="auto"/>
                    <w:bottom w:val="none" w:sz="0" w:space="0" w:color="auto"/>
                    <w:right w:val="none" w:sz="0" w:space="0" w:color="auto"/>
                  </w:divBdr>
                  <w:divsChild>
                    <w:div w:id="28802062">
                      <w:marLeft w:val="0"/>
                      <w:marRight w:val="0"/>
                      <w:marTop w:val="0"/>
                      <w:marBottom w:val="0"/>
                      <w:divBdr>
                        <w:top w:val="none" w:sz="0" w:space="0" w:color="auto"/>
                        <w:left w:val="none" w:sz="0" w:space="0" w:color="auto"/>
                        <w:bottom w:val="none" w:sz="0" w:space="0" w:color="auto"/>
                        <w:right w:val="none" w:sz="0" w:space="0" w:color="auto"/>
                      </w:divBdr>
                      <w:divsChild>
                        <w:div w:id="994333208">
                          <w:marLeft w:val="0"/>
                          <w:marRight w:val="0"/>
                          <w:marTop w:val="0"/>
                          <w:marBottom w:val="0"/>
                          <w:divBdr>
                            <w:top w:val="none" w:sz="0" w:space="0" w:color="auto"/>
                            <w:left w:val="none" w:sz="0" w:space="0" w:color="auto"/>
                            <w:bottom w:val="none" w:sz="0" w:space="0" w:color="auto"/>
                            <w:right w:val="none" w:sz="0" w:space="0" w:color="auto"/>
                          </w:divBdr>
                          <w:divsChild>
                            <w:div w:id="1238245653">
                              <w:marLeft w:val="0"/>
                              <w:marRight w:val="0"/>
                              <w:marTop w:val="0"/>
                              <w:marBottom w:val="0"/>
                              <w:divBdr>
                                <w:top w:val="none" w:sz="0" w:space="0" w:color="auto"/>
                                <w:left w:val="none" w:sz="0" w:space="0" w:color="auto"/>
                                <w:bottom w:val="none" w:sz="0" w:space="0" w:color="auto"/>
                                <w:right w:val="none" w:sz="0" w:space="0" w:color="auto"/>
                              </w:divBdr>
                              <w:divsChild>
                                <w:div w:id="311176470">
                                  <w:marLeft w:val="0"/>
                                  <w:marRight w:val="0"/>
                                  <w:marTop w:val="0"/>
                                  <w:marBottom w:val="0"/>
                                  <w:divBdr>
                                    <w:top w:val="none" w:sz="0" w:space="0" w:color="auto"/>
                                    <w:left w:val="none" w:sz="0" w:space="0" w:color="auto"/>
                                    <w:bottom w:val="none" w:sz="0" w:space="0" w:color="auto"/>
                                    <w:right w:val="none" w:sz="0" w:space="0" w:color="auto"/>
                                  </w:divBdr>
                                  <w:divsChild>
                                    <w:div w:id="1187019945">
                                      <w:marLeft w:val="0"/>
                                      <w:marRight w:val="0"/>
                                      <w:marTop w:val="0"/>
                                      <w:marBottom w:val="0"/>
                                      <w:divBdr>
                                        <w:top w:val="none" w:sz="0" w:space="0" w:color="auto"/>
                                        <w:left w:val="none" w:sz="0" w:space="0" w:color="auto"/>
                                        <w:bottom w:val="none" w:sz="0" w:space="0" w:color="auto"/>
                                        <w:right w:val="none" w:sz="0" w:space="0" w:color="auto"/>
                                      </w:divBdr>
                                      <w:divsChild>
                                        <w:div w:id="286745252">
                                          <w:marLeft w:val="0"/>
                                          <w:marRight w:val="0"/>
                                          <w:marTop w:val="0"/>
                                          <w:marBottom w:val="0"/>
                                          <w:divBdr>
                                            <w:top w:val="none" w:sz="0" w:space="0" w:color="auto"/>
                                            <w:left w:val="none" w:sz="0" w:space="0" w:color="auto"/>
                                            <w:bottom w:val="none" w:sz="0" w:space="0" w:color="auto"/>
                                            <w:right w:val="none" w:sz="0" w:space="0" w:color="auto"/>
                                          </w:divBdr>
                                          <w:divsChild>
                                            <w:div w:id="115837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4514248">
          <w:marLeft w:val="0"/>
          <w:marRight w:val="0"/>
          <w:marTop w:val="0"/>
          <w:marBottom w:val="0"/>
          <w:divBdr>
            <w:top w:val="none" w:sz="0" w:space="0" w:color="auto"/>
            <w:left w:val="none" w:sz="0" w:space="0" w:color="auto"/>
            <w:bottom w:val="none" w:sz="0" w:space="0" w:color="auto"/>
            <w:right w:val="none" w:sz="0" w:space="0" w:color="auto"/>
          </w:divBdr>
          <w:divsChild>
            <w:div w:id="816190587">
              <w:marLeft w:val="0"/>
              <w:marRight w:val="0"/>
              <w:marTop w:val="0"/>
              <w:marBottom w:val="0"/>
              <w:divBdr>
                <w:top w:val="none" w:sz="0" w:space="0" w:color="auto"/>
                <w:left w:val="none" w:sz="0" w:space="0" w:color="auto"/>
                <w:bottom w:val="none" w:sz="0" w:space="0" w:color="auto"/>
                <w:right w:val="none" w:sz="0" w:space="0" w:color="auto"/>
              </w:divBdr>
              <w:divsChild>
                <w:div w:id="1390768661">
                  <w:marLeft w:val="0"/>
                  <w:marRight w:val="0"/>
                  <w:marTop w:val="0"/>
                  <w:marBottom w:val="0"/>
                  <w:divBdr>
                    <w:top w:val="none" w:sz="0" w:space="0" w:color="auto"/>
                    <w:left w:val="none" w:sz="0" w:space="0" w:color="auto"/>
                    <w:bottom w:val="none" w:sz="0" w:space="0" w:color="auto"/>
                    <w:right w:val="none" w:sz="0" w:space="0" w:color="auto"/>
                  </w:divBdr>
                  <w:divsChild>
                    <w:div w:id="1125078955">
                      <w:marLeft w:val="0"/>
                      <w:marRight w:val="0"/>
                      <w:marTop w:val="0"/>
                      <w:marBottom w:val="0"/>
                      <w:divBdr>
                        <w:top w:val="none" w:sz="0" w:space="0" w:color="auto"/>
                        <w:left w:val="none" w:sz="0" w:space="0" w:color="auto"/>
                        <w:bottom w:val="none" w:sz="0" w:space="0" w:color="auto"/>
                        <w:right w:val="none" w:sz="0" w:space="0" w:color="auto"/>
                      </w:divBdr>
                      <w:divsChild>
                        <w:div w:id="966739211">
                          <w:marLeft w:val="0"/>
                          <w:marRight w:val="0"/>
                          <w:marTop w:val="0"/>
                          <w:marBottom w:val="0"/>
                          <w:divBdr>
                            <w:top w:val="none" w:sz="0" w:space="0" w:color="auto"/>
                            <w:left w:val="none" w:sz="0" w:space="0" w:color="auto"/>
                            <w:bottom w:val="none" w:sz="0" w:space="0" w:color="auto"/>
                            <w:right w:val="none" w:sz="0" w:space="0" w:color="auto"/>
                          </w:divBdr>
                          <w:divsChild>
                            <w:div w:id="1463697224">
                              <w:marLeft w:val="0"/>
                              <w:marRight w:val="0"/>
                              <w:marTop w:val="0"/>
                              <w:marBottom w:val="0"/>
                              <w:divBdr>
                                <w:top w:val="none" w:sz="0" w:space="0" w:color="auto"/>
                                <w:left w:val="none" w:sz="0" w:space="0" w:color="auto"/>
                                <w:bottom w:val="none" w:sz="0" w:space="0" w:color="auto"/>
                                <w:right w:val="none" w:sz="0" w:space="0" w:color="auto"/>
                              </w:divBdr>
                              <w:divsChild>
                                <w:div w:id="241989839">
                                  <w:marLeft w:val="0"/>
                                  <w:marRight w:val="0"/>
                                  <w:marTop w:val="0"/>
                                  <w:marBottom w:val="0"/>
                                  <w:divBdr>
                                    <w:top w:val="none" w:sz="0" w:space="0" w:color="auto"/>
                                    <w:left w:val="none" w:sz="0" w:space="0" w:color="auto"/>
                                    <w:bottom w:val="none" w:sz="0" w:space="0" w:color="auto"/>
                                    <w:right w:val="none" w:sz="0" w:space="0" w:color="auto"/>
                                  </w:divBdr>
                                  <w:divsChild>
                                    <w:div w:id="150909810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sChild>
                                            <w:div w:id="1403991985">
                                              <w:marLeft w:val="0"/>
                                              <w:marRight w:val="0"/>
                                              <w:marTop w:val="0"/>
                                              <w:marBottom w:val="0"/>
                                              <w:divBdr>
                                                <w:top w:val="none" w:sz="0" w:space="0" w:color="auto"/>
                                                <w:left w:val="none" w:sz="0" w:space="0" w:color="auto"/>
                                                <w:bottom w:val="none" w:sz="0" w:space="0" w:color="auto"/>
                                                <w:right w:val="none" w:sz="0" w:space="0" w:color="auto"/>
                                              </w:divBdr>
                                              <w:divsChild>
                                                <w:div w:id="507405454">
                                                  <w:marLeft w:val="0"/>
                                                  <w:marRight w:val="0"/>
                                                  <w:marTop w:val="0"/>
                                                  <w:marBottom w:val="0"/>
                                                  <w:divBdr>
                                                    <w:top w:val="none" w:sz="0" w:space="0" w:color="auto"/>
                                                    <w:left w:val="none" w:sz="0" w:space="0" w:color="auto"/>
                                                    <w:bottom w:val="none" w:sz="0" w:space="0" w:color="auto"/>
                                                    <w:right w:val="none" w:sz="0" w:space="0" w:color="auto"/>
                                                  </w:divBdr>
                                                  <w:divsChild>
                                                    <w:div w:id="1253929866">
                                                      <w:marLeft w:val="0"/>
                                                      <w:marRight w:val="0"/>
                                                      <w:marTop w:val="0"/>
                                                      <w:marBottom w:val="0"/>
                                                      <w:divBdr>
                                                        <w:top w:val="none" w:sz="0" w:space="0" w:color="auto"/>
                                                        <w:left w:val="none" w:sz="0" w:space="0" w:color="auto"/>
                                                        <w:bottom w:val="none" w:sz="0" w:space="0" w:color="auto"/>
                                                        <w:right w:val="none" w:sz="0" w:space="0" w:color="auto"/>
                                                      </w:divBdr>
                                                      <w:divsChild>
                                                        <w:div w:id="1544059024">
                                                          <w:marLeft w:val="0"/>
                                                          <w:marRight w:val="0"/>
                                                          <w:marTop w:val="0"/>
                                                          <w:marBottom w:val="0"/>
                                                          <w:divBdr>
                                                            <w:top w:val="none" w:sz="0" w:space="0" w:color="auto"/>
                                                            <w:left w:val="none" w:sz="0" w:space="0" w:color="auto"/>
                                                            <w:bottom w:val="none" w:sz="0" w:space="0" w:color="auto"/>
                                                            <w:right w:val="none" w:sz="0" w:space="0" w:color="auto"/>
                                                          </w:divBdr>
                                                          <w:divsChild>
                                                            <w:div w:id="84982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44859">
                                              <w:marLeft w:val="0"/>
                                              <w:marRight w:val="0"/>
                                              <w:marTop w:val="0"/>
                                              <w:marBottom w:val="0"/>
                                              <w:divBdr>
                                                <w:top w:val="none" w:sz="0" w:space="0" w:color="auto"/>
                                                <w:left w:val="none" w:sz="0" w:space="0" w:color="auto"/>
                                                <w:bottom w:val="none" w:sz="0" w:space="0" w:color="auto"/>
                                                <w:right w:val="none" w:sz="0" w:space="0" w:color="auto"/>
                                              </w:divBdr>
                                              <w:divsChild>
                                                <w:div w:id="1834369375">
                                                  <w:marLeft w:val="0"/>
                                                  <w:marRight w:val="0"/>
                                                  <w:marTop w:val="0"/>
                                                  <w:marBottom w:val="0"/>
                                                  <w:divBdr>
                                                    <w:top w:val="none" w:sz="0" w:space="0" w:color="auto"/>
                                                    <w:left w:val="none" w:sz="0" w:space="0" w:color="auto"/>
                                                    <w:bottom w:val="none" w:sz="0" w:space="0" w:color="auto"/>
                                                    <w:right w:val="none" w:sz="0" w:space="0" w:color="auto"/>
                                                  </w:divBdr>
                                                  <w:divsChild>
                                                    <w:div w:id="1725644056">
                                                      <w:marLeft w:val="0"/>
                                                      <w:marRight w:val="0"/>
                                                      <w:marTop w:val="0"/>
                                                      <w:marBottom w:val="0"/>
                                                      <w:divBdr>
                                                        <w:top w:val="none" w:sz="0" w:space="0" w:color="auto"/>
                                                        <w:left w:val="none" w:sz="0" w:space="0" w:color="auto"/>
                                                        <w:bottom w:val="none" w:sz="0" w:space="0" w:color="auto"/>
                                                        <w:right w:val="none" w:sz="0" w:space="0" w:color="auto"/>
                                                      </w:divBdr>
                                                      <w:divsChild>
                                                        <w:div w:id="252707169">
                                                          <w:marLeft w:val="0"/>
                                                          <w:marRight w:val="0"/>
                                                          <w:marTop w:val="0"/>
                                                          <w:marBottom w:val="0"/>
                                                          <w:divBdr>
                                                            <w:top w:val="none" w:sz="0" w:space="0" w:color="auto"/>
                                                            <w:left w:val="none" w:sz="0" w:space="0" w:color="auto"/>
                                                            <w:bottom w:val="none" w:sz="0" w:space="0" w:color="auto"/>
                                                            <w:right w:val="none" w:sz="0" w:space="0" w:color="auto"/>
                                                          </w:divBdr>
                                                          <w:divsChild>
                                                            <w:div w:id="202743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1630309">
      <w:bodyDiv w:val="1"/>
      <w:marLeft w:val="0"/>
      <w:marRight w:val="0"/>
      <w:marTop w:val="0"/>
      <w:marBottom w:val="0"/>
      <w:divBdr>
        <w:top w:val="none" w:sz="0" w:space="0" w:color="auto"/>
        <w:left w:val="none" w:sz="0" w:space="0" w:color="auto"/>
        <w:bottom w:val="none" w:sz="0" w:space="0" w:color="auto"/>
        <w:right w:val="none" w:sz="0" w:space="0" w:color="auto"/>
      </w:divBdr>
    </w:div>
    <w:div w:id="1559121803">
      <w:bodyDiv w:val="1"/>
      <w:marLeft w:val="0"/>
      <w:marRight w:val="0"/>
      <w:marTop w:val="0"/>
      <w:marBottom w:val="0"/>
      <w:divBdr>
        <w:top w:val="none" w:sz="0" w:space="0" w:color="auto"/>
        <w:left w:val="none" w:sz="0" w:space="0" w:color="auto"/>
        <w:bottom w:val="none" w:sz="0" w:space="0" w:color="auto"/>
        <w:right w:val="none" w:sz="0" w:space="0" w:color="auto"/>
      </w:divBdr>
      <w:divsChild>
        <w:div w:id="1228036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3441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B82F0-B605-4135-9808-2F904A652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15462</Words>
  <Characters>85046</Characters>
  <Application>Microsoft Office Word</Application>
  <DocSecurity>0</DocSecurity>
  <Lines>708</Lines>
  <Paragraphs>200</Paragraphs>
  <ScaleCrop>false</ScaleCrop>
  <HeadingPairs>
    <vt:vector size="4" baseType="variant">
      <vt:variant>
        <vt:lpstr>Titre</vt:lpstr>
      </vt:variant>
      <vt:variant>
        <vt:i4>1</vt:i4>
      </vt:variant>
      <vt:variant>
        <vt:lpstr>Titres</vt:lpstr>
      </vt:variant>
      <vt:variant>
        <vt:i4>56</vt:i4>
      </vt:variant>
    </vt:vector>
  </HeadingPairs>
  <TitlesOfParts>
    <vt:vector size="57" baseType="lpstr">
      <vt:lpstr/>
      <vt:lpstr>Entre les soussignés</vt:lpstr>
      <vt:lpstr>Préambule</vt:lpstr>
      <vt:lpstr>Principe directeur de la transaction</vt:lpstr>
      <vt:lpstr>Principes directeurs de la décision</vt:lpstr>
      <vt:lpstr>    Principe I — Acceptabilité (le nécessaire)</vt:lpstr>
      <vt:lpstr>    Principe II — Préférence (le souhaitable)</vt:lpstr>
      <vt:lpstr>    Principe III — Composition, primauté et cohérence</vt:lpstr>
      <vt:lpstr>Article 1 — Définitions</vt:lpstr>
      <vt:lpstr>Titre I — Démembrement et capital d’ancrage</vt:lpstr>
      <vt:lpstr>    Article 2 — Démembrement</vt:lpstr>
      <vt:lpstr>    Article 3 — Immobilisation</vt:lpstr>
      <vt:lpstr>Titre II — Nature et qualification</vt:lpstr>
      <vt:lpstr>    Article 4 — Nature non monétaire</vt:lpstr>
      <vt:lpstr>    Article 5 — Qualification</vt:lpstr>
      <vt:lpstr>    Article 6 — Admission</vt:lpstr>
      <vt:lpstr>Titre III — Le graphe d'échange : structure, compensation et conséquences</vt:lpstr>
      <vt:lpstr>    Article 7 — Structure du graphe : nœuds, arcs, pondération</vt:lpstr>
      <vt:lpstr>    Article 8 — Cycles, compensation et richesse compensatoire</vt:lpstr>
      <vt:lpstr>    Article 9 — Inscription, scellement et réalisation</vt:lpstr>
      <vt:lpstr>    Article 10 — Conséquences juridiques de la structure</vt:lpstr>
      <vt:lpstr>    Article 11 — Les avantages économiques du dispositif</vt:lpstr>
      <vt:lpstr>Titre IV — Les invariants prudentiels du commun</vt:lpstr>
      <vt:lpstr>    Article 12 — Premier invariant : conservation de la valeur (∑ sᵢ = 0)</vt:lpstr>
      <vt:lpstr>    Article 13 — Deuxième invariant : limitation de l'exposition (∑ δᵢ ≤ K)</vt:lpstr>
      <vt:lpstr>    Article 14 — Troisième invariant : absence de concentration</vt:lpstr>
      <vt:lpstr>    Article 15 — Quatrième invariant : localité des perturbations</vt:lpstr>
      <vt:lpstr>    Article 16 — Cinquième invariant : collatéralisation intégrale</vt:lpstr>
      <vt:lpstr>    Article 17 — Constitution et réalisation du préfinancement en cas de défaillance</vt:lpstr>
      <vt:lpstr>    Article 18 — Conséquences économiques et prudentielles</vt:lpstr>
      <vt:lpstr>Titre V — Entrée, sortie, gestion et défaillance</vt:lpstr>
      <vt:lpstr>    Article 19 — Les modalités d’entrée dans le système</vt:lpstr>
      <vt:lpstr>    Article 20 — La liberté de sortie du système</vt:lpstr>
      <vt:lpstr>    Article 21 — Rupture des engagements contractuels et responsabilité</vt:lpstr>
      <vt:lpstr>Titre VI — Pureté du noyau et frontière externe</vt:lpstr>
      <vt:lpstr>    Article 22 — La pureté du noyau</vt:lpstr>
      <vt:lpstr>    Article 23 — Une fonction non rivale et non exclusive</vt:lpstr>
      <vt:lpstr>    Article 24 — Le financement de la frontière externe</vt:lpstr>
      <vt:lpstr>Titre VII — Choix de projets, priorisation et vote de préférence</vt:lpstr>
      <vt:lpstr>    Article 25 — Critère de bénéfice, extra-comptable</vt:lpstr>
      <vt:lpstr>    Article 26 — Priorisation par vote de consensus</vt:lpstr>
      <vt:lpstr>    Article 27 — Vote qui s’exprime par un engagement de créance</vt:lpstr>
      <vt:lpstr>Titre VIII — Comptabilité </vt:lpstr>
      <vt:lpstr>Titre IX — Gouvernance</vt:lpstr>
      <vt:lpstr>    Article 37 — Nature, composition et mission de l’Organe de Gouvernance</vt:lpstr>
      <vt:lpstr>    Article 38 — Outils de transmission numérique et infrastructure du registre</vt:lpstr>
      <vt:lpstr>    Article 39 — Gestion algorithmique du graphe</vt:lpstr>
      <vt:lpstr>    Article 40 — Contrôle des opérations du graphe</vt:lpstr>
      <vt:lpstr>    Article 41 — Animation du réseau</vt:lpstr>
      <vt:lpstr>    Article 42 — Rapport annuel d’activité et reddition</vt:lpstr>
      <vt:lpstr>Titre XI — Robustesse et clauses finales</vt:lpstr>
      <vt:lpstr>    Article 49 — Déclarations et prévention de la requalification</vt:lpstr>
      <vt:lpstr>    Article 50 — Force et opposabilité de l’inscription</vt:lpstr>
      <vt:lpstr>    Article 51 — Divisibilité, durée, intégralité</vt:lpstr>
      <vt:lpstr>    Article 52 — Réserve de conformité (impérative)</vt:lpstr>
      <vt:lpstr>Annexes</vt:lpstr>
      <vt:lpstr>Signatures</vt:lpstr>
    </vt:vector>
  </TitlesOfParts>
  <Company/>
  <LinksUpToDate>false</LinksUpToDate>
  <CharactersWithSpaces>100308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Olivier Rocca</dc:creator>
  <cp:keywords/>
  <cp:lastModifiedBy>Olivier Rocca</cp:lastModifiedBy>
  <cp:revision>2</cp:revision>
  <dcterms:created xsi:type="dcterms:W3CDTF">2026-07-09T21:57:00Z</dcterms:created>
  <dcterms:modified xsi:type="dcterms:W3CDTF">2026-07-09T21:57:00Z</dcterms:modified>
</cp:coreProperties>
</file>