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6345" w14:textId="77777777" w:rsidR="00FB6EF5" w:rsidRPr="00C46716" w:rsidRDefault="00000000" w:rsidP="00C46716">
      <w:pPr>
        <w:pStyle w:val="FirstParagraph"/>
        <w:jc w:val="center"/>
        <w:rPr>
          <w:lang w:val="fr-FR"/>
        </w:rPr>
      </w:pPr>
      <w:r w:rsidRPr="00C46716">
        <w:rPr>
          <w:b/>
          <w:bCs/>
          <w:lang w:val="fr-FR"/>
        </w:rPr>
        <w:t>CONTRAT-CADRE DE DÉMEMBREMENT DE CAPITAL FINANCIER</w:t>
      </w:r>
    </w:p>
    <w:p w14:paraId="17081E51" w14:textId="4176AE2C" w:rsidR="00FB6EF5" w:rsidRPr="00C46716" w:rsidRDefault="00DB179E" w:rsidP="00C46716">
      <w:pPr>
        <w:pStyle w:val="Corpsdetexte"/>
        <w:jc w:val="center"/>
        <w:rPr>
          <w:lang w:val="fr-FR"/>
        </w:rPr>
      </w:pPr>
      <w:r>
        <w:rPr>
          <w:i/>
          <w:iCs/>
          <w:lang w:val="fr-FR"/>
        </w:rPr>
        <w:t>P</w:t>
      </w:r>
      <w:r w:rsidRPr="00C46716">
        <w:rPr>
          <w:i/>
          <w:iCs/>
          <w:lang w:val="fr-FR"/>
        </w:rPr>
        <w:t>ortant création d’un droit d’usage collectif au sein d’un graphe d’échange compensatoire sym</w:t>
      </w:r>
      <w:r>
        <w:rPr>
          <w:i/>
          <w:iCs/>
          <w:lang w:val="fr-FR"/>
        </w:rPr>
        <w:t>é</w:t>
      </w:r>
      <w:r w:rsidRPr="00C46716">
        <w:rPr>
          <w:i/>
          <w:iCs/>
          <w:lang w:val="fr-FR"/>
        </w:rPr>
        <w:t>trique, orienté vers le financement des Objectifs de Développement Durable</w:t>
      </w:r>
    </w:p>
    <w:p w14:paraId="2D7FD182" w14:textId="77777777" w:rsidR="00FB6EF5" w:rsidRPr="00C46716" w:rsidRDefault="00000000">
      <w:pPr>
        <w:pStyle w:val="Titre1"/>
        <w:rPr>
          <w:lang w:val="fr-FR"/>
        </w:rPr>
      </w:pPr>
      <w:bookmarkStart w:id="0" w:name="entre-les-soussignés"/>
      <w:r w:rsidRPr="00C46716">
        <w:rPr>
          <w:lang w:val="fr-FR"/>
        </w:rPr>
        <w:t>Entre les soussignés</w:t>
      </w:r>
    </w:p>
    <w:p w14:paraId="1B953807" w14:textId="77777777" w:rsidR="00FB6EF5" w:rsidRPr="00C46716" w:rsidRDefault="00000000">
      <w:pPr>
        <w:pStyle w:val="FirstParagraph"/>
        <w:rPr>
          <w:lang w:val="fr-FR"/>
        </w:rPr>
      </w:pPr>
      <w:r w:rsidRPr="00C46716">
        <w:rPr>
          <w:lang w:val="fr-FR"/>
        </w:rPr>
        <w:t>[Nom / dénomination], [forme juridique], siège [•], immatriculée [•], représentée par [•], ci-après le « Propriétaire » ;</w:t>
      </w:r>
    </w:p>
    <w:p w14:paraId="4693292D" w14:textId="77777777" w:rsidR="00FB6EF5" w:rsidRPr="00C46716" w:rsidRDefault="00000000">
      <w:pPr>
        <w:pStyle w:val="Corpsdetexte"/>
        <w:rPr>
          <w:lang w:val="fr-FR"/>
        </w:rPr>
      </w:pPr>
      <w:r w:rsidRPr="00C46716">
        <w:rPr>
          <w:lang w:val="fr-FR"/>
        </w:rPr>
        <w:t>Et la communauté ouverte des personnes admises comme Titulaires selon l’Article 6, agissant par l’Organe de Gouvernance (Art. 32), ci-après les « Membres » ;</w:t>
      </w:r>
    </w:p>
    <w:p w14:paraId="169F8BE0" w14:textId="77777777" w:rsidR="00FB6EF5" w:rsidRPr="00C46716" w:rsidRDefault="00000000">
      <w:pPr>
        <w:pStyle w:val="Corpsdetexte"/>
        <w:rPr>
          <w:lang w:val="fr-FR"/>
        </w:rPr>
      </w:pPr>
      <w:r w:rsidRPr="00C46716">
        <w:rPr>
          <w:i/>
          <w:iCs/>
          <w:lang w:val="fr-FR"/>
        </w:rPr>
        <w:t>Ensemble les « Parties ».</w:t>
      </w:r>
    </w:p>
    <w:p w14:paraId="01C5D2C4" w14:textId="77777777" w:rsidR="00FB6EF5" w:rsidRPr="00C46716" w:rsidRDefault="00000000">
      <w:pPr>
        <w:pStyle w:val="Titre1"/>
        <w:rPr>
          <w:lang w:val="fr-FR"/>
        </w:rPr>
      </w:pPr>
      <w:bookmarkStart w:id="1" w:name="préambule"/>
      <w:bookmarkEnd w:id="0"/>
      <w:r w:rsidRPr="00C46716">
        <w:rPr>
          <w:lang w:val="fr-FR"/>
        </w:rPr>
        <w:t>Préambule</w:t>
      </w:r>
    </w:p>
    <w:p w14:paraId="1D335A22" w14:textId="6FF0037D" w:rsidR="00FB6EF5" w:rsidRPr="00C46716" w:rsidRDefault="00000000">
      <w:pPr>
        <w:pStyle w:val="FirstParagraph"/>
        <w:rPr>
          <w:lang w:val="fr-FR"/>
        </w:rPr>
      </w:pPr>
      <w:r w:rsidRPr="00C46716">
        <w:rPr>
          <w:lang w:val="fr-FR"/>
        </w:rPr>
        <w:t>Le droit de propriété comprend l</w:t>
      </w:r>
      <w:r w:rsidR="00DB179E">
        <w:rPr>
          <w:lang w:val="fr-FR"/>
        </w:rPr>
        <w:t>e droit d</w:t>
      </w:r>
      <w:r w:rsidRPr="00C46716">
        <w:rPr>
          <w:lang w:val="fr-FR"/>
        </w:rPr>
        <w:t>’usage, le</w:t>
      </w:r>
      <w:r w:rsidR="00DB179E">
        <w:rPr>
          <w:lang w:val="fr-FR"/>
        </w:rPr>
        <w:t xml:space="preserve"> droit de jouissance</w:t>
      </w:r>
      <w:r w:rsidRPr="00C46716">
        <w:rPr>
          <w:lang w:val="fr-FR"/>
        </w:rPr>
        <w:t xml:space="preserve"> et l</w:t>
      </w:r>
      <w:r w:rsidR="00DB179E">
        <w:rPr>
          <w:lang w:val="fr-FR"/>
        </w:rPr>
        <w:t>e droit de</w:t>
      </w:r>
      <w:r w:rsidRPr="00C46716">
        <w:rPr>
          <w:lang w:val="fr-FR"/>
        </w:rPr>
        <w:t xml:space="preserve"> disposition (art. 544 du Code civil)</w:t>
      </w:r>
      <w:r w:rsidR="00DB179E">
        <w:rPr>
          <w:lang w:val="fr-FR"/>
        </w:rPr>
        <w:t>. Il</w:t>
      </w:r>
      <w:r w:rsidRPr="00C46716">
        <w:rPr>
          <w:lang w:val="fr-FR"/>
        </w:rPr>
        <w:t xml:space="preserve"> peut être démembré, y compris par création d’un droit réel de jouissance spéciale portant sur une utilité déterminée d’un bien (Cass. 3e civ., 31 octobre 2012, n° 11-16.304). Le capital étant consomptible, les Parties écartent le quasi-usufruit (art. 587) : nul ne reçoit le pouvoir de consommer le capital.</w:t>
      </w:r>
    </w:p>
    <w:p w14:paraId="56159548" w14:textId="28A6F9D8" w:rsidR="00FB6EF5" w:rsidRPr="00C46716" w:rsidRDefault="00000000">
      <w:pPr>
        <w:pStyle w:val="Corpsdetexte"/>
        <w:rPr>
          <w:lang w:val="fr-FR"/>
        </w:rPr>
      </w:pPr>
      <w:r w:rsidRPr="00C46716">
        <w:rPr>
          <w:b/>
          <w:bCs/>
          <w:lang w:val="fr-FR"/>
        </w:rPr>
        <w:t>Principe fondateur — symétrie et non accumulation.</w:t>
      </w:r>
      <w:r w:rsidRPr="00C46716">
        <w:rPr>
          <w:lang w:val="fr-FR"/>
        </w:rPr>
        <w:t xml:space="preserve"> Le dispositif ne fait pas circuler un jeton accumulable, à la différence des systèmes de crédit mutuel fondés sur l’accumulation de créances réifiées. Il repose sur la symétrie stricte des créances et des dettes autour d’un solde nul : toute créance est l’exact miroir d’une dette, et rien ne s’accumule sous forme d</w:t>
      </w:r>
      <w:r w:rsidR="00DB179E">
        <w:rPr>
          <w:lang w:val="fr-FR"/>
        </w:rPr>
        <w:t>e valeur</w:t>
      </w:r>
      <w:r w:rsidRPr="00C46716">
        <w:rPr>
          <w:lang w:val="fr-FR"/>
        </w:rPr>
        <w:t xml:space="preserve"> </w:t>
      </w:r>
      <w:r w:rsidR="00DB179E">
        <w:rPr>
          <w:lang w:val="fr-FR"/>
        </w:rPr>
        <w:t xml:space="preserve">monétaire </w:t>
      </w:r>
      <w:r w:rsidRPr="00C46716">
        <w:rPr>
          <w:lang w:val="fr-FR"/>
        </w:rPr>
        <w:t xml:space="preserve">transférable. Cette symétrie fonde à la fois l’égalité entre </w:t>
      </w:r>
      <w:r w:rsidR="00DB179E">
        <w:rPr>
          <w:lang w:val="fr-FR"/>
        </w:rPr>
        <w:t xml:space="preserve">les </w:t>
      </w:r>
      <w:r w:rsidRPr="00C46716">
        <w:rPr>
          <w:lang w:val="fr-FR"/>
        </w:rPr>
        <w:t>Membres et l</w:t>
      </w:r>
      <w:r w:rsidR="00DB179E">
        <w:rPr>
          <w:lang w:val="fr-FR"/>
        </w:rPr>
        <w:t>’efficience</w:t>
      </w:r>
      <w:r w:rsidRPr="00C46716">
        <w:rPr>
          <w:lang w:val="fr-FR"/>
        </w:rPr>
        <w:t xml:space="preserve"> du dispositif</w:t>
      </w:r>
      <w:r w:rsidR="00DB179E">
        <w:rPr>
          <w:lang w:val="fr-FR"/>
        </w:rPr>
        <w:t xml:space="preserve"> passant par l’équilibre des financements</w:t>
      </w:r>
      <w:r w:rsidRPr="00C46716">
        <w:rPr>
          <w:lang w:val="fr-FR"/>
        </w:rPr>
        <w:t>.</w:t>
      </w:r>
    </w:p>
    <w:p w14:paraId="150CCE37" w14:textId="2D2AEF10" w:rsidR="00FB6EF5" w:rsidRPr="00C46716" w:rsidRDefault="00000000">
      <w:pPr>
        <w:pStyle w:val="Corpsdetexte"/>
        <w:rPr>
          <w:lang w:val="fr-FR"/>
        </w:rPr>
      </w:pPr>
      <w:r w:rsidRPr="00C46716">
        <w:rPr>
          <w:b/>
          <w:bCs/>
          <w:lang w:val="fr-FR"/>
        </w:rPr>
        <w:t>Principe fondateur — usus sans abusus, conservation et durabilité.</w:t>
      </w:r>
      <w:r w:rsidR="007B5B0E">
        <w:rPr>
          <w:lang w:val="fr-FR"/>
        </w:rPr>
        <w:t xml:space="preserve"> </w:t>
      </w:r>
      <w:r w:rsidR="007B5B0E" w:rsidRPr="007B5B0E">
        <w:rPr>
          <w:lang w:val="fr-FR"/>
        </w:rPr>
        <w:t xml:space="preserve">Les droits conférés aux Membres constituent un simple </w:t>
      </w:r>
      <w:r w:rsidR="007B5B0E" w:rsidRPr="007B5B0E">
        <w:rPr>
          <w:i/>
          <w:iCs/>
          <w:lang w:val="fr-FR"/>
        </w:rPr>
        <w:t>usus</w:t>
      </w:r>
      <w:r w:rsidR="007B5B0E" w:rsidRPr="007B5B0E">
        <w:rPr>
          <w:lang w:val="fr-FR"/>
        </w:rPr>
        <w:t xml:space="preserve">, à l'exclusion de tout </w:t>
      </w:r>
      <w:r w:rsidR="007B5B0E" w:rsidRPr="007B5B0E">
        <w:rPr>
          <w:i/>
          <w:iCs/>
          <w:lang w:val="fr-FR"/>
        </w:rPr>
        <w:t>abusus</w:t>
      </w:r>
      <w:r w:rsidR="007B5B0E" w:rsidRPr="007B5B0E">
        <w:rPr>
          <w:lang w:val="fr-FR"/>
        </w:rPr>
        <w:t>. Ils leur permettent d'utiliser et de bénéficier des relations d'échange, sans leur conférer le pouvoir de les aliéner, de les accumuler, de les détruire ou de les soustraire au réseau. En dissociant le droit d'usage du droit de disposition, le dispositif instaure une économie de la conservation plutôt que de la consommation : la valeur y circule en permanence sans être détruite ni captée. Cette propriété confère au système un caractère intrinsèquement durabl</w:t>
      </w:r>
      <w:r w:rsidR="007B5B0E">
        <w:rPr>
          <w:lang w:val="fr-FR"/>
        </w:rPr>
        <w:t>e</w:t>
      </w:r>
      <w:r w:rsidR="007B5B0E" w:rsidRPr="007B5B0E">
        <w:rPr>
          <w:lang w:val="fr-FR"/>
        </w:rPr>
        <w:t>.</w:t>
      </w:r>
    </w:p>
    <w:p w14:paraId="274FCC67" w14:textId="77777777" w:rsidR="00FB6EF5" w:rsidRPr="00C46716" w:rsidRDefault="00000000">
      <w:pPr>
        <w:pStyle w:val="Corpsdetexte"/>
        <w:rPr>
          <w:lang w:val="fr-FR"/>
        </w:rPr>
      </w:pPr>
      <w:r w:rsidRPr="00C46716">
        <w:rPr>
          <w:b/>
          <w:bCs/>
          <w:lang w:val="fr-FR"/>
        </w:rPr>
        <w:t>Pureté du noyau.</w:t>
      </w:r>
      <w:r w:rsidRPr="00C46716">
        <w:rPr>
          <w:lang w:val="fr-FR"/>
        </w:rPr>
        <w:t xml:space="preserve"> Le dispositif ne traite que les échanges qui bouclent entre ses Membres ; aucune somme en euros n’y transite ; toute part d’une opération touchant l’extérieur est réglée par le Membre concerné, sur ses fonds propres, hors du dispositif.</w:t>
      </w:r>
    </w:p>
    <w:p w14:paraId="3B615CA4" w14:textId="0DF75D8B" w:rsidR="00FB6EF5" w:rsidRPr="00C46716" w:rsidRDefault="00000000">
      <w:pPr>
        <w:pStyle w:val="Corpsdetexte"/>
        <w:rPr>
          <w:lang w:val="fr-FR"/>
        </w:rPr>
      </w:pPr>
      <w:r w:rsidRPr="00C46716">
        <w:rPr>
          <w:b/>
          <w:bCs/>
          <w:lang w:val="fr-FR"/>
        </w:rPr>
        <w:t>Deux critères orthogonaux.</w:t>
      </w:r>
      <w:r w:rsidRPr="00C46716">
        <w:rPr>
          <w:lang w:val="fr-FR"/>
        </w:rPr>
        <w:t xml:space="preserve"> Le dispositif distingue ce qui est acceptable (sécurité : l’équilibre des engagements, régi au Titre IV) de ce qui est préférable (performance : le bénéfice ODD et la priorisation collective, régis au Titre VII). Ces deux dimensions ne se substituent jamais l’une à l’autre ; leur composition constitue la décision. Cette structure </w:t>
      </w:r>
      <w:r w:rsidRPr="00C46716">
        <w:rPr>
          <w:lang w:val="fr-FR"/>
        </w:rPr>
        <w:lastRenderedPageBreak/>
        <w:t>orthogonale confère au système d’</w:t>
      </w:r>
      <w:r w:rsidR="00DB179E">
        <w:rPr>
          <w:lang w:val="fr-FR"/>
        </w:rPr>
        <w:t>é</w:t>
      </w:r>
      <w:r w:rsidRPr="00C46716">
        <w:rPr>
          <w:lang w:val="fr-FR"/>
        </w:rPr>
        <w:t>change cyclique les propriétés d’un système de</w:t>
      </w:r>
      <w:r w:rsidR="00DB179E">
        <w:rPr>
          <w:lang w:val="fr-FR"/>
        </w:rPr>
        <w:t xml:space="preserve"> décision collective, et plus précisément d’un système de</w:t>
      </w:r>
      <w:r w:rsidRPr="00C46716">
        <w:rPr>
          <w:lang w:val="fr-FR"/>
        </w:rPr>
        <w:t xml:space="preserve"> vote de préférence dans la mesure où celui-ci repose sur les mêmes structures</w:t>
      </w:r>
      <w:r w:rsidR="00DB179E">
        <w:rPr>
          <w:lang w:val="fr-FR"/>
        </w:rPr>
        <w:t xml:space="preserve"> vectorielles et orthogonales</w:t>
      </w:r>
      <w:r w:rsidRPr="00C46716">
        <w:rPr>
          <w:lang w:val="fr-FR"/>
        </w:rPr>
        <w:t>.</w:t>
      </w:r>
    </w:p>
    <w:p w14:paraId="212BD586" w14:textId="77777777" w:rsidR="00FB6EF5" w:rsidRPr="00C46716" w:rsidRDefault="00000000">
      <w:pPr>
        <w:pStyle w:val="Titre1"/>
        <w:rPr>
          <w:lang w:val="fr-FR"/>
        </w:rPr>
      </w:pPr>
      <w:bookmarkStart w:id="2" w:name="principes-directeurs-de-la-décision"/>
      <w:bookmarkEnd w:id="1"/>
      <w:r w:rsidRPr="00C46716">
        <w:rPr>
          <w:lang w:val="fr-FR"/>
        </w:rPr>
        <w:t>Principes directeurs de la décision</w:t>
      </w:r>
    </w:p>
    <w:p w14:paraId="29AB3645" w14:textId="07DDE1BA" w:rsidR="00FB6EF5" w:rsidRPr="00C46716" w:rsidRDefault="00000000">
      <w:pPr>
        <w:pStyle w:val="FirstParagraph"/>
        <w:rPr>
          <w:lang w:val="fr-FR"/>
        </w:rPr>
      </w:pPr>
      <w:r w:rsidRPr="00C46716">
        <w:rPr>
          <w:lang w:val="fr-FR"/>
        </w:rPr>
        <w:t>Le dispositif obéit à deux principes de décision de nature logique distincte, dont la composition gouverne toute inscription et toute affectation. Ils ne se substituent jamais l’un à l’autre</w:t>
      </w:r>
      <w:r w:rsidR="007B5B0E">
        <w:rPr>
          <w:lang w:val="fr-FR"/>
        </w:rPr>
        <w:t xml:space="preserve"> et leur respect repose sur un principe cumulatif et non pas alternatif.</w:t>
      </w:r>
    </w:p>
    <w:p w14:paraId="284DBE93" w14:textId="77777777" w:rsidR="00FB6EF5" w:rsidRPr="00C46716" w:rsidRDefault="00000000">
      <w:pPr>
        <w:pStyle w:val="Titre2"/>
        <w:rPr>
          <w:color w:val="000000" w:themeColor="text1"/>
          <w:sz w:val="24"/>
          <w:szCs w:val="24"/>
          <w:lang w:val="fr-FR"/>
        </w:rPr>
      </w:pPr>
      <w:bookmarkStart w:id="3" w:name="principe-i-acceptabilité-le-nécessaire"/>
      <w:r w:rsidRPr="00C46716">
        <w:rPr>
          <w:color w:val="000000" w:themeColor="text1"/>
          <w:sz w:val="24"/>
          <w:szCs w:val="24"/>
          <w:lang w:val="fr-FR"/>
        </w:rPr>
        <w:t>Principe I — Acceptabilité (le nécessaire)</w:t>
      </w:r>
    </w:p>
    <w:p w14:paraId="4994C825" w14:textId="77777777" w:rsidR="00FB6EF5" w:rsidRPr="00C46716" w:rsidRDefault="00000000">
      <w:pPr>
        <w:pStyle w:val="FirstParagraph"/>
        <w:rPr>
          <w:lang w:val="fr-FR"/>
        </w:rPr>
      </w:pPr>
      <w:r w:rsidRPr="00C46716">
        <w:rPr>
          <w:lang w:val="fr-FR"/>
        </w:rPr>
        <w:t>L’acceptabilité est une condition nécessaire, de nature de contrainte. Une opération est acceptable si et seulement si elle préserve l’équilibre des créances et des dettes dans les bornes de sécurité du Titre IV. Ce principe s’exerce transaction par transaction, à l’inscription, comme un veto : une opération inacceptable n’est jamais inscrite, quelle que soit sa valeur. Il protège le Membre qui a fourni — la minimisation du coût des minorités — et définit l’ensemble des opérations réalisables.</w:t>
      </w:r>
    </w:p>
    <w:p w14:paraId="6BCF1CDD" w14:textId="77777777" w:rsidR="00FB6EF5" w:rsidRPr="00C46716" w:rsidRDefault="00000000">
      <w:pPr>
        <w:pStyle w:val="Titre2"/>
        <w:rPr>
          <w:color w:val="000000" w:themeColor="text1"/>
          <w:sz w:val="24"/>
          <w:szCs w:val="24"/>
          <w:lang w:val="fr-FR"/>
        </w:rPr>
      </w:pPr>
      <w:bookmarkStart w:id="4" w:name="principe-ii-préférence-le-souhaitable"/>
      <w:bookmarkEnd w:id="3"/>
      <w:r w:rsidRPr="00C46716">
        <w:rPr>
          <w:color w:val="000000" w:themeColor="text1"/>
          <w:sz w:val="24"/>
          <w:szCs w:val="24"/>
          <w:lang w:val="fr-FR"/>
        </w:rPr>
        <w:t>Principe II — Préférence (le souhaitable)</w:t>
      </w:r>
    </w:p>
    <w:p w14:paraId="039339EF" w14:textId="713387D3" w:rsidR="00FB6EF5" w:rsidRPr="00C46716" w:rsidRDefault="00000000">
      <w:pPr>
        <w:pStyle w:val="FirstParagraph"/>
        <w:rPr>
          <w:lang w:val="fr-FR"/>
        </w:rPr>
      </w:pPr>
      <w:r w:rsidRPr="00C46716">
        <w:rPr>
          <w:lang w:val="fr-FR"/>
        </w:rPr>
        <w:t xml:space="preserve">La préférence est une condition souhaitable, </w:t>
      </w:r>
      <w:r w:rsidR="000E0B0F">
        <w:rPr>
          <w:lang w:val="fr-FR"/>
        </w:rPr>
        <w:t>une fonction</w:t>
      </w:r>
      <w:r w:rsidRPr="00C46716">
        <w:rPr>
          <w:lang w:val="fr-FR"/>
        </w:rPr>
        <w:t xml:space="preserve"> d’objectif. Elle exprime, de façon graduée, le bénéfice ODD attendu d’un Projet (Titre VII) </w:t>
      </w:r>
      <w:r w:rsidR="000E0B0F">
        <w:rPr>
          <w:lang w:val="fr-FR"/>
        </w:rPr>
        <w:t>et vise</w:t>
      </w:r>
      <w:r w:rsidRPr="00C46716">
        <w:rPr>
          <w:lang w:val="fr-FR"/>
        </w:rPr>
        <w:t xml:space="preserve"> la maximisation d</w:t>
      </w:r>
      <w:r w:rsidR="000E0B0F">
        <w:rPr>
          <w:lang w:val="fr-FR"/>
        </w:rPr>
        <w:t>u bien-être</w:t>
      </w:r>
      <w:r w:rsidRPr="00C46716">
        <w:rPr>
          <w:lang w:val="fr-FR"/>
        </w:rPr>
        <w:t xml:space="preserve"> collectif. Elle s’exerce projet par projet, en amont, pour classer et prioriser, non pour autoriser. Elle n’a d’effet que dans le champ délimité par le Principe I.</w:t>
      </w:r>
    </w:p>
    <w:p w14:paraId="42222BD0" w14:textId="77777777" w:rsidR="00FB6EF5" w:rsidRPr="00C46716" w:rsidRDefault="00000000">
      <w:pPr>
        <w:pStyle w:val="Titre2"/>
        <w:rPr>
          <w:color w:val="000000" w:themeColor="text1"/>
          <w:sz w:val="24"/>
          <w:szCs w:val="24"/>
          <w:lang w:val="fr-FR"/>
        </w:rPr>
      </w:pPr>
      <w:bookmarkStart w:id="5" w:name="X0d671bda9ed987be40c075933190c3f87cd128d"/>
      <w:bookmarkEnd w:id="4"/>
      <w:r w:rsidRPr="00C46716">
        <w:rPr>
          <w:color w:val="000000" w:themeColor="text1"/>
          <w:sz w:val="24"/>
          <w:szCs w:val="24"/>
          <w:lang w:val="fr-FR"/>
        </w:rPr>
        <w:t>Principe III — Composition, primauté et cohérence</w:t>
      </w:r>
    </w:p>
    <w:p w14:paraId="33F7A7ED" w14:textId="40AB4F08" w:rsidR="00FB6EF5" w:rsidRPr="00C46716" w:rsidRDefault="00000000">
      <w:pPr>
        <w:pStyle w:val="FirstParagraph"/>
        <w:rPr>
          <w:lang w:val="fr-FR"/>
        </w:rPr>
      </w:pPr>
      <w:r w:rsidRPr="00C46716">
        <w:rPr>
          <w:lang w:val="fr-FR"/>
        </w:rPr>
        <w:t>Les deux principes se composent selon un ordre non commutatif : le dispositif filtre d’abord</w:t>
      </w:r>
      <w:r w:rsidR="000E0B0F">
        <w:rPr>
          <w:lang w:val="fr-FR"/>
        </w:rPr>
        <w:t xml:space="preserve"> les opérations</w:t>
      </w:r>
      <w:r w:rsidRPr="00C46716">
        <w:rPr>
          <w:lang w:val="fr-FR"/>
        </w:rPr>
        <w:t xml:space="preserve"> par l’acceptabilité (Principe I), puis optimise</w:t>
      </w:r>
      <w:r w:rsidR="000E0B0F">
        <w:rPr>
          <w:lang w:val="fr-FR"/>
        </w:rPr>
        <w:t xml:space="preserve"> les opérations par un ordre de</w:t>
      </w:r>
      <w:r w:rsidRPr="00C46716">
        <w:rPr>
          <w:lang w:val="fr-FR"/>
        </w:rPr>
        <w:t xml:space="preserve"> préférence (Principe II) </w:t>
      </w:r>
      <w:r w:rsidR="000E0B0F">
        <w:rPr>
          <w:lang w:val="fr-FR"/>
        </w:rPr>
        <w:t xml:space="preserve">en effectuant un classement de préférence </w:t>
      </w:r>
      <w:r w:rsidRPr="00C46716">
        <w:rPr>
          <w:lang w:val="fr-FR"/>
        </w:rPr>
        <w:t>dans l’ensemble des seules opérations acceptables. L’acceptabilité est première au sens d’un portail : ce</w:t>
      </w:r>
      <w:r w:rsidR="000E0B0F">
        <w:rPr>
          <w:lang w:val="fr-FR"/>
        </w:rPr>
        <w:t>ux</w:t>
      </w:r>
      <w:r w:rsidRPr="00C46716">
        <w:rPr>
          <w:lang w:val="fr-FR"/>
        </w:rPr>
        <w:t xml:space="preserve"> qui ne la franchi</w:t>
      </w:r>
      <w:r w:rsidR="000E0B0F">
        <w:rPr>
          <w:lang w:val="fr-FR"/>
        </w:rPr>
        <w:t>ssen</w:t>
      </w:r>
      <w:r w:rsidRPr="00C46716">
        <w:rPr>
          <w:lang w:val="fr-FR"/>
        </w:rPr>
        <w:t>t pas n’accède</w:t>
      </w:r>
      <w:r w:rsidR="000E0B0F">
        <w:rPr>
          <w:lang w:val="fr-FR"/>
        </w:rPr>
        <w:t>nt</w:t>
      </w:r>
      <w:r w:rsidRPr="00C46716">
        <w:rPr>
          <w:lang w:val="fr-FR"/>
        </w:rPr>
        <w:t xml:space="preserve"> pas au champ où la préférence s’exerce. Aucune préférence, si forte soit-elle, ne peut rendre acceptable une opération qui léserait un Membre.</w:t>
      </w:r>
    </w:p>
    <w:p w14:paraId="3EF1EF03" w14:textId="397C5E4F" w:rsidR="00FB6EF5" w:rsidRPr="00C46716" w:rsidRDefault="00000000">
      <w:pPr>
        <w:pStyle w:val="Corpsdetexte"/>
        <w:rPr>
          <w:lang w:val="fr-FR"/>
        </w:rPr>
      </w:pPr>
      <w:r w:rsidRPr="00C46716">
        <w:rPr>
          <w:lang w:val="fr-FR"/>
        </w:rPr>
        <w:t xml:space="preserve">La composition de ces deux vecteurs — approbation (acceptabilité) et </w:t>
      </w:r>
      <w:r w:rsidR="000E0B0F">
        <w:rPr>
          <w:lang w:val="fr-FR"/>
        </w:rPr>
        <w:t>plébiscite</w:t>
      </w:r>
      <w:r w:rsidRPr="00C46716">
        <w:rPr>
          <w:lang w:val="fr-FR"/>
        </w:rPr>
        <w:t xml:space="preserve"> (préférence) — produit la décision collective par la règle de consensus (Art. 21). </w:t>
      </w:r>
      <w:r w:rsidR="000E0B0F">
        <w:rPr>
          <w:lang w:val="fr-FR"/>
        </w:rPr>
        <w:t xml:space="preserve">Le consensus représente la décision optimale qui cherche à maximiser la minimiser le risque d’insolvabilité (lié au vecteur d’approbation) et à maximiser la performance économique, écologique et sociale (lié au vecteur de préférence). </w:t>
      </w:r>
      <w:r w:rsidRPr="00C46716">
        <w:rPr>
          <w:lang w:val="fr-FR"/>
        </w:rPr>
        <w:t>Le recours à deux vecteurs distincts, et non à un critère unique, est la condition de cohérence du dispositif au regard des résultats de la théorie du choix social ; la réduction à un critère unique est proscrite.</w:t>
      </w:r>
    </w:p>
    <w:p w14:paraId="626B1D9B" w14:textId="77777777" w:rsidR="00FB6EF5" w:rsidRPr="00C46716" w:rsidRDefault="00000000">
      <w:pPr>
        <w:pStyle w:val="Corpsdetexte"/>
        <w:rPr>
          <w:lang w:val="fr-FR"/>
        </w:rPr>
      </w:pPr>
      <w:r w:rsidRPr="00C46716">
        <w:rPr>
          <w:b/>
          <w:bCs/>
          <w:lang w:val="fr-FR"/>
        </w:rPr>
        <w:t>Formellement : une opération est réalisable si et seulement si elle satisfait le Principe I ; parmi les opérations réalisables, la priorité d’affectation est déterminée par le Principe II, composé selon l’Article 19. Le Principe I borne le champ des possibles ; le Principe II l’oriente ; le consensus les compose.</w:t>
      </w:r>
    </w:p>
    <w:p w14:paraId="425BA324" w14:textId="77777777" w:rsidR="00FB6EF5" w:rsidRPr="00C46716" w:rsidRDefault="00000000">
      <w:pPr>
        <w:pStyle w:val="Corpsdetexte"/>
        <w:rPr>
          <w:lang w:val="fr-FR"/>
        </w:rPr>
      </w:pPr>
      <w:r w:rsidRPr="00C46716">
        <w:rPr>
          <w:i/>
          <w:iCs/>
          <w:lang w:val="fr-FR"/>
        </w:rPr>
        <w:t>Ceci exposé, il a été convenu ce qui suit.</w:t>
      </w:r>
    </w:p>
    <w:p w14:paraId="508E8221" w14:textId="77777777" w:rsidR="00FB6EF5" w:rsidRPr="00C46716" w:rsidRDefault="00000000">
      <w:pPr>
        <w:pStyle w:val="Titre1"/>
        <w:rPr>
          <w:lang w:val="fr-FR"/>
        </w:rPr>
      </w:pPr>
      <w:bookmarkStart w:id="6" w:name="article-1-définitions"/>
      <w:bookmarkEnd w:id="2"/>
      <w:bookmarkEnd w:id="5"/>
      <w:r w:rsidRPr="00C46716">
        <w:rPr>
          <w:lang w:val="fr-FR"/>
        </w:rPr>
        <w:t>Article 1 — Définitions</w:t>
      </w:r>
    </w:p>
    <w:p w14:paraId="062314F7" w14:textId="51CCFA64" w:rsidR="00FB6EF5" w:rsidRPr="00C46716" w:rsidRDefault="00000000">
      <w:pPr>
        <w:pStyle w:val="FirstParagraph"/>
        <w:rPr>
          <w:lang w:val="fr-FR"/>
        </w:rPr>
      </w:pPr>
      <w:r w:rsidRPr="00C46716">
        <w:rPr>
          <w:b/>
          <w:bCs/>
          <w:lang w:val="fr-FR"/>
        </w:rPr>
        <w:t>« Capital d’Ancrage (K) » :</w:t>
      </w:r>
      <w:r w:rsidRPr="00C46716">
        <w:rPr>
          <w:lang w:val="fr-FR"/>
        </w:rPr>
        <w:t xml:space="preserve"> capital financier démembré, décrit en Annexe 1, sur lequel le Propriétaire conserve la nue-propriété ; immobilisé (Art. 3), il constitue le plafond de l’exposition autorisée (Art. 12) et ses fruits </w:t>
      </w:r>
      <w:r w:rsidR="00407954">
        <w:rPr>
          <w:lang w:val="fr-FR"/>
        </w:rPr>
        <w:t xml:space="preserve">restent attachés à la nue-propriété. </w:t>
      </w:r>
    </w:p>
    <w:p w14:paraId="0AE80D91" w14:textId="77777777" w:rsidR="00FB6EF5" w:rsidRPr="00C46716" w:rsidRDefault="00000000">
      <w:pPr>
        <w:pStyle w:val="Corpsdetexte"/>
        <w:rPr>
          <w:lang w:val="fr-FR"/>
        </w:rPr>
      </w:pPr>
      <w:r w:rsidRPr="00C46716">
        <w:rPr>
          <w:b/>
          <w:bCs/>
          <w:lang w:val="fr-FR"/>
        </w:rPr>
        <w:t>« Graphe d’échange » :</w:t>
      </w:r>
      <w:r w:rsidRPr="00C46716">
        <w:rPr>
          <w:lang w:val="fr-FR"/>
        </w:rPr>
        <w:t xml:space="preserve"> registre programmatique des engagements réciproques entre Membres, exprimés en unités internes, où toute écriture débitrice a pour miroir une écriture créditrice, de sorte que la somme algébrique des soldes est constamment nulle.</w:t>
      </w:r>
    </w:p>
    <w:p w14:paraId="035D323F" w14:textId="77777777" w:rsidR="00FB6EF5" w:rsidRPr="00C46716" w:rsidRDefault="00000000">
      <w:pPr>
        <w:pStyle w:val="Corpsdetexte"/>
        <w:rPr>
          <w:lang w:val="fr-FR"/>
        </w:rPr>
      </w:pPr>
      <w:r w:rsidRPr="00C46716">
        <w:rPr>
          <w:b/>
          <w:bCs/>
          <w:lang w:val="fr-FR"/>
        </w:rPr>
        <w:t>« Unité interne » :</w:t>
      </w:r>
      <w:r w:rsidRPr="00C46716">
        <w:rPr>
          <w:lang w:val="fr-FR"/>
        </w:rPr>
        <w:t xml:space="preserve"> mesure d’une créance ou d’une dette réciproque, s’éteignant à la fermeture du cycle. Elle n’est ni une monnaie, ni un moyen de paiement, ni un actif transférable.</w:t>
      </w:r>
    </w:p>
    <w:p w14:paraId="295D41B4" w14:textId="77777777" w:rsidR="00FB6EF5" w:rsidRPr="00C46716" w:rsidRDefault="00000000">
      <w:pPr>
        <w:pStyle w:val="Corpsdetexte"/>
        <w:rPr>
          <w:lang w:val="fr-FR"/>
        </w:rPr>
      </w:pPr>
      <w:r w:rsidRPr="00C46716">
        <w:rPr>
          <w:b/>
          <w:bCs/>
          <w:lang w:val="fr-FR"/>
        </w:rPr>
        <w:t>« Solde (s</w:t>
      </w:r>
      <w:r>
        <w:rPr>
          <w:b/>
          <w:bCs/>
        </w:rPr>
        <w:t>ᵢ</w:t>
      </w:r>
      <w:r w:rsidRPr="00C46716">
        <w:rPr>
          <w:b/>
          <w:bCs/>
          <w:lang w:val="fr-FR"/>
        </w:rPr>
        <w:t>) » :</w:t>
      </w:r>
      <w:r w:rsidRPr="00C46716">
        <w:rPr>
          <w:lang w:val="fr-FR"/>
        </w:rPr>
        <w:t xml:space="preserve"> position nette d’un Membre dans le graphe, positive (créditrice) ou négative (débitrice), maintenue dans une fourchette individuelle [−</w:t>
      </w:r>
      <w:r>
        <w:t>δᵢ</w:t>
      </w:r>
      <w:r w:rsidRPr="00C46716">
        <w:rPr>
          <w:lang w:val="fr-FR"/>
        </w:rPr>
        <w:t>, +</w:t>
      </w:r>
      <w:r>
        <w:t>δᵢ</w:t>
      </w:r>
      <w:r w:rsidRPr="00C46716">
        <w:rPr>
          <w:lang w:val="fr-FR"/>
        </w:rPr>
        <w:t>] choisie par le Membre (Art. 11).</w:t>
      </w:r>
    </w:p>
    <w:p w14:paraId="79AE4D4F" w14:textId="598D481C" w:rsidR="00FB6EF5" w:rsidRDefault="00000000">
      <w:pPr>
        <w:pStyle w:val="Corpsdetexte"/>
        <w:rPr>
          <w:lang w:val="fr-FR"/>
        </w:rPr>
      </w:pPr>
      <w:r w:rsidRPr="00C46716">
        <w:rPr>
          <w:b/>
          <w:bCs/>
          <w:lang w:val="fr-FR"/>
        </w:rPr>
        <w:t>« Inscription » :</w:t>
      </w:r>
      <w:r w:rsidRPr="00C46716">
        <w:rPr>
          <w:lang w:val="fr-FR"/>
        </w:rPr>
        <w:t xml:space="preserve"> enregistrement d’un engagement dans le graphe, </w:t>
      </w:r>
      <w:r w:rsidR="000E0B0F">
        <w:rPr>
          <w:lang w:val="fr-FR"/>
        </w:rPr>
        <w:t xml:space="preserve">modifiable à tout moment depuis l’ouverture de la période d’inscription jusqu’à son scellement. </w:t>
      </w:r>
    </w:p>
    <w:p w14:paraId="20293728" w14:textId="2AC68D87" w:rsidR="00334132" w:rsidRPr="00C46716" w:rsidRDefault="00334132">
      <w:pPr>
        <w:pStyle w:val="Corpsdetexte"/>
        <w:rPr>
          <w:lang w:val="fr-FR"/>
        </w:rPr>
      </w:pPr>
      <w:r w:rsidRPr="00334132">
        <w:rPr>
          <w:b/>
          <w:bCs/>
          <w:lang w:val="fr-FR"/>
        </w:rPr>
        <w:t xml:space="preserve">« </w:t>
      </w:r>
      <w:r>
        <w:rPr>
          <w:b/>
          <w:bCs/>
          <w:lang w:val="fr-FR"/>
        </w:rPr>
        <w:t xml:space="preserve">Scellement </w:t>
      </w:r>
      <w:r w:rsidRPr="00334132">
        <w:rPr>
          <w:b/>
          <w:bCs/>
          <w:lang w:val="fr-FR"/>
        </w:rPr>
        <w:t>» :</w:t>
      </w:r>
      <w:r w:rsidRPr="00334132">
        <w:rPr>
          <w:lang w:val="fr-FR"/>
        </w:rPr>
        <w:t xml:space="preserve"> </w:t>
      </w:r>
      <w:r>
        <w:rPr>
          <w:lang w:val="fr-FR"/>
        </w:rPr>
        <w:t>moment où les inscriptions transactionnelles du graphe sont fixées collectivement et définitivement et sont enregistrées dans la mémoire du registre distribué pour devenir des obligations contractuelles.</w:t>
      </w:r>
    </w:p>
    <w:p w14:paraId="2ED8D55F" w14:textId="08D91DFE" w:rsidR="00FB6EF5" w:rsidRPr="00C46716" w:rsidRDefault="00000000">
      <w:pPr>
        <w:pStyle w:val="Corpsdetexte"/>
        <w:rPr>
          <w:lang w:val="fr-FR"/>
        </w:rPr>
      </w:pPr>
      <w:r w:rsidRPr="00C46716">
        <w:rPr>
          <w:b/>
          <w:bCs/>
          <w:lang w:val="fr-FR"/>
        </w:rPr>
        <w:t>« Réalisation » :</w:t>
      </w:r>
      <w:r w:rsidRPr="00C46716">
        <w:rPr>
          <w:lang w:val="fr-FR"/>
        </w:rPr>
        <w:t xml:space="preserve"> exécution effective d’un</w:t>
      </w:r>
      <w:r w:rsidR="00334132">
        <w:rPr>
          <w:lang w:val="fr-FR"/>
        </w:rPr>
        <w:t>e obligation contractuelle résultant d’un</w:t>
      </w:r>
      <w:r w:rsidRPr="00C46716">
        <w:rPr>
          <w:lang w:val="fr-FR"/>
        </w:rPr>
        <w:t xml:space="preserve"> engagement inscrit</w:t>
      </w:r>
      <w:r w:rsidR="00334132">
        <w:rPr>
          <w:lang w:val="fr-FR"/>
        </w:rPr>
        <w:t xml:space="preserve"> sur le graphe</w:t>
      </w:r>
      <w:r w:rsidRPr="00C46716">
        <w:rPr>
          <w:lang w:val="fr-FR"/>
        </w:rPr>
        <w:t>.</w:t>
      </w:r>
    </w:p>
    <w:p w14:paraId="4F7E7926" w14:textId="77777777" w:rsidR="00FB6EF5" w:rsidRPr="00C46716" w:rsidRDefault="00000000">
      <w:pPr>
        <w:pStyle w:val="Corpsdetexte"/>
        <w:rPr>
          <w:lang w:val="fr-FR"/>
        </w:rPr>
      </w:pPr>
      <w:r w:rsidRPr="00C46716">
        <w:rPr>
          <w:b/>
          <w:bCs/>
          <w:lang w:val="fr-FR"/>
        </w:rPr>
        <w:t>« Préfinancement » :</w:t>
      </w:r>
      <w:r w:rsidRPr="00C46716">
        <w:rPr>
          <w:lang w:val="fr-FR"/>
        </w:rPr>
        <w:t xml:space="preserve"> dépôt de garantie, en argent réel, couvrant la position débitrice qu’un Membre s’autorise (Art. 13).</w:t>
      </w:r>
    </w:p>
    <w:p w14:paraId="41FA8643" w14:textId="77777777" w:rsidR="00FB6EF5" w:rsidRPr="00C46716" w:rsidRDefault="00000000">
      <w:pPr>
        <w:pStyle w:val="Corpsdetexte"/>
        <w:rPr>
          <w:lang w:val="fr-FR"/>
        </w:rPr>
      </w:pPr>
      <w:r w:rsidRPr="00C46716">
        <w:rPr>
          <w:b/>
          <w:bCs/>
          <w:lang w:val="fr-FR"/>
        </w:rPr>
        <w:t>« Projet ODD » :</w:t>
      </w:r>
      <w:r w:rsidRPr="00C46716">
        <w:rPr>
          <w:lang w:val="fr-FR"/>
        </w:rPr>
        <w:t xml:space="preserve"> opération soumise au critère de bénéfice (Art. 20) et à la priorisation collective (Art. 21).</w:t>
      </w:r>
    </w:p>
    <w:p w14:paraId="42FDA1EA" w14:textId="77777777" w:rsidR="00FB6EF5" w:rsidRPr="00C46716" w:rsidRDefault="00000000">
      <w:pPr>
        <w:pStyle w:val="Titre1"/>
        <w:rPr>
          <w:lang w:val="fr-FR"/>
        </w:rPr>
      </w:pPr>
      <w:bookmarkStart w:id="7" w:name="titre-i-démembrement-et-capital-dancrage"/>
      <w:bookmarkEnd w:id="6"/>
      <w:r w:rsidRPr="00C46716">
        <w:rPr>
          <w:lang w:val="fr-FR"/>
        </w:rPr>
        <w:t>Titre I — Démembrement et capital d’ancrage</w:t>
      </w:r>
    </w:p>
    <w:p w14:paraId="1739653A" w14:textId="77777777" w:rsidR="00FB6EF5" w:rsidRPr="00C46716" w:rsidRDefault="00000000">
      <w:pPr>
        <w:pStyle w:val="Titre2"/>
        <w:rPr>
          <w:lang w:val="fr-FR"/>
        </w:rPr>
      </w:pPr>
      <w:bookmarkStart w:id="8" w:name="article-2-démembrement"/>
      <w:r w:rsidRPr="00C46716">
        <w:rPr>
          <w:lang w:val="fr-FR"/>
        </w:rPr>
        <w:t>Article 2 — Démembrement</w:t>
      </w:r>
    </w:p>
    <w:p w14:paraId="0FED2609" w14:textId="77777777" w:rsidR="00FB6EF5" w:rsidRPr="00C46716" w:rsidRDefault="00000000">
      <w:pPr>
        <w:pStyle w:val="FirstParagraph"/>
        <w:rPr>
          <w:lang w:val="fr-FR"/>
        </w:rPr>
      </w:pPr>
      <w:r w:rsidRPr="00C46716">
        <w:rPr>
          <w:lang w:val="fr-FR"/>
        </w:rPr>
        <w:t xml:space="preserve">Le Propriétaire démembre le capital décrit en Annexe 1 : il conserve la nue-propriété financière — entendue comme la restitution du capital, ses fruits et son prix de cession — et constitue au profit des Membres un droit d'usage collectif portant sur la seule utilité d'information et de compensation attachée à ce capital, à l'exclusion de tout pouvoir de disposition et de toute perception de fruits. Le droit ainsi conféré est un </w:t>
      </w:r>
      <w:r w:rsidRPr="00C46716">
        <w:rPr>
          <w:i/>
          <w:iCs/>
          <w:lang w:val="fr-FR"/>
        </w:rPr>
        <w:t>usus</w:t>
      </w:r>
      <w:r w:rsidRPr="00C46716">
        <w:rPr>
          <w:lang w:val="fr-FR"/>
        </w:rPr>
        <w:t xml:space="preserve"> seul, dépourvu d'</w:t>
      </w:r>
      <w:r w:rsidRPr="00C46716">
        <w:rPr>
          <w:i/>
          <w:iCs/>
          <w:lang w:val="fr-FR"/>
        </w:rPr>
        <w:t>abusus</w:t>
      </w:r>
      <w:r w:rsidRPr="00C46716">
        <w:rPr>
          <w:lang w:val="fr-FR"/>
        </w:rPr>
        <w:t xml:space="preserve"> et de </w:t>
      </w:r>
      <w:r w:rsidRPr="00C46716">
        <w:rPr>
          <w:i/>
          <w:iCs/>
          <w:lang w:val="fr-FR"/>
        </w:rPr>
        <w:t>fructus</w:t>
      </w:r>
      <w:r w:rsidRPr="00C46716">
        <w:rPr>
          <w:lang w:val="fr-FR"/>
        </w:rPr>
        <w:t xml:space="preserve"> : les Membres usent de la faculté de mesure et de compensation, sans jamais pouvoir disposer du capital ni en percevoir les fruits, lesquels demeurent au Propriétaire.</w:t>
      </w:r>
    </w:p>
    <w:p w14:paraId="17D8D115" w14:textId="77777777" w:rsidR="00FB6EF5" w:rsidRPr="00C46716" w:rsidRDefault="00000000">
      <w:pPr>
        <w:pStyle w:val="Corpsdetexte"/>
        <w:rPr>
          <w:lang w:val="fr-FR"/>
        </w:rPr>
      </w:pPr>
      <w:r w:rsidRPr="00C46716">
        <w:rPr>
          <w:lang w:val="fr-FR"/>
        </w:rPr>
        <w:t>La qualification juridique de ce droit d'usage est précisée à l'Article 5.</w:t>
      </w:r>
    </w:p>
    <w:p w14:paraId="73D9D3BD" w14:textId="77777777" w:rsidR="00FB6EF5" w:rsidRPr="00C46716" w:rsidRDefault="00000000">
      <w:pPr>
        <w:pStyle w:val="Corpsdetexte"/>
        <w:rPr>
          <w:lang w:val="fr-FR"/>
        </w:rPr>
      </w:pPr>
      <w:r w:rsidRPr="00C46716">
        <w:rPr>
          <w:lang w:val="fr-FR"/>
        </w:rPr>
        <w:t>Le démembrement constitue la configuration retenue par principe. Il n'est toutefois pas une condition de fonctionnement du dispositif : les Parties peuvent, dans les cas et selon les modalités prévues à l'Article 5, y renoncer et affecter un capital détenu en pleine propriété comme simple point d'ancrage, sans que l'économie du système d'échange en soit affectée.</w:t>
      </w:r>
    </w:p>
    <w:p w14:paraId="069CF3F2" w14:textId="77777777" w:rsidR="00FB6EF5" w:rsidRPr="00C46716" w:rsidRDefault="00000000">
      <w:pPr>
        <w:pStyle w:val="Titre2"/>
        <w:rPr>
          <w:lang w:val="fr-FR"/>
        </w:rPr>
      </w:pPr>
      <w:bookmarkStart w:id="9" w:name="article-3-immobilisation"/>
      <w:bookmarkEnd w:id="8"/>
      <w:r w:rsidRPr="00C46716">
        <w:rPr>
          <w:lang w:val="fr-FR"/>
        </w:rPr>
        <w:t>Article 3 — Immobilisation</w:t>
      </w:r>
    </w:p>
    <w:p w14:paraId="4E474F2C" w14:textId="77777777" w:rsidR="00FB6EF5" w:rsidRPr="00C46716" w:rsidRDefault="00000000">
      <w:pPr>
        <w:pStyle w:val="FirstParagraph"/>
        <w:rPr>
          <w:lang w:val="fr-FR"/>
        </w:rPr>
      </w:pPr>
      <w:r w:rsidRPr="00C46716">
        <w:rPr>
          <w:lang w:val="fr-FR"/>
        </w:rPr>
        <w:t>Le Capital d'Ancrage est immobilisé et n'est jamais décaissé pour les opérations du dispositif. Il est placé sous séquestre ou sur compte bloqué (Annexe 2).</w:t>
      </w:r>
    </w:p>
    <w:p w14:paraId="20B53709" w14:textId="77777777" w:rsidR="00FB6EF5" w:rsidRPr="00C46716" w:rsidRDefault="00000000">
      <w:pPr>
        <w:pStyle w:val="Corpsdetexte"/>
        <w:rPr>
          <w:lang w:val="fr-FR"/>
        </w:rPr>
      </w:pPr>
      <w:r w:rsidRPr="00C46716">
        <w:rPr>
          <w:lang w:val="fr-FR"/>
        </w:rPr>
        <w:t xml:space="preserve">L'immobilisation et le plafonnement sont deux propriétés distinctes et cumulatives : l'immobilisation signifie que le capital n'est pas dépensé, le plafonnement qu'il borne l'exposition autorisée du dispositif (∑ </w:t>
      </w:r>
      <w:r>
        <w:t>δᵢ</w:t>
      </w:r>
      <w:r w:rsidRPr="00C46716">
        <w:rPr>
          <w:lang w:val="fr-FR"/>
        </w:rPr>
        <w:t xml:space="preserve"> ≤ K, Art. 12).</w:t>
      </w:r>
    </w:p>
    <w:p w14:paraId="630D04E5" w14:textId="77777777" w:rsidR="00FB6EF5" w:rsidRPr="00C46716" w:rsidRDefault="00000000">
      <w:pPr>
        <w:pStyle w:val="Corpsdetexte"/>
        <w:rPr>
          <w:lang w:val="fr-FR"/>
        </w:rPr>
      </w:pPr>
      <w:r w:rsidRPr="00C46716">
        <w:rPr>
          <w:lang w:val="fr-FR"/>
        </w:rPr>
        <w:t>Il résulte de cette immobilisation que le capital ne remplit aucune fonction de décaissement ni de garantie. Il ne finance aucune opération, et il ne couvre pas davantage les défaillances de paiement des Membres : celles-ci sont intégralement couvertes, euro pour euro, par le préfinancement des positions débitrices (Art. 13). Le Capital d'Ancrage n'est donc ni un fonds mobilisable ni une sûreté ; il est un pur instrument de dimensionnement, dont la grandeur met la capacité productive et transactionnelle autorisée du réseau en phase avec la réalité socio-économique dans laquelle il s'inscrit.</w:t>
      </w:r>
    </w:p>
    <w:p w14:paraId="0581C0FA" w14:textId="77777777" w:rsidR="00FB6EF5" w:rsidRPr="00C46716" w:rsidRDefault="00000000">
      <w:pPr>
        <w:pStyle w:val="Titre1"/>
        <w:rPr>
          <w:lang w:val="fr-FR"/>
        </w:rPr>
      </w:pPr>
      <w:bookmarkStart w:id="10" w:name="titre-ii-nature-et-qualification"/>
      <w:bookmarkEnd w:id="7"/>
      <w:bookmarkEnd w:id="9"/>
      <w:r w:rsidRPr="00C46716">
        <w:rPr>
          <w:lang w:val="fr-FR"/>
        </w:rPr>
        <w:t>Titre II — Nature et qualification</w:t>
      </w:r>
    </w:p>
    <w:p w14:paraId="5DD4ECFE" w14:textId="77777777" w:rsidR="00FB6EF5" w:rsidRPr="00C46716" w:rsidRDefault="00000000">
      <w:pPr>
        <w:pStyle w:val="Titre2"/>
        <w:rPr>
          <w:lang w:val="fr-FR"/>
        </w:rPr>
      </w:pPr>
      <w:bookmarkStart w:id="11" w:name="article-4-nature-non-monétaire"/>
      <w:r w:rsidRPr="00C46716">
        <w:rPr>
          <w:lang w:val="fr-FR"/>
        </w:rPr>
        <w:t>Article 4 — Nature non monétaire</w:t>
      </w:r>
    </w:p>
    <w:p w14:paraId="4C94B2A0" w14:textId="77777777" w:rsidR="00FB6EF5" w:rsidRPr="00C46716" w:rsidRDefault="00000000">
      <w:pPr>
        <w:pStyle w:val="FirstParagraph"/>
        <w:rPr>
          <w:lang w:val="fr-FR"/>
        </w:rPr>
      </w:pPr>
      <w:r w:rsidRPr="00C46716">
        <w:rPr>
          <w:lang w:val="fr-FR"/>
        </w:rPr>
        <w:t>Le droit d'usage sert à mesurer et à compenser des échanges entre Membres. Quand un Membre fournit un bien ou un service à un autre, l'opération est inscrite au registre interne, qui en enregistre la valeur sous forme d'unités : ces unités ne sont rien d'autre que la mesure de ce qui est dû et de ce qui est fourni, l'instrument par lequel le dispositif tient le compte des obligations réciproques et les éteint par compensation lorsque les cycles d'échange se referment. Le droit d'usage est la faculté d'accéder à ce mécanisme de mesure et de compensation ; les unités internes en sont l'écriture. Leur fonction est donc comptable et relationnelle — établir qui doit quoi à qui, et le résorber par l'équilibre des échanges — et non de servir de réserve de valeur ou de moyen de paiement. C'est cette fonction qui commande les qualifications négatives qui suivent.</w:t>
      </w:r>
    </w:p>
    <w:p w14:paraId="7F95829B" w14:textId="77777777" w:rsidR="00FB6EF5" w:rsidRPr="00C46716" w:rsidRDefault="00000000">
      <w:pPr>
        <w:pStyle w:val="Corpsdetexte"/>
        <w:rPr>
          <w:lang w:val="fr-FR"/>
        </w:rPr>
      </w:pPr>
      <w:r w:rsidRPr="00C46716">
        <w:rPr>
          <w:lang w:val="fr-FR"/>
        </w:rPr>
        <w:t>Le droit d'usage et les unités internes ne constituent ni une monnaie ayant cours légal, fiduciaire, scripturale ou électronique ; ne confèrent aucun droit de créance monétaire exigible à l'égard d'un émetteur assimilable à un établissement de crédit ou de monnaie électronique ; ne sont pas un moyen de paiement général ; ne sont pas des actifs numériques utilisés comme moyen de paiement. Ils constituent un instrument d'enregistrement et de mesure d'échanges compensatoires.</w:t>
      </w:r>
    </w:p>
    <w:p w14:paraId="25C07663" w14:textId="77777777" w:rsidR="00FB6EF5" w:rsidRPr="00C46716" w:rsidRDefault="00000000">
      <w:pPr>
        <w:pStyle w:val="Corpsdetexte"/>
        <w:rPr>
          <w:lang w:val="fr-FR"/>
        </w:rPr>
      </w:pPr>
      <w:r w:rsidRPr="00C46716">
        <w:rPr>
          <w:lang w:val="fr-FR"/>
        </w:rPr>
        <w:t>Les unités internes constituent un simple instrument d'enregistrement et de mesure d'obligations réciproques compensables entre Membres identifiés, au sein d'un cercle fermé. Le dispositif ne reçoit, ne détient ni ne transfère aucun fonds pour le compte de tiers (Art. 17), de sorte qu'il ne fournit aucun service de paiement au sens des articles L. 314-1 et L. 521-1 du Code monétaire et financier. Les unités n'étant acceptées qu'entre Membres, pour un éventail déterminé de biens et de services relevant des Objectifs de Développement Durable, le dispositif s'inscrit dans la logique des instruments à réseau limité exclus du champ des services de paiement (art. L. 521-3 du même code) et, le cas échéant, dans celle des titres de monnaie locale complémentaire (Art. 41).</w:t>
      </w:r>
    </w:p>
    <w:p w14:paraId="638A7407" w14:textId="77777777" w:rsidR="00FB6EF5" w:rsidRPr="00C46716" w:rsidRDefault="00000000">
      <w:pPr>
        <w:pStyle w:val="Corpsdetexte"/>
        <w:rPr>
          <w:lang w:val="fr-FR"/>
        </w:rPr>
      </w:pPr>
      <w:r w:rsidRPr="00C46716">
        <w:rPr>
          <w:lang w:val="fr-FR"/>
        </w:rPr>
        <w:t>Les unités ne portent aucun intérêt, ne procurent aucun rendement par leur seule détention et ne sont pas cessibles à titre onéreux. Elles ne constituent ni un instrument financier au sens de l'article L. 211-1 du Code monétaire et financier, ni un titre de créance négociable.</w:t>
      </w:r>
    </w:p>
    <w:p w14:paraId="519215FF" w14:textId="77777777" w:rsidR="00FB6EF5" w:rsidRPr="00C46716" w:rsidRDefault="00000000">
      <w:pPr>
        <w:pStyle w:val="Titre2"/>
        <w:rPr>
          <w:lang w:val="fr-FR"/>
        </w:rPr>
      </w:pPr>
      <w:bookmarkStart w:id="12" w:name="article-5-qualification"/>
      <w:bookmarkEnd w:id="11"/>
      <w:r w:rsidRPr="00C46716">
        <w:rPr>
          <w:lang w:val="fr-FR"/>
        </w:rPr>
        <w:t>Article 5 — Qualification</w:t>
      </w:r>
    </w:p>
    <w:p w14:paraId="6C62AF3A" w14:textId="77777777" w:rsidR="00FB6EF5" w:rsidRPr="00C46716" w:rsidRDefault="00000000">
      <w:pPr>
        <w:pStyle w:val="FirstParagraph"/>
        <w:rPr>
          <w:lang w:val="fr-FR"/>
        </w:rPr>
      </w:pPr>
      <w:r w:rsidRPr="00C46716">
        <w:rPr>
          <w:lang w:val="fr-FR"/>
        </w:rPr>
        <w:t>Le droit d'usage reçoit deux qualifications, dont la première suppose le démembrement du Capital d'Ancrage et la seconde vaut en toute configuration.</w:t>
      </w:r>
    </w:p>
    <w:p w14:paraId="20E92AE0" w14:textId="77777777" w:rsidR="00FB6EF5" w:rsidRPr="00C46716" w:rsidRDefault="00000000">
      <w:pPr>
        <w:pStyle w:val="Corpsdetexte"/>
        <w:rPr>
          <w:lang w:val="fr-FR"/>
        </w:rPr>
      </w:pPr>
      <w:r w:rsidRPr="00C46716">
        <w:rPr>
          <w:lang w:val="fr-FR"/>
        </w:rPr>
        <w:t xml:space="preserve">Lorsque le Capital d'Ancrage est démembré, le droit d'usage s'analyse à titre principal en un droit réel de jouissance spéciale portant sur une utilité déterminée de ce capital, dont la validité est admise par la jurisprudence (Cass. 3e civ., 31 octobre 2012, n° 11-16.304). Il est consenti pour une durée déterminée (Art. 40), conforme aux limites que la jurisprudence assigne à de tels droits. Cette qualification confère au droit d'usage une opposabilité </w:t>
      </w:r>
      <w:r w:rsidRPr="00C46716">
        <w:rPr>
          <w:i/>
          <w:iCs/>
          <w:lang w:val="fr-FR"/>
        </w:rPr>
        <w:t>erga omnes</w:t>
      </w:r>
      <w:r w:rsidRPr="00C46716">
        <w:rPr>
          <w:lang w:val="fr-FR"/>
        </w:rPr>
        <w:t>, notamment à l'égard du Propriétaire et de ses ayants cause.</w:t>
      </w:r>
    </w:p>
    <w:p w14:paraId="2C1E8EF2" w14:textId="77777777" w:rsidR="00FB6EF5" w:rsidRPr="00C46716" w:rsidRDefault="00000000">
      <w:pPr>
        <w:pStyle w:val="Corpsdetexte"/>
        <w:rPr>
          <w:lang w:val="fr-FR"/>
        </w:rPr>
      </w:pPr>
      <w:r w:rsidRPr="00C46716">
        <w:rPr>
          <w:lang w:val="fr-FR"/>
        </w:rPr>
        <w:t>En tout état de cause, et alors même que le Capital d'Ancrage ne serait pas démembré mais détenu en pleine propriété comme simple point d'ancrage du dispositif (Art. 2), le droit d'usage s'analyse en une prérogative contractuelle d'usage collectif, librement stipulée (art. 1102 du Code civil) et dotée de force obligatoire entre les Parties (art. 1103), opposable à leurs ayants cause en ayant accepté les termes. Cette qualification constitue le socle du droit d'usage : elle procède du contrat entre les Parties, et non d'un découpage de la propriété du capital, de sorte qu'elle demeure entière quelle que soit la configuration retenue pour le capital.</w:t>
      </w:r>
    </w:p>
    <w:p w14:paraId="2B5E9CE7" w14:textId="77777777" w:rsidR="00FB6EF5" w:rsidRPr="00C46716" w:rsidRDefault="00000000">
      <w:pPr>
        <w:pStyle w:val="Corpsdetexte"/>
        <w:rPr>
          <w:lang w:val="fr-FR"/>
        </w:rPr>
      </w:pPr>
      <w:r w:rsidRPr="00C46716">
        <w:rPr>
          <w:lang w:val="fr-FR"/>
        </w:rPr>
        <w:t>En toute hypothèse, le droit d'usage est un privilège d'usage non exclusif et non rival, organisant un espace d'usage commun (</w:t>
      </w:r>
      <w:r w:rsidRPr="00C46716">
        <w:rPr>
          <w:i/>
          <w:iCs/>
          <w:lang w:val="fr-FR"/>
        </w:rPr>
        <w:t>res communis</w:t>
      </w:r>
      <w:r w:rsidRPr="00C46716">
        <w:rPr>
          <w:lang w:val="fr-FR"/>
        </w:rPr>
        <w:t xml:space="preserve"> informationnelle). Sa qualification procède de sa substance — une faculté de mesure et de compensation — et non de la forme technique du registre qui la met en œuvre.</w:t>
      </w:r>
    </w:p>
    <w:p w14:paraId="67B60C3A" w14:textId="77777777" w:rsidR="00FB6EF5" w:rsidRPr="00C46716" w:rsidRDefault="00000000">
      <w:pPr>
        <w:pStyle w:val="Corpsdetexte"/>
        <w:rPr>
          <w:lang w:val="fr-FR"/>
        </w:rPr>
      </w:pPr>
      <w:r w:rsidRPr="00C46716">
        <w:rPr>
          <w:lang w:val="fr-FR"/>
        </w:rPr>
        <w:t>Ce privilège se distingue des opérations qu'il autorise. Le droit d'usage lui-même est une simple faculté, qui n'emporte aucune dette au repos ; son exercice, en revanche, engendre entre les Membres de véritables créances réciproques, que le dispositif éteint par compensation conventionnelle (art. 1348-2 du Code civil) sans transfert de fonds pour la part compensée, conformément au régime des échanges du noyau (Titre VI).</w:t>
      </w:r>
    </w:p>
    <w:p w14:paraId="4E0003C2" w14:textId="77777777" w:rsidR="00FB6EF5" w:rsidRPr="00C46716" w:rsidRDefault="00000000">
      <w:pPr>
        <w:pStyle w:val="Titre2"/>
        <w:rPr>
          <w:lang w:val="fr-FR"/>
        </w:rPr>
      </w:pPr>
      <w:bookmarkStart w:id="13" w:name="article-6-admission"/>
      <w:bookmarkEnd w:id="12"/>
      <w:r w:rsidRPr="00C46716">
        <w:rPr>
          <w:lang w:val="fr-FR"/>
        </w:rPr>
        <w:t>Article 6 — Admission</w:t>
      </w:r>
    </w:p>
    <w:p w14:paraId="719CF886" w14:textId="77777777" w:rsidR="00FB6EF5" w:rsidRPr="00C46716" w:rsidRDefault="00000000">
      <w:pPr>
        <w:pStyle w:val="FirstParagraph"/>
        <w:rPr>
          <w:lang w:val="fr-FR"/>
        </w:rPr>
      </w:pPr>
      <w:r w:rsidRPr="00C46716">
        <w:rPr>
          <w:lang w:val="fr-FR"/>
        </w:rPr>
        <w:t>L’admission au dispositif repose sur des critères objectifs, publics, préalablement définis et non discriminatoires, conformes à l’ordre public. Nul remplissant ces critères et acceptant le présent contrat ne peut être arbitrairement exclu ; tout refus d’admission est motivé et susceptible de réexamen. La qualité de Membre ne peut être retirée que pour un manquement caractérisé au présent contrat, selon une procédure contradictoire. Chaque Membre déclare, de bonne foi (art. 1104 du Code civil) et à jour continu, son offre et sa demande, qui alimentent le graphe d’échange cyclique. Il conserve à tout instant la faculté de se retirer dans les conditions de l’Article 15, sans autre charge que le solde de ses positions résiduelles.</w:t>
      </w:r>
    </w:p>
    <w:p w14:paraId="2DF71EB9" w14:textId="77777777" w:rsidR="00FB6EF5" w:rsidRPr="00C46716" w:rsidRDefault="00000000">
      <w:pPr>
        <w:pStyle w:val="Titre1"/>
        <w:rPr>
          <w:lang w:val="fr-FR"/>
        </w:rPr>
      </w:pPr>
      <w:bookmarkStart w:id="14" w:name="X12cf1322c81de97ee36157d74026d091a9537a3"/>
      <w:bookmarkEnd w:id="10"/>
      <w:bookmarkEnd w:id="13"/>
      <w:r w:rsidRPr="00C46716">
        <w:rPr>
          <w:lang w:val="fr-FR"/>
        </w:rPr>
        <w:t>Titre III — Le graphe programmatique d’échange</w:t>
      </w:r>
    </w:p>
    <w:p w14:paraId="7C62645D" w14:textId="77777777" w:rsidR="00FB6EF5" w:rsidRPr="00C46716" w:rsidRDefault="00000000">
      <w:pPr>
        <w:pStyle w:val="Titre2"/>
        <w:rPr>
          <w:lang w:val="fr-FR"/>
        </w:rPr>
      </w:pPr>
      <w:bookmarkStart w:id="15" w:name="X303f692d313bf1521c41dc48c2fe76ec4d6dd21"/>
      <w:r w:rsidRPr="00C46716">
        <w:rPr>
          <w:lang w:val="fr-FR"/>
        </w:rPr>
        <w:t>Article 7 — Structure du graphe : nœuds, arcs, pondération</w:t>
      </w:r>
    </w:p>
    <w:p w14:paraId="65B136B9" w14:textId="77777777" w:rsidR="00FB6EF5" w:rsidRPr="00C46716" w:rsidRDefault="00000000">
      <w:pPr>
        <w:pStyle w:val="FirstParagraph"/>
        <w:rPr>
          <w:lang w:val="fr-FR"/>
        </w:rPr>
      </w:pPr>
      <w:r w:rsidRPr="00C46716">
        <w:rPr>
          <w:lang w:val="fr-FR"/>
        </w:rPr>
        <w:t>Le dispositif tient un registre qui a la forme mathématique d’un graphe orienté et pondéré.</w:t>
      </w:r>
    </w:p>
    <w:p w14:paraId="5A8D499F" w14:textId="77777777" w:rsidR="00FB6EF5" w:rsidRPr="00C46716" w:rsidRDefault="00000000">
      <w:pPr>
        <w:pStyle w:val="Corpsdetexte"/>
        <w:rPr>
          <w:lang w:val="fr-FR"/>
        </w:rPr>
      </w:pPr>
      <w:r w:rsidRPr="00C46716">
        <w:rPr>
          <w:lang w:val="fr-FR"/>
        </w:rPr>
        <w:t>Chaque Membre est un nœud. Chaque engagement d’échange est un arc orienté reliant deux nœuds, dirigé du fournisseur vers le bénéficiaire, et pondéré par la valeur de l’engagement, exprimée en unités internes. Le solde d’un Membre (s</w:t>
      </w:r>
      <w:r>
        <w:t>ᵢ</w:t>
      </w:r>
      <w:r w:rsidRPr="00C46716">
        <w:rPr>
          <w:lang w:val="fr-FR"/>
        </w:rPr>
        <w:t>) est la somme algébrique des poids des arcs entrants et sortants qui le concernent : positif s’il a fourni plus qu’il n’a reçu, négatif dans le cas inverse.</w:t>
      </w:r>
    </w:p>
    <w:p w14:paraId="794E409C" w14:textId="77777777" w:rsidR="00FB6EF5" w:rsidRPr="00C46716" w:rsidRDefault="00000000">
      <w:pPr>
        <w:pStyle w:val="Corpsdetexte"/>
        <w:rPr>
          <w:lang w:val="fr-FR"/>
        </w:rPr>
      </w:pPr>
      <w:r w:rsidRPr="00C46716">
        <w:rPr>
          <w:lang w:val="fr-FR"/>
        </w:rPr>
        <w:t>Toute valeur portée au crédit d’un Membre est portée au débit d’un autre, de sorte que la somme algébrique de tous les soldes est constamment nulle (∑ s</w:t>
      </w:r>
      <w:r>
        <w:t>ᵢ</w:t>
      </w:r>
      <w:r w:rsidRPr="00C46716">
        <w:rPr>
          <w:lang w:val="fr-FR"/>
        </w:rPr>
        <w:t xml:space="preserve"> = 0). Cette identité est la traduction, au niveau du graphe entier, de la loi de conservation des flux : en chaque nœud comme sur l’ensemble, ce qui entre égale ce qui sort. Elle correspond à la première loi de Kirchhoff appliquée à un réseau de flux, et c’est elle qui fonde la partie double du registre.</w:t>
      </w:r>
    </w:p>
    <w:p w14:paraId="4A11976F" w14:textId="77777777" w:rsidR="00FB6EF5" w:rsidRPr="00C46716" w:rsidRDefault="00000000">
      <w:pPr>
        <w:pStyle w:val="Titre2"/>
        <w:rPr>
          <w:lang w:val="fr-FR"/>
        </w:rPr>
      </w:pPr>
      <w:bookmarkStart w:id="16" w:name="article-8-cycles-et-compensation"/>
      <w:bookmarkEnd w:id="15"/>
      <w:r w:rsidRPr="00C46716">
        <w:rPr>
          <w:lang w:val="fr-FR"/>
        </w:rPr>
        <w:t>Article 8 — Cycles et compensation</w:t>
      </w:r>
    </w:p>
    <w:p w14:paraId="1FEB536B" w14:textId="77777777" w:rsidR="00FB6EF5" w:rsidRPr="00C46716" w:rsidRDefault="00000000">
      <w:pPr>
        <w:pStyle w:val="FirstParagraph"/>
        <w:rPr>
          <w:lang w:val="fr-FR"/>
        </w:rPr>
      </w:pPr>
      <w:r w:rsidRPr="00C46716">
        <w:rPr>
          <w:lang w:val="fr-FR"/>
        </w:rPr>
        <w:t>Un cycle est une suite d’arcs qui, partant d’un nœud, y revient en suivant le sens des engagements. La fermeture d’un cycle annule les obligations réciproques qui le composent : autour de la boucle, chaque dette trouve sa créance, les soldes des Membres concernés reviennent vers zéro, et les unités internes correspondantes s’éteignent. La compensation n’est donc pas la circulation d’un jeton d’un nœud à l’autre, mais l’annulation simultanée d’un ensemble d’obligations refermées en boucle — ce qui distingue le dispositif, par nature, des systèmes à jeton.</w:t>
      </w:r>
    </w:p>
    <w:p w14:paraId="21EBFE66" w14:textId="77777777" w:rsidR="00FB6EF5" w:rsidRPr="00C46716" w:rsidRDefault="00000000">
      <w:pPr>
        <w:pStyle w:val="Corpsdetexte"/>
        <w:rPr>
          <w:lang w:val="fr-FR"/>
        </w:rPr>
      </w:pPr>
      <w:r w:rsidRPr="00C46716">
        <w:rPr>
          <w:lang w:val="fr-FR"/>
        </w:rPr>
        <w:t xml:space="preserve">La richesse compensatoire d’un tel graphe se mesure par son nombre cyclomatique, </w:t>
      </w:r>
      <w:r>
        <w:t>μ</w:t>
      </w:r>
      <w:r w:rsidRPr="00C46716">
        <w:rPr>
          <w:lang w:val="fr-FR"/>
        </w:rPr>
        <w:t xml:space="preserve"> = m − n + c, où m est le nombre d’arcs, n le nombre de nœuds et c le nombre de composantes connexes. Ce nombre compte les cycles indépendants du réseau, dont toute compensation possible est une combinaison. Il croît avec l’excès d’arcs sur les nœuds : chaque relation d’échange nouvelle, entre des Membres non encore reliés, ajoute une possibilité de compensation. La capacité du dispositif à financer par compensation est ainsi fonction de la densité et de la diversité des relations, non du montant du capital.</w:t>
      </w:r>
    </w:p>
    <w:p w14:paraId="758B5050" w14:textId="77777777" w:rsidR="00FB6EF5" w:rsidRPr="00C46716" w:rsidRDefault="00000000">
      <w:pPr>
        <w:pStyle w:val="Corpsdetexte"/>
        <w:rPr>
          <w:lang w:val="fr-FR"/>
        </w:rPr>
      </w:pPr>
      <w:r w:rsidRPr="00C46716">
        <w:rPr>
          <w:lang w:val="fr-FR"/>
        </w:rPr>
        <w:t>Ces compensations n’emportent pas extinction de créances monétaires opposables au sens de l’article L. 211-36 du Code monétaire et financier ; elles constituent une réallocation de droits d’usage au sein d’un commun informationnel.</w:t>
      </w:r>
    </w:p>
    <w:p w14:paraId="7C951547" w14:textId="77777777" w:rsidR="00FB6EF5" w:rsidRPr="00C46716" w:rsidRDefault="00000000">
      <w:pPr>
        <w:pStyle w:val="Titre2"/>
        <w:rPr>
          <w:lang w:val="fr-FR"/>
        </w:rPr>
      </w:pPr>
      <w:bookmarkStart w:id="17" w:name="article-9-inscription-et-réalisation"/>
      <w:bookmarkEnd w:id="16"/>
      <w:r w:rsidRPr="00C46716">
        <w:rPr>
          <w:lang w:val="fr-FR"/>
        </w:rPr>
        <w:t>Article 9 — Inscription et réalisation</w:t>
      </w:r>
    </w:p>
    <w:p w14:paraId="7E5E4DAF" w14:textId="77777777" w:rsidR="00FB6EF5" w:rsidRPr="00C46716" w:rsidRDefault="00000000">
      <w:pPr>
        <w:pStyle w:val="FirstParagraph"/>
        <w:rPr>
          <w:lang w:val="fr-FR"/>
        </w:rPr>
      </w:pPr>
      <w:r w:rsidRPr="00C46716">
        <w:rPr>
          <w:lang w:val="fr-FR"/>
        </w:rPr>
        <w:t>Le graphe est programmatique : les arcs y sont d’abord inscrits, à titre d’engagements réciproques, avant d’être réalisés, c’est-à-dire exécutés. L’inscription vaut engagement contractuel opposable (Art. 39) ; la réalisation en est l’exécution effective. Un Membre ne peut inscrire un arc dont il bénéficie qu’en inscrivant simultanément le ou les arcs de contrepartie qui maintiennent son solde dans sa fourchette autorisée (Art. 11), même si ces contreparties se réalisent ultérieurement. L’équilibre requis porte donc sur le graphe des engagements inscrits, en amont de leur exécution.</w:t>
      </w:r>
    </w:p>
    <w:p w14:paraId="02D72D63" w14:textId="77777777" w:rsidR="00FB6EF5" w:rsidRPr="00C46716" w:rsidRDefault="00000000">
      <w:pPr>
        <w:pStyle w:val="Titre1"/>
        <w:rPr>
          <w:lang w:val="fr-FR"/>
        </w:rPr>
      </w:pPr>
      <w:bookmarkStart w:id="18" w:name="Xc4aa98bd9bbde9b5547c81a1eaf7ef88ed59227"/>
      <w:bookmarkEnd w:id="14"/>
      <w:bookmarkEnd w:id="17"/>
      <w:r w:rsidRPr="00C46716">
        <w:rPr>
          <w:lang w:val="fr-FR"/>
        </w:rPr>
        <w:t>Titre IV — Sécurité par soldes symétriques : avantages et principes</w:t>
      </w:r>
    </w:p>
    <w:p w14:paraId="13F4D75B" w14:textId="77777777" w:rsidR="00FB6EF5" w:rsidRPr="00C46716" w:rsidRDefault="00000000">
      <w:pPr>
        <w:pStyle w:val="FirstParagraph"/>
        <w:rPr>
          <w:lang w:val="fr-FR"/>
        </w:rPr>
      </w:pPr>
      <w:r w:rsidRPr="00C46716">
        <w:rPr>
          <w:lang w:val="fr-FR"/>
        </w:rPr>
        <w:t>La sécurité du dispositif repose sur un principe de gestion inédit : les positions des Membres sont des soldes symétriques tendant vers zéro, et non des avoirs accumulables. Toute position créditrice est l’exact miroir d’une position débitrice, et rien ne s’accumule sous la forme d’un jeton ou d’un avoir transférable. Le dispositif se distingue en cela, par nature et non par degré, des systèmes monétaires bancaires comme des systèmes d’échange local (SEL, LETS, crédit mutuel de type WIR), tous fondés sur la circulation d’un jeton et sur des positions créancières asymétriques susceptibles de s’accumuler et de se concentrer.</w:t>
      </w:r>
    </w:p>
    <w:p w14:paraId="32F66DDE" w14:textId="77777777" w:rsidR="00FB6EF5" w:rsidRPr="00C46716" w:rsidRDefault="00000000">
      <w:pPr>
        <w:pStyle w:val="Corpsdetexte"/>
        <w:rPr>
          <w:lang w:val="fr-FR"/>
        </w:rPr>
      </w:pPr>
      <w:r w:rsidRPr="00C46716">
        <w:rPr>
          <w:lang w:val="fr-FR"/>
        </w:rPr>
        <w:t>Dans un système à jeton, l’accumulation d’une position créancière confère un pouvoir croissant et reproduit la concentration monétaire. Dans le présent dispositif, la position d’un Membre n’est pas un pouvoir accumulé mais une latitude d’engagement, maximale au solde nul et minimale à saturation des soldes : nul ne peut, par accumulation, prendre l’ascendant sur les autres. La symétrie autour de zéro montre ainsi que la sécurité du dispositif est la conséquence d'invariants structurels et non d'une qualité de gestion.</w:t>
      </w:r>
    </w:p>
    <w:p w14:paraId="32E1A3C8" w14:textId="77777777" w:rsidR="00FB6EF5" w:rsidRPr="00C46716" w:rsidRDefault="00000000">
      <w:pPr>
        <w:pStyle w:val="Titre2"/>
        <w:rPr>
          <w:lang w:val="fr-FR"/>
        </w:rPr>
      </w:pPr>
      <w:bookmarkStart w:id="19" w:name="article-10-les-avantage-du-dispositif"/>
      <w:r w:rsidRPr="00C46716">
        <w:rPr>
          <w:lang w:val="fr-FR"/>
        </w:rPr>
        <w:t>Article 10 — Les avantage du dispositif</w:t>
      </w:r>
    </w:p>
    <w:p w14:paraId="15550A19" w14:textId="77777777" w:rsidR="00FB6EF5" w:rsidRPr="00C46716" w:rsidRDefault="00000000">
      <w:pPr>
        <w:pStyle w:val="FirstParagraph"/>
        <w:rPr>
          <w:lang w:val="fr-FR"/>
        </w:rPr>
      </w:pPr>
      <w:r w:rsidRPr="00C46716">
        <w:rPr>
          <w:b/>
          <w:bCs/>
          <w:lang w:val="fr-FR"/>
        </w:rPr>
        <w:t>Puissance de financement.</w:t>
      </w:r>
      <w:r w:rsidRPr="00C46716">
        <w:rPr>
          <w:lang w:val="fr-FR"/>
        </w:rPr>
        <w:t xml:space="preserve"> Ce principe procure aux Membres une capacité de financement sans détention préalable de monnaie : un Membre peut recevoir la valeur produite par d’autres avant d’avoir lui-même fourni, la contrepartie étant assurée par ses engagements inscrits (Art. 9) ou par son préfinancement (Art. 13). Chaque Membre n’apporte en fonds propres que la part de ses opérations qui échappe au cercle ; la part qui boucle entre Membres est financée par leur production réciproque, à valeur constante et sans création de dette. Un apport propre modeste mobilise ainsi une valeur réelle très supérieure — non par multiplication de la monnaie, mais par la coordination de la production des Membres.</w:t>
      </w:r>
    </w:p>
    <w:p w14:paraId="7A711DC5" w14:textId="77777777" w:rsidR="00FB6EF5" w:rsidRPr="00C46716" w:rsidRDefault="00000000">
      <w:pPr>
        <w:pStyle w:val="Corpsdetexte"/>
        <w:rPr>
          <w:lang w:val="fr-FR"/>
        </w:rPr>
      </w:pPr>
      <w:r w:rsidRPr="00C46716">
        <w:rPr>
          <w:b/>
          <w:bCs/>
          <w:lang w:val="fr-FR"/>
        </w:rPr>
        <w:t>Réconciliation de la sécurité et de la performance.</w:t>
      </w:r>
      <w:r w:rsidRPr="00C46716">
        <w:rPr>
          <w:lang w:val="fr-FR"/>
        </w:rPr>
        <w:t xml:space="preserve"> La contrainte de sécurité portant sur l’écart de chaque solde, et non sur le volume des échanges, elle borne l’exposition sans borner le flux : le dispositif peut porter un volume d’échange considérable, et donc une forte vélocité de la valeur, tout en maintenant chaque solde dans des limites sûres. La sécurité encadre les positions ; la performance se déploie dans les flux ; elles ne s’opposent pas.</w:t>
      </w:r>
    </w:p>
    <w:p w14:paraId="609013B6" w14:textId="77777777" w:rsidR="00FB6EF5" w:rsidRPr="00C46716" w:rsidRDefault="00000000">
      <w:pPr>
        <w:pStyle w:val="Corpsdetexte"/>
        <w:rPr>
          <w:lang w:val="fr-FR"/>
        </w:rPr>
      </w:pPr>
      <w:r w:rsidRPr="00C46716">
        <w:rPr>
          <w:b/>
          <w:bCs/>
          <w:lang w:val="fr-FR"/>
        </w:rPr>
        <w:t>Réconciliation de l’utilité et de l’équité.</w:t>
      </w:r>
      <w:r w:rsidRPr="00C46716">
        <w:rPr>
          <w:lang w:val="fr-FR"/>
        </w:rPr>
        <w:t xml:space="preserve"> Un même mécanisme de bornage symétrique produit simultanément l’utilité et l’équité : en décourageant la thésaurisation par le plafond créditeur, il entretient la circulation de la valeur, source d’utilité ; en interdisant la concentration par la symétrie et le plafond débiteur, il préserve l’équité. Ce qui, dans les systèmes fondés sur l’accumulation, constitue un arbitrage entre efficacité et justice se trouve ici réconcilié, à l’intérieur du cercle, par une seule et même règle.</w:t>
      </w:r>
    </w:p>
    <w:p w14:paraId="125124C8" w14:textId="77777777" w:rsidR="00FB6EF5" w:rsidRPr="00C46716" w:rsidRDefault="00000000">
      <w:pPr>
        <w:pStyle w:val="Corpsdetexte"/>
        <w:rPr>
          <w:lang w:val="fr-FR"/>
        </w:rPr>
      </w:pPr>
      <w:r w:rsidRPr="00C46716">
        <w:rPr>
          <w:b/>
          <w:bCs/>
          <w:lang w:val="fr-FR"/>
        </w:rPr>
        <w:t>Réconciliation de l’économie par la valeur et de l’économie durable.</w:t>
      </w:r>
      <w:r w:rsidRPr="00C46716">
        <w:rPr>
          <w:lang w:val="fr-FR"/>
        </w:rPr>
        <w:t xml:space="preserve"> La vélocité élevée de la valeur — l’économie dynamique — est obtenue sans croissance de la masse échangée ni endettement productif d’intérêts : la valeur circule intensément tandis que le capital demeure constant et préservé — l’économie durable. Le dispositif dissocie ainsi le dynamisme des échanges de l’impératif de croissance monétaire propre aux systèmes à jeton et à dette, conciliant l’intensité de l’activité avec la stabilité des grandeurs.</w:t>
      </w:r>
    </w:p>
    <w:p w14:paraId="4DFCC334" w14:textId="77777777" w:rsidR="00FB6EF5" w:rsidRPr="00C46716" w:rsidRDefault="00000000">
      <w:pPr>
        <w:pStyle w:val="Corpsdetexte"/>
        <w:rPr>
          <w:lang w:val="fr-FR"/>
        </w:rPr>
      </w:pPr>
      <w:r w:rsidRPr="00C46716">
        <w:rPr>
          <w:lang w:val="fr-FR"/>
        </w:rPr>
        <w:t>Les articles suivants précisent les principes opératoires par lesquelles ces propriétés sont garanties.</w:t>
      </w:r>
    </w:p>
    <w:p w14:paraId="74D984B8" w14:textId="77777777" w:rsidR="00FB6EF5" w:rsidRPr="00C46716" w:rsidRDefault="00000000">
      <w:pPr>
        <w:pStyle w:val="Titre2"/>
        <w:rPr>
          <w:lang w:val="fr-FR"/>
        </w:rPr>
      </w:pPr>
      <w:bookmarkStart w:id="20" w:name="X3fde02f37a98ad1fbe12cfa7fc51c6518b5fba5"/>
      <w:bookmarkEnd w:id="19"/>
      <w:r w:rsidRPr="00C46716">
        <w:rPr>
          <w:lang w:val="fr-FR"/>
        </w:rPr>
        <w:t>Article 11 — La limite porte sur les soldes individuels</w:t>
      </w:r>
    </w:p>
    <w:p w14:paraId="57C57716" w14:textId="77777777" w:rsidR="00FB6EF5" w:rsidRPr="00C46716" w:rsidRDefault="00000000">
      <w:pPr>
        <w:pStyle w:val="FirstParagraph"/>
        <w:rPr>
          <w:lang w:val="fr-FR"/>
        </w:rPr>
      </w:pPr>
      <w:r w:rsidRPr="00C46716">
        <w:rPr>
          <w:lang w:val="fr-FR"/>
        </w:rPr>
        <w:t>La contrainte de sécurité porte sur les soldes individuels, non sur le volume des opérations : le volume échangé est libre, seul l’écart de chaque solde autour de zéro est borné. Chaque Membre choisit sa fourchette [−</w:t>
      </w:r>
      <w:r>
        <w:t>δᵢ</w:t>
      </w:r>
      <w:r w:rsidRPr="00C46716">
        <w:rPr>
          <w:lang w:val="fr-FR"/>
        </w:rPr>
        <w:t>, +</w:t>
      </w:r>
      <w:r>
        <w:t>δᵢ</w:t>
      </w:r>
      <w:r w:rsidRPr="00C46716">
        <w:rPr>
          <w:lang w:val="fr-FR"/>
        </w:rPr>
        <w:t xml:space="preserve">]. Le choix </w:t>
      </w:r>
      <w:r>
        <w:t>δᵢ</w:t>
      </w:r>
      <w:r w:rsidRPr="00C46716">
        <w:rPr>
          <w:lang w:val="fr-FR"/>
        </w:rPr>
        <w:t xml:space="preserve"> = 0 signifie que le Membre n’inscrit que des engagements équilibrés. Le montant des opérations finançables n’a donc aucune limite en termes de volumes, car sa limite de porte finalement que sur la contrainte d’équilibre matérialisée par le montant des soldes d’engagements. Le montant des transactions inscrites dans le graphe programmatique est illimité en volume dès lors qu'il est parfaitement équilibré car toute la valeur se conserve du simple fait de la symétrie créance / dette.</w:t>
      </w:r>
    </w:p>
    <w:p w14:paraId="4D7664BA" w14:textId="77777777" w:rsidR="00FB6EF5" w:rsidRPr="00C46716" w:rsidRDefault="00000000">
      <w:pPr>
        <w:pStyle w:val="Titre2"/>
        <w:rPr>
          <w:lang w:val="fr-FR"/>
        </w:rPr>
      </w:pPr>
      <w:bookmarkStart w:id="21" w:name="X22508e3d251d1582c535ce8892d3182fdeb3a98"/>
      <w:bookmarkEnd w:id="20"/>
      <w:r w:rsidRPr="00C46716">
        <w:rPr>
          <w:lang w:val="fr-FR"/>
        </w:rPr>
        <w:t>Article 12 — Le capital détermine le plafond d’exposition</w:t>
      </w:r>
    </w:p>
    <w:p w14:paraId="52031653" w14:textId="77777777" w:rsidR="00FB6EF5" w:rsidRPr="00C46716" w:rsidRDefault="00000000">
      <w:pPr>
        <w:pStyle w:val="FirstParagraph"/>
        <w:rPr>
          <w:lang w:val="fr-FR"/>
        </w:rPr>
      </w:pPr>
      <w:r w:rsidRPr="00C46716">
        <w:rPr>
          <w:lang w:val="fr-FR"/>
        </w:rPr>
        <w:t xml:space="preserve">La somme des fourchettes débitrices autorisées de l’ensemble des Membres ne peut excéder le Capital d’Ancrage : ∑ </w:t>
      </w:r>
      <w:r>
        <w:t>δᵢ</w:t>
      </w:r>
      <w:r w:rsidRPr="00C46716">
        <w:rPr>
          <w:lang w:val="fr-FR"/>
        </w:rPr>
        <w:t xml:space="preserve"> ≤ K. Le Capital d’Ancrage est ainsi le plafond de l’exposition autorisée du dispositif. Ce plafond porte sur la somme des positions débitrices possibles, non sur la somme algébrique des soldes (nulle par construction, Art. 7). Voilà pourquoi le Capital d’Ancrage doit être fixé en fonction de la capacité productive et transactionnelle des membres du réseau, car c’est sur cette capacité réelle de production et de transaction, reflet d’une réalité socio-économique précise, que se situe la limite réelle du système.</w:t>
      </w:r>
    </w:p>
    <w:p w14:paraId="5B7C576D" w14:textId="77777777" w:rsidR="00FB6EF5" w:rsidRPr="00C46716" w:rsidRDefault="00000000">
      <w:pPr>
        <w:pStyle w:val="Titre2"/>
        <w:rPr>
          <w:lang w:val="fr-FR"/>
        </w:rPr>
      </w:pPr>
      <w:bookmarkStart w:id="22" w:name="Xf95ac433a707a438a9a92c27747ee3d53afdf8e"/>
      <w:bookmarkEnd w:id="21"/>
      <w:r w:rsidRPr="00C46716">
        <w:rPr>
          <w:lang w:val="fr-FR"/>
        </w:rPr>
        <w:t>Article 13 — Préfinancement et collatéralisation</w:t>
      </w:r>
    </w:p>
    <w:p w14:paraId="55313D3D" w14:textId="77777777" w:rsidR="00A73B2E" w:rsidRPr="00A73B2E" w:rsidRDefault="00A73B2E" w:rsidP="00A73B2E">
      <w:pPr>
        <w:pStyle w:val="FirstParagraph"/>
        <w:rPr>
          <w:lang w:val="fr-FR"/>
        </w:rPr>
      </w:pPr>
      <w:r w:rsidRPr="00A73B2E">
        <w:rPr>
          <w:lang w:val="fr-FR"/>
        </w:rPr>
        <w:t xml:space="preserve">Tout Membre qui s'autorise une position débitrice (δᵢ &gt; 0) la </w:t>
      </w:r>
      <w:r w:rsidRPr="00A73B2E">
        <w:rPr>
          <w:b/>
          <w:bCs/>
          <w:lang w:val="fr-FR"/>
        </w:rPr>
        <w:t>préfinance</w:t>
      </w:r>
      <w:r w:rsidRPr="00A73B2E">
        <w:rPr>
          <w:lang w:val="fr-FR"/>
        </w:rPr>
        <w:t xml:space="preserve"> : il dépose, en argent réel, une garantie couvrant le montant de cette position. Cette garantie est conservée sous séquestre ou sur compte bloqué (Art. 3, Annexe 2) et lui est restituée à sa sortie soldée (Art. 15). Le préfinancement transforme le crédit en collatéral : là où un solde débiteur constitue, dans les systèmes de crédit mutuel classiques, un crédit non garanti reposant sur la seule confiance — et encaisse donc le risque de contrepartie —, il est ici entièrement couvert. À chaque unité de découvert autorisé correspond une unité déposée en séquestre.</w:t>
      </w:r>
    </w:p>
    <w:p w14:paraId="5D0736E2" w14:textId="77777777" w:rsidR="00A73B2E" w:rsidRPr="00A73B2E" w:rsidRDefault="00A73B2E" w:rsidP="00A73B2E">
      <w:pPr>
        <w:pStyle w:val="FirstParagraph"/>
        <w:rPr>
          <w:lang w:val="fr-FR"/>
        </w:rPr>
      </w:pPr>
      <w:r w:rsidRPr="00A73B2E">
        <w:rPr>
          <w:lang w:val="fr-FR"/>
        </w:rPr>
        <w:t xml:space="preserve">Chaque position débitrice étant ainsi collatéralisée, le dispositif est </w:t>
      </w:r>
      <w:r w:rsidRPr="00A73B2E">
        <w:rPr>
          <w:b/>
          <w:bCs/>
          <w:lang w:val="fr-FR"/>
        </w:rPr>
        <w:t>intégralement provisionné</w:t>
      </w:r>
      <w:r w:rsidRPr="00A73B2E">
        <w:rPr>
          <w:lang w:val="fr-FR"/>
        </w:rPr>
        <w:t>. La position ouverte d'un Membre défaillant est couverte par sa propre garantie, sans qu'aucun autre Membre n'en supporte la charge (Art. 16). Le Capital d'Ancrage n'est pas mobilisé pour couvrir les défaillances : il demeure immobilisé (Art. 3), simple plafond de l'exposition autorisée (Art. 12), ses fruits restant attachés à la nue-propriété (Art. 2). Il n'existe donc aucun risque de contrepartie — non qu'il serait assumé par la collectivité, mais parce qu'il n'existe plus de crédit à découvert : il n'y a que des positions déjà couvertes. C'est le degré maximal de sécurité qu'un système d'échange puisse atteindre.</w:t>
      </w:r>
    </w:p>
    <w:p w14:paraId="54BACEC7" w14:textId="57EA558C" w:rsidR="00FB6EF5" w:rsidRPr="00C46716" w:rsidRDefault="00A73B2E" w:rsidP="00A73B2E">
      <w:pPr>
        <w:pStyle w:val="FirstParagraph"/>
        <w:rPr>
          <w:lang w:val="fr-FR"/>
        </w:rPr>
      </w:pPr>
      <w:r w:rsidRPr="00A73B2E">
        <w:rPr>
          <w:lang w:val="fr-FR"/>
        </w:rPr>
        <w:t xml:space="preserve">Le dispositif réalise ainsi un crédit mutuel </w:t>
      </w:r>
      <w:r w:rsidRPr="00A73B2E">
        <w:rPr>
          <w:b/>
          <w:bCs/>
          <w:lang w:val="fr-FR"/>
        </w:rPr>
        <w:t>pleinement collatéralisé</w:t>
      </w:r>
      <w:r w:rsidRPr="00A73B2E">
        <w:rPr>
          <w:lang w:val="fr-FR"/>
        </w:rPr>
        <w:t xml:space="preserve"> — chaque unité de découvert autorisé étant gagée, euro pour euro, par une unité déposée —, ce qu'aucun système à jeton ne garantit.</w:t>
      </w:r>
    </w:p>
    <w:p w14:paraId="1D9B9D55" w14:textId="77777777" w:rsidR="00FB6EF5" w:rsidRPr="00C46716" w:rsidRDefault="00000000">
      <w:pPr>
        <w:pStyle w:val="Titre1"/>
        <w:rPr>
          <w:lang w:val="fr-FR"/>
        </w:rPr>
      </w:pPr>
      <w:bookmarkStart w:id="23" w:name="Xe7684f09d945796bbea70615a146156c19d8ee8"/>
      <w:bookmarkEnd w:id="18"/>
      <w:bookmarkEnd w:id="22"/>
      <w:r w:rsidRPr="00C46716">
        <w:rPr>
          <w:lang w:val="fr-FR"/>
        </w:rPr>
        <w:t>Titre V — Entrée, sortie, gestion et défaillance</w:t>
      </w:r>
    </w:p>
    <w:p w14:paraId="75EF9513" w14:textId="77777777" w:rsidR="00FB6EF5" w:rsidRPr="00C46716" w:rsidRDefault="00000000">
      <w:pPr>
        <w:pStyle w:val="Titre2"/>
        <w:rPr>
          <w:lang w:val="fr-FR"/>
        </w:rPr>
      </w:pPr>
      <w:bookmarkStart w:id="24" w:name="X116462cdc8d1e624c64f0c7c098abe8a5995207"/>
      <w:r w:rsidRPr="00C46716">
        <w:rPr>
          <w:lang w:val="fr-FR"/>
        </w:rPr>
        <w:t>Article 14 — Les modalités d’entrée dans le système</w:t>
      </w:r>
    </w:p>
    <w:p w14:paraId="0336F9E2" w14:textId="77777777" w:rsidR="00FB6EF5" w:rsidRPr="00C46716" w:rsidRDefault="00000000">
      <w:pPr>
        <w:pStyle w:val="FirstParagraph"/>
        <w:rPr>
          <w:lang w:val="fr-FR"/>
        </w:rPr>
      </w:pPr>
      <w:r w:rsidRPr="00C46716">
        <w:rPr>
          <w:lang w:val="fr-FR"/>
        </w:rPr>
        <w:t>Chaque Membre choisit librement entre deux modes, également constitutifs d’une participation pleine : (a) s’autoriser des positions débitrices, qu’il préfinance (Art. 13), accédant ainsi au décalage temporel de la compensation multilatérale ; ou (b) n’inscrire que des engagements équilibrés (</w:t>
      </w:r>
      <w:r>
        <w:t>δᵢ</w:t>
      </w:r>
      <w:r w:rsidRPr="00C46716">
        <w:rPr>
          <w:lang w:val="fr-FR"/>
        </w:rPr>
        <w:t xml:space="preserve"> = 0), sans aucun préfinancement. Le second mode ne requiert aucun apport et n’exclut nullement le Membre.</w:t>
      </w:r>
    </w:p>
    <w:p w14:paraId="6F1D0FDE" w14:textId="77777777" w:rsidR="00FB6EF5" w:rsidRPr="00C46716" w:rsidRDefault="00000000">
      <w:pPr>
        <w:pStyle w:val="Corpsdetexte"/>
        <w:rPr>
          <w:lang w:val="fr-FR"/>
        </w:rPr>
      </w:pPr>
      <w:r w:rsidRPr="00C46716">
        <w:rPr>
          <w:lang w:val="fr-FR"/>
        </w:rPr>
        <w:t>Le mode équilibré donne accès à la pleine puissance du dispositif. Grâce au caractère programmatique du graphe (Art. 9), un Membre sans préfinancement participe pleinement à la compensation multilatérale : il inscrit ses engagements de contrepartie en même temps qu’il reçoit, de sorte que ses soldes demeurent équilibrés. Il n’est donc nullement relégué à l’échange bilatéral ; il accède aux cycles qui brisent la double coïncidence des besoins, exactement comme le Membre qui préfinance.</w:t>
      </w:r>
    </w:p>
    <w:p w14:paraId="48F69D67" w14:textId="77777777" w:rsidR="00FB6EF5" w:rsidRPr="00C46716" w:rsidRDefault="00000000">
      <w:pPr>
        <w:pStyle w:val="Corpsdetexte"/>
        <w:rPr>
          <w:lang w:val="fr-FR"/>
        </w:rPr>
      </w:pPr>
      <w:r w:rsidRPr="00C46716">
        <w:rPr>
          <w:lang w:val="fr-FR"/>
        </w:rPr>
        <w:t>Le préfinancement ne confère ni un accès supérieur au réseau ni une puissance de financement accrue : il confère seulement une liberté temporelle — la faculté de recevoir avant d’avoir inscrit la totalité de sa contrepartie, en portant une position débitrice ouverte. Cette souplesse de calendrier est un confort, non une condition d’accès. Elle est propre au mode de gestion transactionnelle de chacun.</w:t>
      </w:r>
    </w:p>
    <w:p w14:paraId="38015C99" w14:textId="77777777" w:rsidR="00FB6EF5" w:rsidRPr="00C46716" w:rsidRDefault="00000000">
      <w:pPr>
        <w:pStyle w:val="Corpsdetexte"/>
        <w:rPr>
          <w:lang w:val="fr-FR"/>
        </w:rPr>
      </w:pPr>
      <w:r w:rsidRPr="00C46716">
        <w:rPr>
          <w:b/>
          <w:bCs/>
          <w:lang w:val="fr-FR"/>
        </w:rPr>
        <w:t>Le dispositif est ainsi inclusif par construction.</w:t>
      </w:r>
      <w:r w:rsidRPr="00C46716">
        <w:rPr>
          <w:lang w:val="fr-FR"/>
        </w:rPr>
        <w:t xml:space="preserve"> Dans les systèmes bancaires et à jeton, l’accès au crédit suppose une richesse ou une garantie préalable, en sorte que celui qui n’a rien en est exclu. Ici, l’accès à la puissance de financement — la faculté de mobiliser la production d’autrui par la compensation — ne suppose aucune richesse préalable, mais seulement l’engagement à fournir en retour. La richesse, sous la forme du préfinancement, n’achète que de la souplesse de calendrier, jamais l’accès ni le pouvoir. Le dispositif dissocie donc l’accès au financement de la détention préalable de capital, ce qui en fait un instrument ouvert à ceux que la finance ordinaire exclut.</w:t>
      </w:r>
    </w:p>
    <w:p w14:paraId="274A2DCE" w14:textId="77777777" w:rsidR="00FB6EF5" w:rsidRPr="00C46716" w:rsidRDefault="00000000">
      <w:pPr>
        <w:pStyle w:val="Corpsdetexte"/>
        <w:rPr>
          <w:lang w:val="fr-FR"/>
        </w:rPr>
      </w:pPr>
      <w:r w:rsidRPr="00C46716">
        <w:rPr>
          <w:lang w:val="fr-FR"/>
        </w:rPr>
        <w:t>Cette inclusion prolonge la symétrie du Titre IV : de même qu’aucune position créditrice accumulée ne confère de pouvoir, aucune absence de capital n’exclut de la participation. L’égalité d’accès et l’égalité de pouvoir sont l’une et l’autre garanties par la structure même du graphe.</w:t>
      </w:r>
    </w:p>
    <w:p w14:paraId="63CBF19B" w14:textId="77777777" w:rsidR="00FB6EF5" w:rsidRPr="00C46716" w:rsidRDefault="00000000">
      <w:pPr>
        <w:pStyle w:val="Titre2"/>
        <w:rPr>
          <w:lang w:val="fr-FR"/>
        </w:rPr>
      </w:pPr>
      <w:bookmarkStart w:id="25" w:name="Xe0e53d0b815385122d7e421284415b24f5e4e4a"/>
      <w:bookmarkEnd w:id="24"/>
      <w:r w:rsidRPr="00C46716">
        <w:rPr>
          <w:lang w:val="fr-FR"/>
        </w:rPr>
        <w:t>Article 15 — La liberté de sortie du système</w:t>
      </w:r>
    </w:p>
    <w:p w14:paraId="2200A2E0" w14:textId="77777777" w:rsidR="00FB6EF5" w:rsidRPr="00C46716" w:rsidRDefault="00000000">
      <w:pPr>
        <w:pStyle w:val="FirstParagraph"/>
        <w:rPr>
          <w:lang w:val="fr-FR"/>
        </w:rPr>
      </w:pPr>
      <w:r w:rsidRPr="00C46716">
        <w:rPr>
          <w:lang w:val="fr-FR"/>
        </w:rPr>
        <w:t>Le Membre qui se retire solde, en argent personnel, toute position résiduelle qu’il laisserait — débitrice comme créditrice. Sa garantie de préfinancement lui est restituée après solde complet. La sortie ne peut créer aucune insolvabilité pour les autres Membres.</w:t>
      </w:r>
    </w:p>
    <w:p w14:paraId="0D751D81" w14:textId="77777777" w:rsidR="00FB6EF5" w:rsidRPr="00C46716" w:rsidRDefault="00000000">
      <w:pPr>
        <w:pStyle w:val="Corpsdetexte"/>
        <w:rPr>
          <w:lang w:val="fr-FR"/>
        </w:rPr>
      </w:pPr>
      <w:r w:rsidRPr="00C46716">
        <w:rPr>
          <w:lang w:val="fr-FR"/>
        </w:rPr>
        <w:t xml:space="preserve">Cette faculté de sortie à tout instant distingue radicalement le dispositif de l'endettement classique. La dette bancaire enferme l'emprunteur dans un engagement de longue durée — souvent des dizaines d'années — dont il ne peut se délier qu'en remboursant un principal augmenté d'intérêts composés, c'est-à-dire une somme qui excède, parfois considérablement, ce qu'il a reçu. Le temps y joue </w:t>
      </w:r>
      <w:r w:rsidRPr="00C46716">
        <w:rPr>
          <w:i/>
          <w:iCs/>
          <w:lang w:val="fr-FR"/>
        </w:rPr>
        <w:t>contre</w:t>
      </w:r>
      <w:r w:rsidRPr="00C46716">
        <w:rPr>
          <w:lang w:val="fr-FR"/>
        </w:rPr>
        <w:t xml:space="preserve"> le débiteur : plus il tarde, plus il doit. L'engagement se transmet, se refinance, se prolonge, et lie fréquemment le débiteur au-delà de sa capacité de prévision, voire au-delà de sa vie. La dette n'est pas seulement une somme à rendre : c'est une durée subie. Certains y voient même un moyen subtil de coercition collective.</w:t>
      </w:r>
    </w:p>
    <w:p w14:paraId="60F9A531" w14:textId="77777777" w:rsidR="00FB6EF5" w:rsidRPr="00C46716" w:rsidRDefault="00000000">
      <w:pPr>
        <w:pStyle w:val="Corpsdetexte"/>
        <w:rPr>
          <w:lang w:val="fr-FR"/>
        </w:rPr>
      </w:pPr>
      <w:r w:rsidRPr="00C46716">
        <w:rPr>
          <w:lang w:val="fr-FR"/>
        </w:rPr>
        <w:t>Le présent dispositif renverse ce rapport au temps. La position d'un Membre n'est jamais un principal qui enfle, mais un solde qui tend vers zéro et qu'il peut ramener à zéro quand il le veut. Il ne doit jamais plus que ce qu'il a effectivement reçu : aucun intérêt ne s'ajoute, aucune durée ne pèse, aucun report ne compose. Le temps ne travaille ni pour ni contre lui — il est neutre. Sortir ne suppose donc pas de « se libérer » d'une charge accumulée, mais simplement de solder une position bornée, dont le montant maximal était connu d'avance (</w:t>
      </w:r>
      <w:r>
        <w:t>δ</w:t>
      </w:r>
      <w:r w:rsidRPr="00C46716">
        <w:rPr>
          <w:lang w:val="fr-FR"/>
        </w:rPr>
        <w:t>) et, le cas échéant, déjà couvert par son préfinancement.</w:t>
      </w:r>
    </w:p>
    <w:p w14:paraId="64434601" w14:textId="77777777" w:rsidR="00FB6EF5" w:rsidRPr="00C46716" w:rsidRDefault="00000000">
      <w:pPr>
        <w:pStyle w:val="Corpsdetexte"/>
        <w:rPr>
          <w:lang w:val="fr-FR"/>
        </w:rPr>
      </w:pPr>
      <w:r w:rsidRPr="00C46716">
        <w:rPr>
          <w:lang w:val="fr-FR"/>
        </w:rPr>
        <w:t xml:space="preserve">Il en résulte une liberté que la dette ne connaît pas : </w:t>
      </w:r>
      <w:r w:rsidRPr="00C46716">
        <w:rPr>
          <w:b/>
          <w:bCs/>
          <w:lang w:val="fr-FR"/>
        </w:rPr>
        <w:t>le Membre n'est jamais captif du système.</w:t>
      </w:r>
      <w:r w:rsidRPr="00C46716">
        <w:rPr>
          <w:lang w:val="fr-FR"/>
        </w:rPr>
        <w:t xml:space="preserve"> Sa participation repose sur une réciprocité présente et volontaire, non sur une obligation héritée du passé qui commanderait son avenir. Il entre parce qu'il y trouve un intérêt mutuel ; il reste tant que cet intérêt dure ; il part sans pénalité dès qu'il le souhaite, en rendant exactement ce qu'il doit et en recevant exactement ce qui lui est dû. Là où la dette subordonne le futur au passé et retient les personnes par la contrainte, le dispositif fonde l'engagement sur le consentement continu et garantit, à chaque instant, un droit de retrait.</w:t>
      </w:r>
    </w:p>
    <w:p w14:paraId="03E18236" w14:textId="77777777" w:rsidR="00FB6EF5" w:rsidRPr="00C46716" w:rsidRDefault="00000000">
      <w:pPr>
        <w:pStyle w:val="DefinitionTerm"/>
        <w:rPr>
          <w:lang w:val="fr-FR"/>
        </w:rPr>
      </w:pPr>
      <w:r w:rsidRPr="00C46716">
        <w:rPr>
          <w:lang w:val="fr-FR"/>
        </w:rPr>
        <w:t>Cette liberté de dénouement est le corollaire de la symétrie du Titre IV</w:t>
      </w:r>
    </w:p>
    <w:p w14:paraId="7D4D1007" w14:textId="77777777" w:rsidR="00FB6EF5" w:rsidRPr="00C46716" w:rsidRDefault="00000000">
      <w:pPr>
        <w:pStyle w:val="Definition"/>
        <w:rPr>
          <w:lang w:val="fr-FR"/>
        </w:rPr>
      </w:pPr>
      <w:r w:rsidRPr="00C46716">
        <w:rPr>
          <w:lang w:val="fr-FR"/>
        </w:rPr>
        <w:t>parce que rien ne s'accumule et que toute position a pour horizon le retour à zéro, nul ne peut être retenu par une position qui grossirait avec le temps. La sortie n'est pas une faveur consentie au Membre, mais une propriété structurelle du graphe — l'exacte inverse de l'enfermement par la dette.</w:t>
      </w:r>
    </w:p>
    <w:p w14:paraId="106CE883" w14:textId="77777777" w:rsidR="00FB6EF5" w:rsidRPr="00C46716" w:rsidRDefault="00000000">
      <w:pPr>
        <w:pStyle w:val="Titre2"/>
        <w:rPr>
          <w:lang w:val="fr-FR"/>
        </w:rPr>
      </w:pPr>
      <w:bookmarkStart w:id="26" w:name="article-16-défaillance-et-droit-commun"/>
      <w:bookmarkEnd w:id="25"/>
      <w:r w:rsidRPr="00C46716">
        <w:rPr>
          <w:lang w:val="fr-FR"/>
        </w:rPr>
        <w:t>Article 16 — Défaillance et droit commun</w:t>
      </w:r>
    </w:p>
    <w:p w14:paraId="518B5A13" w14:textId="358A1CC5" w:rsidR="00634AB4" w:rsidRDefault="00634AB4">
      <w:pPr>
        <w:pStyle w:val="FirstParagraph"/>
        <w:rPr>
          <w:lang w:val="fr-FR"/>
        </w:rPr>
      </w:pPr>
      <w:r>
        <w:rPr>
          <w:lang w:val="fr-FR"/>
        </w:rPr>
        <w:t xml:space="preserve">Tous les engagements contractuels inscrits dans le graphe d’échange sont modifiables tant que le contenu du graphe n’est pas scellé. A partir du moment où le graphe est scellé, cela fixe les engagements qui deviennent dès lors des obligations contractuelles. </w:t>
      </w:r>
    </w:p>
    <w:p w14:paraId="32957CED" w14:textId="48A8209D" w:rsidR="00634AB4" w:rsidRDefault="00634AB4">
      <w:pPr>
        <w:pStyle w:val="FirstParagraph"/>
        <w:rPr>
          <w:lang w:val="fr-FR"/>
        </w:rPr>
      </w:pPr>
      <w:r>
        <w:rPr>
          <w:lang w:val="fr-FR"/>
        </w:rPr>
        <w:t>En cas de non réalisation par l’une des parties de son obligation contractuelle, l’autre partie a l’obligation de respecter son obligation contractuelle envers la partie défaillante</w:t>
      </w:r>
      <w:r w:rsidR="00330B85">
        <w:rPr>
          <w:lang w:val="fr-FR"/>
        </w:rPr>
        <w:t>,</w:t>
      </w:r>
      <w:r>
        <w:rPr>
          <w:lang w:val="fr-FR"/>
        </w:rPr>
        <w:t xml:space="preserve"> dès lors que son engagement a été inscrit et fixé dans le graphe de réalisation. En effet, dans la mesure où le graphe autorise les réciprocités ternaires unilatérales et bilatérales et ne se réalise jamais sous la forme d’une transaction marchande de type monnaie contre bien, il en découle que celui qui ne reçoit pas le bien ou </w:t>
      </w:r>
      <w:r w:rsidR="00330B85">
        <w:rPr>
          <w:lang w:val="fr-FR"/>
        </w:rPr>
        <w:t>l</w:t>
      </w:r>
      <w:r>
        <w:rPr>
          <w:lang w:val="fr-FR"/>
        </w:rPr>
        <w:t>e service qui lu</w:t>
      </w:r>
      <w:r w:rsidR="00330B85">
        <w:rPr>
          <w:lang w:val="fr-FR"/>
        </w:rPr>
        <w:t>i</w:t>
      </w:r>
      <w:r>
        <w:rPr>
          <w:lang w:val="fr-FR"/>
        </w:rPr>
        <w:t xml:space="preserve"> </w:t>
      </w:r>
      <w:r w:rsidR="00330B85">
        <w:rPr>
          <w:lang w:val="fr-FR"/>
        </w:rPr>
        <w:t>est</w:t>
      </w:r>
      <w:r>
        <w:rPr>
          <w:lang w:val="fr-FR"/>
        </w:rPr>
        <w:t xml:space="preserve"> d</w:t>
      </w:r>
      <w:r w:rsidR="00330B85">
        <w:rPr>
          <w:lang w:val="fr-FR"/>
        </w:rPr>
        <w:t>û</w:t>
      </w:r>
      <w:r>
        <w:rPr>
          <w:lang w:val="fr-FR"/>
        </w:rPr>
        <w:t xml:space="preserve"> ne </w:t>
      </w:r>
      <w:r w:rsidR="00737A36">
        <w:rPr>
          <w:lang w:val="fr-FR"/>
        </w:rPr>
        <w:t>s’appauvrit pas</w:t>
      </w:r>
      <w:r>
        <w:rPr>
          <w:lang w:val="fr-FR"/>
        </w:rPr>
        <w:t xml:space="preserve">. Il ne fait qu’entretenir une balance créancière un peu plus longtemps qu’il devra rééquilibrer de façon différée en procédant à une nouvelle acquisition avec une autre partie du réseau. </w:t>
      </w:r>
    </w:p>
    <w:p w14:paraId="7CA0A3F3" w14:textId="67A0BC44" w:rsidR="00634AB4" w:rsidRDefault="00634AB4">
      <w:pPr>
        <w:pStyle w:val="FirstParagraph"/>
        <w:rPr>
          <w:lang w:val="fr-FR"/>
        </w:rPr>
      </w:pPr>
      <w:r>
        <w:rPr>
          <w:lang w:val="fr-FR"/>
        </w:rPr>
        <w:t xml:space="preserve">Il résulte de ces considérations que </w:t>
      </w:r>
      <w:r w:rsidR="00BC10FA">
        <w:rPr>
          <w:lang w:val="fr-FR"/>
        </w:rPr>
        <w:t xml:space="preserve">bien que le graphe constitue un système de compensation multilatérale entre les parties, il </w:t>
      </w:r>
      <w:r w:rsidR="005D4A32">
        <w:rPr>
          <w:lang w:val="fr-FR"/>
        </w:rPr>
        <w:t>ne fait que générer des obligations autonomes entre ses membres, et cela constitue le pilier de sa sécurité face au risque de contamination des défaillances à l’ensemble du réseau. On peut valablement poser comme pri</w:t>
      </w:r>
      <w:r w:rsidR="007F6E8E">
        <w:rPr>
          <w:lang w:val="fr-FR"/>
        </w:rPr>
        <w:t>ncipe que</w:t>
      </w:r>
      <w:r w:rsidR="005D4A32" w:rsidRPr="005D4A32">
        <w:rPr>
          <w:lang w:val="fr-FR"/>
        </w:rPr>
        <w:t xml:space="preserve"> la défaillance d'un Membre est sans incidence sur la naissance, la validité et l'opposabilité des obligations contractuelles autonomes résultant du graphe scellé. Les conséquences patrimoniales de cette défaillance demeurent régies par les règles de droit commun applicables, notamment celles relatives aux procédures collectives.</w:t>
      </w:r>
    </w:p>
    <w:p w14:paraId="3BD2F0A3" w14:textId="5B2592EC" w:rsidR="005D4A32" w:rsidRDefault="005D4A32" w:rsidP="005D4A32">
      <w:pPr>
        <w:pStyle w:val="Corpsdetexte"/>
        <w:rPr>
          <w:lang w:val="fr-FR"/>
        </w:rPr>
      </w:pPr>
      <w:r>
        <w:rPr>
          <w:lang w:val="fr-FR"/>
        </w:rPr>
        <w:t xml:space="preserve">Le réseau possède de par ses règles de fonctionnement des qualités fortes de résilience. </w:t>
      </w:r>
    </w:p>
    <w:p w14:paraId="6904779D" w14:textId="75F464FB" w:rsidR="005D4A32" w:rsidRDefault="005D4A32" w:rsidP="005D4A32">
      <w:pPr>
        <w:pStyle w:val="Corpsdetexte"/>
        <w:rPr>
          <w:lang w:val="fr-FR"/>
        </w:rPr>
      </w:pPr>
      <w:r w:rsidRPr="005D4A32">
        <w:rPr>
          <w:b/>
          <w:bCs/>
          <w:lang w:val="fr-FR"/>
        </w:rPr>
        <w:t>La défaillance est sans effet sur le reste du graphe</w:t>
      </w:r>
      <w:r>
        <w:rPr>
          <w:b/>
          <w:bCs/>
          <w:lang w:val="fr-FR"/>
        </w:rPr>
        <w:t xml:space="preserve">. </w:t>
      </w:r>
      <w:r w:rsidRPr="005D4A32">
        <w:rPr>
          <w:lang w:val="fr-FR"/>
        </w:rPr>
        <w:t>La défaillance d'un Membre n'affecte ni la validité, ni l'exigibilité, ni l'exécution des obligations contractuelles assumées par les autres Membres. Les opérations demeurent exécutoires entre les Parties non défaillantes selon les conditions initialement arrêtées lors du scellement du graphe.</w:t>
      </w:r>
    </w:p>
    <w:p w14:paraId="2EA1EEA1" w14:textId="1B562627" w:rsidR="007F6E8E" w:rsidRPr="005D4A32" w:rsidRDefault="007F6E8E" w:rsidP="005D4A32">
      <w:pPr>
        <w:pStyle w:val="Corpsdetexte"/>
        <w:rPr>
          <w:lang w:val="fr-FR"/>
        </w:rPr>
      </w:pPr>
      <w:r w:rsidRPr="007F6E8E">
        <w:rPr>
          <w:b/>
          <w:bCs/>
          <w:lang w:val="fr-FR"/>
        </w:rPr>
        <w:t xml:space="preserve">La propagation des pertes est limitée. </w:t>
      </w:r>
      <w:r w:rsidRPr="007F6E8E">
        <w:rPr>
          <w:lang w:val="fr-FR"/>
        </w:rPr>
        <w:t>La défaillance d'un Membre ne peut avoir pour effet de transférer sa charge économique sur les autres Membres. Les conséquences financières de cette inexécution demeurent exclusivement supportées par son auteur, sous réserve des règles impératives applicables aux procédures collectives.</w:t>
      </w:r>
    </w:p>
    <w:p w14:paraId="7EA31619" w14:textId="7642F05D" w:rsidR="007F6E8E" w:rsidRDefault="007F6E8E" w:rsidP="007F6E8E">
      <w:pPr>
        <w:pStyle w:val="Corpsdetexte"/>
        <w:rPr>
          <w:lang w:val="fr-FR"/>
        </w:rPr>
      </w:pPr>
      <w:r>
        <w:rPr>
          <w:b/>
          <w:bCs/>
          <w:lang w:val="fr-FR"/>
        </w:rPr>
        <w:t>L</w:t>
      </w:r>
      <w:r w:rsidRPr="007F6E8E">
        <w:rPr>
          <w:b/>
          <w:bCs/>
          <w:lang w:val="fr-FR"/>
        </w:rPr>
        <w:t>es créances</w:t>
      </w:r>
      <w:r>
        <w:rPr>
          <w:b/>
          <w:bCs/>
          <w:lang w:val="fr-FR"/>
        </w:rPr>
        <w:t xml:space="preserve"> sont conservées. </w:t>
      </w:r>
      <w:r w:rsidRPr="007F6E8E">
        <w:rPr>
          <w:lang w:val="fr-FR"/>
        </w:rPr>
        <w:t>Les créances résultant d'obligations non exécutées demeurent inscrites au registre des positions jusqu'à leur extinction par exécution, compensation conventionnelle, transaction, décision de justice ou tout autre mode légal d'extinction des obligations.</w:t>
      </w:r>
    </w:p>
    <w:p w14:paraId="750CF817" w14:textId="7005723F" w:rsidR="00737A36" w:rsidRPr="007F6E8E" w:rsidRDefault="00737A36" w:rsidP="007F6E8E">
      <w:pPr>
        <w:pStyle w:val="Corpsdetexte"/>
        <w:rPr>
          <w:lang w:val="fr-FR"/>
        </w:rPr>
      </w:pPr>
      <w:r>
        <w:rPr>
          <w:b/>
          <w:bCs/>
          <w:lang w:val="fr-FR"/>
        </w:rPr>
        <w:t>L</w:t>
      </w:r>
      <w:r w:rsidRPr="00737A36">
        <w:rPr>
          <w:b/>
          <w:bCs/>
          <w:lang w:val="fr-FR"/>
        </w:rPr>
        <w:t xml:space="preserve">e manquement de </w:t>
      </w:r>
      <w:r>
        <w:rPr>
          <w:b/>
          <w:bCs/>
          <w:lang w:val="fr-FR"/>
        </w:rPr>
        <w:t>la partie défaillante</w:t>
      </w:r>
      <w:r w:rsidRPr="00737A36">
        <w:rPr>
          <w:b/>
          <w:bCs/>
          <w:lang w:val="fr-FR"/>
        </w:rPr>
        <w:t xml:space="preserve"> creuse son solde débiteur</w:t>
      </w:r>
      <w:r>
        <w:rPr>
          <w:b/>
          <w:bCs/>
          <w:lang w:val="fr-FR"/>
        </w:rPr>
        <w:t xml:space="preserve">. </w:t>
      </w:r>
      <w:r w:rsidRPr="00737A36">
        <w:rPr>
          <w:lang w:val="fr-FR"/>
        </w:rPr>
        <w:t>Il existe à ce titre deux mécanismes de protection dans le réseau, car le solde débiteur est couvert par le préfinancement et l’inexécution peut faire l’objet de poursuites en responsabilité contractuelle.</w:t>
      </w:r>
      <w:r>
        <w:rPr>
          <w:b/>
          <w:bCs/>
          <w:lang w:val="fr-FR"/>
        </w:rPr>
        <w:t xml:space="preserve"> </w:t>
      </w:r>
      <w:r w:rsidRPr="00737A36">
        <w:rPr>
          <w:lang w:val="fr-FR"/>
        </w:rPr>
        <w:t xml:space="preserve">Le réseau ne récompense jamais une position défaillante. </w:t>
      </w:r>
    </w:p>
    <w:p w14:paraId="325F3558" w14:textId="05F579FD" w:rsidR="005D4A32" w:rsidRPr="007F6E8E" w:rsidRDefault="007F6E8E" w:rsidP="005D4A32">
      <w:pPr>
        <w:pStyle w:val="Corpsdetexte"/>
        <w:rPr>
          <w:lang w:val="fr-FR"/>
        </w:rPr>
      </w:pPr>
      <w:r w:rsidRPr="007F6E8E">
        <w:rPr>
          <w:b/>
          <w:bCs/>
          <w:lang w:val="fr-FR"/>
        </w:rPr>
        <w:t>Le réseau a la capacité de se reconfigurer.</w:t>
      </w:r>
      <w:r w:rsidRPr="007F6E8E">
        <w:rPr>
          <w:lang w:val="fr-FR"/>
        </w:rPr>
        <w:t xml:space="preserve"> La défaillance d'un Membre n'interdit pas la poursuite du fonctionnement du réseau. Les autres Membres peuvent procéder à la constitution de nouveaux graphes d'échange permettant de rééquilibrer progressivement les positions créancières affectées, sans préjudice des recours exercés contre le Membre défaillant.</w:t>
      </w:r>
      <w:r>
        <w:rPr>
          <w:lang w:val="fr-FR"/>
        </w:rPr>
        <w:t xml:space="preserve"> U</w:t>
      </w:r>
      <w:r w:rsidRPr="007F6E8E">
        <w:rPr>
          <w:lang w:val="fr-FR"/>
        </w:rPr>
        <w:t xml:space="preserve">ne défaillance individuelle </w:t>
      </w:r>
      <w:r>
        <w:rPr>
          <w:lang w:val="fr-FR"/>
        </w:rPr>
        <w:t>s’analyse en définitive comme un</w:t>
      </w:r>
      <w:r w:rsidRPr="007F6E8E">
        <w:rPr>
          <w:lang w:val="fr-FR"/>
        </w:rPr>
        <w:t xml:space="preserve"> simple déséquilibre temporaire du réseau.</w:t>
      </w:r>
    </w:p>
    <w:p w14:paraId="28F6D2AD" w14:textId="69238FB3" w:rsidR="00FB6EF5" w:rsidRPr="00C46716" w:rsidRDefault="007F6E8E" w:rsidP="007F6E8E">
      <w:pPr>
        <w:pStyle w:val="FirstParagraph"/>
        <w:rPr>
          <w:lang w:val="fr-FR"/>
        </w:rPr>
      </w:pPr>
      <w:r w:rsidRPr="007F6E8E">
        <w:rPr>
          <w:b/>
          <w:bCs/>
          <w:lang w:val="fr-FR"/>
        </w:rPr>
        <w:t xml:space="preserve">La non réalisation d’une obligation contractuelle met potentiellement en jeu la responsabilité </w:t>
      </w:r>
      <w:r w:rsidR="00737A36">
        <w:rPr>
          <w:b/>
          <w:bCs/>
          <w:lang w:val="fr-FR"/>
        </w:rPr>
        <w:t>contractuelle</w:t>
      </w:r>
      <w:r w:rsidRPr="007F6E8E">
        <w:rPr>
          <w:b/>
          <w:bCs/>
          <w:lang w:val="fr-FR"/>
        </w:rPr>
        <w:t xml:space="preserve"> de la partie défaillante. </w:t>
      </w:r>
      <w:r>
        <w:rPr>
          <w:lang w:val="fr-FR"/>
        </w:rPr>
        <w:t>Même si chaque partie doit respecter ses obligations en ca</w:t>
      </w:r>
      <w:r w:rsidR="00330B85">
        <w:rPr>
          <w:lang w:val="fr-FR"/>
        </w:rPr>
        <w:t>s</w:t>
      </w:r>
      <w:r>
        <w:rPr>
          <w:lang w:val="fr-FR"/>
        </w:rPr>
        <w:t xml:space="preserve"> de défaillance d</w:t>
      </w:r>
      <w:r w:rsidR="00330B85">
        <w:rPr>
          <w:lang w:val="fr-FR"/>
        </w:rPr>
        <w:t>e l’autre</w:t>
      </w:r>
      <w:r>
        <w:rPr>
          <w:lang w:val="fr-FR"/>
        </w:rPr>
        <w:t xml:space="preserve"> partie, la partie défaillante peut faire l’objet de poursuites. </w:t>
      </w:r>
      <w:r w:rsidRPr="00C46716">
        <w:rPr>
          <w:lang w:val="fr-FR"/>
        </w:rPr>
        <w:t xml:space="preserve">Le dispositif n’institue aucune protection dérogatoire : l’inscription valant engagement opposable (Art. 39), les Parties disposent des voies de recours de droit commun. </w:t>
      </w:r>
      <w:r w:rsidR="00737A36">
        <w:rPr>
          <w:lang w:val="fr-FR"/>
        </w:rPr>
        <w:t>L</w:t>
      </w:r>
      <w:r w:rsidRPr="00C46716">
        <w:rPr>
          <w:lang w:val="fr-FR"/>
        </w:rPr>
        <w:t>es Membres peuvent, pour une opération donnée</w:t>
      </w:r>
      <w:r w:rsidR="00737A36">
        <w:rPr>
          <w:lang w:val="fr-FR"/>
        </w:rPr>
        <w:t xml:space="preserve"> ou pour un participant à haut risque</w:t>
      </w:r>
      <w:r w:rsidRPr="00C46716">
        <w:rPr>
          <w:lang w:val="fr-FR"/>
        </w:rPr>
        <w:t>, convenir de sûretés renforcées optionnelles (préfinancement accru, réalisation atomique du cycle), sans que celles-ci soient exigées par défaut.</w:t>
      </w:r>
    </w:p>
    <w:p w14:paraId="1FFCF32B" w14:textId="77777777" w:rsidR="00FB6EF5" w:rsidRPr="00C46716" w:rsidRDefault="00000000">
      <w:pPr>
        <w:pStyle w:val="Titre1"/>
        <w:rPr>
          <w:lang w:val="fr-FR"/>
        </w:rPr>
      </w:pPr>
      <w:bookmarkStart w:id="27" w:name="Xfab3b3f5bfc4b986d4308c0c3b3efa4d5dda9a7"/>
      <w:bookmarkEnd w:id="23"/>
      <w:bookmarkEnd w:id="26"/>
      <w:r w:rsidRPr="00C46716">
        <w:rPr>
          <w:lang w:val="fr-FR"/>
        </w:rPr>
        <w:t>Titre VI — Pureté du noyau et frontière externe</w:t>
      </w:r>
    </w:p>
    <w:p w14:paraId="46097490" w14:textId="77777777" w:rsidR="00FB6EF5" w:rsidRPr="00C46716" w:rsidRDefault="00000000">
      <w:pPr>
        <w:pStyle w:val="FirstParagraph"/>
        <w:rPr>
          <w:lang w:val="fr-FR"/>
        </w:rPr>
      </w:pPr>
      <w:r w:rsidRPr="00C46716">
        <w:rPr>
          <w:lang w:val="fr-FR"/>
        </w:rPr>
        <w:t>Le dispositif comporte deux domaines de nature distincte, dont la stricte séparation conditionne à la fois sa cohérence et sa conformité. Le noyau désigne l’ensemble des échanges qui bouclent entre Membres et se règlent par compensation, sans qu’aucune monnaie ne soit nécessaire ni ne circule. La frontière désigne le point où une opération doit être réglée en euros à l’égard d’un tiers non-membre — un intrant importé, une taxe, une prestation qu’aucun Membre ne fournit.</w:t>
      </w:r>
    </w:p>
    <w:p w14:paraId="73C99E23" w14:textId="77777777" w:rsidR="00FB6EF5" w:rsidRPr="00C46716" w:rsidRDefault="00000000">
      <w:pPr>
        <w:pStyle w:val="Corpsdetexte"/>
        <w:rPr>
          <w:lang w:val="fr-FR"/>
        </w:rPr>
      </w:pPr>
      <w:r w:rsidRPr="00C46716">
        <w:rPr>
          <w:lang w:val="fr-FR"/>
        </w:rPr>
        <w:t>Le Capital d’Ancrage ne finance ni l’un ni l’autre de ces domaines. À l’intérieur du noyau, il dimensionne et plafonne l’exposition sans être décaissé (Titre IV) ; à la frontière, il n’intervient pas, ses fruits comme sa substance demeurant attachés à la nue-propriété (Art. 2). Le présent titre garantit la pureté du noyau et précise comment la frontière est financée sans jamais mobiliser le capital.</w:t>
      </w:r>
    </w:p>
    <w:p w14:paraId="18C49F27" w14:textId="77777777" w:rsidR="00FB6EF5" w:rsidRPr="00C46716" w:rsidRDefault="00000000">
      <w:pPr>
        <w:pStyle w:val="Titre2"/>
        <w:rPr>
          <w:lang w:val="fr-FR"/>
        </w:rPr>
      </w:pPr>
      <w:bookmarkStart w:id="28" w:name="article-17-la-pureté-du-noyau"/>
      <w:r w:rsidRPr="00C46716">
        <w:rPr>
          <w:lang w:val="fr-FR"/>
        </w:rPr>
        <w:t>Article 17 — La pureté du noyau</w:t>
      </w:r>
    </w:p>
    <w:p w14:paraId="4A1A4727" w14:textId="77777777" w:rsidR="00FB6EF5" w:rsidRPr="00C46716" w:rsidRDefault="00000000">
      <w:pPr>
        <w:pStyle w:val="FirstParagraph"/>
        <w:rPr>
          <w:lang w:val="fr-FR"/>
        </w:rPr>
      </w:pPr>
      <w:r w:rsidRPr="00C46716">
        <w:rPr>
          <w:lang w:val="fr-FR"/>
        </w:rPr>
        <w:t>Le noyau est pur en ce qu'il ne manipule aucune monnaie et ne touche ni la substance ni les fruits du capital. Il n'organise que des relations d'usage non rivales, mesurées en unités internes, entre Membres identifiés.</w:t>
      </w:r>
    </w:p>
    <w:p w14:paraId="6D286E8B" w14:textId="77777777" w:rsidR="00FB6EF5" w:rsidRPr="00C46716" w:rsidRDefault="00000000">
      <w:pPr>
        <w:pStyle w:val="Corpsdetexte"/>
        <w:rPr>
          <w:lang w:val="fr-FR"/>
        </w:rPr>
      </w:pPr>
      <w:r w:rsidRPr="00C46716">
        <w:rPr>
          <w:lang w:val="fr-FR"/>
        </w:rPr>
        <w:t>Le dispositif ne tient qu'un registre d'unités internes. Il n'encaisse, ne détient ni ne reverse aucune somme en euros pour le compte de tiers. Toute part d'une opération devant être réglée en euros envers un tiers non-membre est réglée directement par le Membre concerné, sur ses fonds propres, hors du dispositif, qui n'en est ni le dépositaire ni l'intermédiaire. Ne recevant ni ne transférant de fonds pour le compte de tiers, le dispositif ne fournit aucun service de paiement au sens des articles L. 314-1 et L. 521-1 du Code monétaire et financier et relève des instruments à réseau limité (art. L. 521-3).</w:t>
      </w:r>
    </w:p>
    <w:p w14:paraId="4325C05C" w14:textId="77777777" w:rsidR="00FB6EF5" w:rsidRPr="00C46716" w:rsidRDefault="00000000">
      <w:pPr>
        <w:pStyle w:val="Corpsdetexte"/>
        <w:rPr>
          <w:lang w:val="fr-FR"/>
        </w:rPr>
      </w:pPr>
      <w:r w:rsidRPr="00C46716">
        <w:rPr>
          <w:lang w:val="fr-FR"/>
        </w:rPr>
        <w:t xml:space="preserve">Le droit conféré aux Membres est un </w:t>
      </w:r>
      <w:r w:rsidRPr="00C46716">
        <w:rPr>
          <w:i/>
          <w:iCs/>
          <w:lang w:val="fr-FR"/>
        </w:rPr>
        <w:t>usus</w:t>
      </w:r>
      <w:r w:rsidRPr="00C46716">
        <w:rPr>
          <w:lang w:val="fr-FR"/>
        </w:rPr>
        <w:t xml:space="preserve"> dépourvu d'</w:t>
      </w:r>
      <w:r w:rsidRPr="00C46716">
        <w:rPr>
          <w:i/>
          <w:iCs/>
          <w:lang w:val="fr-FR"/>
        </w:rPr>
        <w:t>abusus</w:t>
      </w:r>
      <w:r w:rsidRPr="00C46716">
        <w:rPr>
          <w:lang w:val="fr-FR"/>
        </w:rPr>
        <w:t>. L'</w:t>
      </w:r>
      <w:r w:rsidRPr="00C46716">
        <w:rPr>
          <w:i/>
          <w:iCs/>
          <w:lang w:val="fr-FR"/>
        </w:rPr>
        <w:t>abusus</w:t>
      </w:r>
      <w:r w:rsidRPr="00C46716">
        <w:rPr>
          <w:lang w:val="fr-FR"/>
        </w:rPr>
        <w:t xml:space="preserve"> est, dans la propriété classique, le droit de disposer de la chose dans toute son étendue : l'aliéner, mais aussi la consommer, l'accaparer ou la détruire. C'est précisément cette faculté que le noyau retranche. Les Membres usent et jouissent des relations d'échange — ils les nouent, les font circuler, en perçoivent l'utilité — sans jamais pouvoir se les approprier, les thésauriser ni les anéantir. La substance du capital — son </w:t>
      </w:r>
      <w:r w:rsidRPr="00C46716">
        <w:rPr>
          <w:i/>
          <w:iCs/>
          <w:lang w:val="fr-FR"/>
        </w:rPr>
        <w:t>abusus</w:t>
      </w:r>
      <w:r w:rsidRPr="00C46716">
        <w:rPr>
          <w:lang w:val="fr-FR"/>
        </w:rPr>
        <w:t xml:space="preserve"> — et ses fruits demeurent au Propriétaire (Art. 2) ; le noyau n'en dispose jamais.</w:t>
      </w:r>
    </w:p>
    <w:p w14:paraId="1A5158A0" w14:textId="77777777" w:rsidR="00FB6EF5" w:rsidRPr="00C46716" w:rsidRDefault="00000000">
      <w:pPr>
        <w:pStyle w:val="Corpsdetexte"/>
        <w:rPr>
          <w:lang w:val="fr-FR"/>
        </w:rPr>
      </w:pPr>
      <w:r w:rsidRPr="00C46716">
        <w:rPr>
          <w:lang w:val="fr-FR"/>
        </w:rPr>
        <w:t>Ce retranchement change la nature économique du droit car celui-ci ne porte plus sur une chose mais sur une relation. Il confère au système d’échange cyclique son caractère durable et permanent, sans qu'aucune croissance ne soit requise pour le maintenir.</w:t>
      </w:r>
    </w:p>
    <w:p w14:paraId="3DC1A560" w14:textId="77777777" w:rsidR="00FB6EF5" w:rsidRPr="00C46716" w:rsidRDefault="00000000">
      <w:pPr>
        <w:pStyle w:val="Corpsdetexte"/>
        <w:rPr>
          <w:lang w:val="fr-FR"/>
        </w:rPr>
      </w:pPr>
      <w:r w:rsidRPr="00C46716">
        <w:rPr>
          <w:lang w:val="fr-FR"/>
        </w:rPr>
        <w:t>Les échanges du noyau sont à solde nul : chaque Membre équilibre ce qu'il reçoit par ce qu'il fournit, de sorte que la somme des soldes demeure constamment nulle et que rien n'y est gratuit. Cette exigence d'équilibre, loin d'être une contrainte accessoire, est le principe même de justice du dispositif : elle protège celui qui fournit et interdit qu'une valeur soit prélevée sans contrepartie.</w:t>
      </w:r>
    </w:p>
    <w:p w14:paraId="48F23701" w14:textId="77777777" w:rsidR="00FB6EF5" w:rsidRPr="00C46716" w:rsidRDefault="00000000">
      <w:pPr>
        <w:pStyle w:val="Corpsdetexte"/>
        <w:rPr>
          <w:lang w:val="fr-FR"/>
        </w:rPr>
      </w:pPr>
      <w:r w:rsidRPr="00C46716">
        <w:rPr>
          <w:lang w:val="fr-FR"/>
        </w:rPr>
        <w:t>La valeur ne s'y réalise que dans la circulation, jamais dans la thésaurisation : le droit conféré est un droit de faire circuler la valeur, non de la détenir. Cette orientation vers la circulation est une propriété du noyau, qui vaut pour tout échange entre Membres.</w:t>
      </w:r>
    </w:p>
    <w:p w14:paraId="0F35071F" w14:textId="77777777" w:rsidR="00FB6EF5" w:rsidRPr="00C46716" w:rsidRDefault="00000000">
      <w:pPr>
        <w:pStyle w:val="Corpsdetexte"/>
        <w:rPr>
          <w:lang w:val="fr-FR"/>
        </w:rPr>
      </w:pPr>
      <w:r w:rsidRPr="00C46716">
        <w:rPr>
          <w:lang w:val="fr-FR"/>
        </w:rPr>
        <w:t>Les Objectifs de Développement Durable ne constituent pas une condition de licéité des opérations, mais un critère d’évaluation et de hiérarchisation des préférences : ils fournissent la mesure de ce qui est souhaitable et fondent la priorité qu'une opération reçoit dans le soutien collectif et la priorisation par vote (Titre VII, Principe II). Une opération qui ne relève pas des ODD n'est pas prohibée ; elle demeure admissible dès lors qu'elle satisfait les conditions de sécurité (Titre IV, Principe I), mais elle ne bénéficie pas de la priorité ni du soutien réservés aux opérations à fort bénéfice ODD.</w:t>
      </w:r>
    </w:p>
    <w:p w14:paraId="005ED701" w14:textId="77777777" w:rsidR="00FB6EF5" w:rsidRPr="00C46716" w:rsidRDefault="00000000">
      <w:pPr>
        <w:pStyle w:val="Titre2"/>
        <w:rPr>
          <w:lang w:val="fr-FR"/>
        </w:rPr>
      </w:pPr>
      <w:bookmarkStart w:id="29" w:name="Xc6856328ef9ff2ce3fffb5ea3588608646ae8ae"/>
      <w:bookmarkEnd w:id="28"/>
      <w:r w:rsidRPr="00C46716">
        <w:rPr>
          <w:lang w:val="fr-FR"/>
        </w:rPr>
        <w:t>Article 18 — Une fonction non rivale et non exclusive</w:t>
      </w:r>
    </w:p>
    <w:p w14:paraId="516AF151" w14:textId="77777777" w:rsidR="00FB6EF5" w:rsidRPr="00C46716" w:rsidRDefault="00000000">
      <w:pPr>
        <w:pStyle w:val="FirstParagraph"/>
        <w:rPr>
          <w:lang w:val="fr-FR"/>
        </w:rPr>
      </w:pPr>
      <w:r w:rsidRPr="00C46716">
        <w:rPr>
          <w:lang w:val="fr-FR"/>
        </w:rPr>
        <w:t xml:space="preserve">La fonction monétaire exercée dans le noyau est </w:t>
      </w:r>
      <w:r w:rsidRPr="00C46716">
        <w:rPr>
          <w:b/>
          <w:bCs/>
          <w:lang w:val="fr-FR"/>
        </w:rPr>
        <w:t>non rivale</w:t>
      </w:r>
      <w:r w:rsidRPr="00C46716">
        <w:rPr>
          <w:lang w:val="fr-FR"/>
        </w:rPr>
        <w:t xml:space="preserve"> : plusieurs Membres l'exercent simultanément sans que l'usage de l'un ne prive l'autre, parce qu'ils ne consomment aucun support monétaire mais utilisent seulement la relation d'équivalence que l'unité mesure.</w:t>
      </w:r>
    </w:p>
    <w:p w14:paraId="0EB893DC" w14:textId="77777777" w:rsidR="00FB6EF5" w:rsidRPr="00C46716" w:rsidRDefault="00000000">
      <w:pPr>
        <w:pStyle w:val="Corpsdetexte"/>
        <w:rPr>
          <w:lang w:val="fr-FR"/>
        </w:rPr>
      </w:pPr>
      <w:r w:rsidRPr="00C46716">
        <w:rPr>
          <w:lang w:val="fr-FR"/>
        </w:rPr>
        <w:t xml:space="preserve">Elle est aussi </w:t>
      </w:r>
      <w:r w:rsidRPr="00C46716">
        <w:rPr>
          <w:b/>
          <w:bCs/>
          <w:lang w:val="fr-FR"/>
        </w:rPr>
        <w:t>non exclusive</w:t>
      </w:r>
      <w:r w:rsidRPr="00C46716">
        <w:rPr>
          <w:lang w:val="fr-FR"/>
        </w:rPr>
        <w:t xml:space="preserve"> : nul ne peut être empêché d'en faire usage, ni s'en réserver la jouissance au détriment des autres. Ces deux propriétés sont distinctes — la non-rivalité tient à la </w:t>
      </w:r>
      <w:r w:rsidRPr="00C46716">
        <w:rPr>
          <w:i/>
          <w:iCs/>
          <w:lang w:val="fr-FR"/>
        </w:rPr>
        <w:t>nature</w:t>
      </w:r>
      <w:r w:rsidRPr="00C46716">
        <w:rPr>
          <w:lang w:val="fr-FR"/>
        </w:rPr>
        <w:t xml:space="preserve"> de la chose (son usage ne l'épuise pas), la non-exclusivité tient au </w:t>
      </w:r>
      <w:r w:rsidRPr="00C46716">
        <w:rPr>
          <w:i/>
          <w:iCs/>
          <w:lang w:val="fr-FR"/>
        </w:rPr>
        <w:t>rapport de droit</w:t>
      </w:r>
      <w:r w:rsidRPr="00C46716">
        <w:rPr>
          <w:lang w:val="fr-FR"/>
        </w:rPr>
        <w:t xml:space="preserve"> qui l'organise (nul n'en est écarté) — mais dans le noyau elles se conditionnent l'une l'autre.</w:t>
      </w:r>
    </w:p>
    <w:p w14:paraId="5A0D2235" w14:textId="77777777" w:rsidR="00FB6EF5" w:rsidRPr="00C46716" w:rsidRDefault="00000000">
      <w:pPr>
        <w:pStyle w:val="Corpsdetexte"/>
        <w:rPr>
          <w:lang w:val="fr-FR"/>
        </w:rPr>
      </w:pPr>
      <w:r w:rsidRPr="00C46716">
        <w:rPr>
          <w:lang w:val="fr-FR"/>
        </w:rPr>
        <w:t xml:space="preserve">La non-exclusivité procède d'abord de la non-rivalité. Dans une économie fondée sur un support rare — un jeton, une pièce, une créance accumulable — l'exclusion est une nécessité mécanique : ce que je détiens, un autre ne le détient pas ; le stock que j'immobilise est soustrait à tous. La rareté du support </w:t>
      </w:r>
      <w:r w:rsidRPr="00C46716">
        <w:rPr>
          <w:i/>
          <w:iCs/>
          <w:lang w:val="fr-FR"/>
        </w:rPr>
        <w:t>impose</w:t>
      </w:r>
      <w:r w:rsidRPr="00C46716">
        <w:rPr>
          <w:lang w:val="fr-FR"/>
        </w:rPr>
        <w:t xml:space="preserve"> l'exclusion, et c'est de là que naissent la concentration et le pouvoir de celui qui accumule. Dans le noyau, le support monétaire n'existe pas : l'unité n'est pas une chose que l'on possède mais la mesure d'une relation entre deux Membres. Or une relation ne se détient pas et ne se retire pas à autrui ; elle ne peut être ni thésaurisée ni confisquée. Ce qui n'a pas de support rare n'a pas de raison d'être exclu — la non-rivalité retire à l'exclusion son fondement même.</w:t>
      </w:r>
    </w:p>
    <w:p w14:paraId="44E62970" w14:textId="77777777" w:rsidR="00FB6EF5" w:rsidRPr="00C46716" w:rsidRDefault="00000000">
      <w:pPr>
        <w:pStyle w:val="Corpsdetexte"/>
        <w:rPr>
          <w:lang w:val="fr-FR"/>
        </w:rPr>
      </w:pPr>
      <w:r w:rsidRPr="00C46716">
        <w:rPr>
          <w:lang w:val="fr-FR"/>
        </w:rPr>
        <w:t xml:space="preserve">Mais la non-exclusivité procède aussi de la structure juridique du droit conféré. Le droit d'usage est ouvert </w:t>
      </w:r>
      <w:r w:rsidRPr="00C46716">
        <w:rPr>
          <w:i/>
          <w:iCs/>
          <w:lang w:val="fr-FR"/>
        </w:rPr>
        <w:t>erga omnes</w:t>
      </w:r>
      <w:r w:rsidRPr="00C46716">
        <w:rPr>
          <w:lang w:val="fr-FR"/>
        </w:rPr>
        <w:t xml:space="preserve">, à tout Membre remplissant les critères objectifs d'admission (Art. 6) : il n'est pas attribué par parts qu'il faudrait se disputer, mais reconnu à chacun dans son intégralité, sans que la reconnaissance au profit de l'un diminue celle des autres. C'est précisément ce que la non-rivalité rend cohérent : là où l'usufruit classique est exclusif — un usufruitier prive le nu-propriétaire et les autres usagers — le droit d'usage non rival peut être multiplié à tous sans dépossession ni concurrence, parce qu'aucun usager n'entame ce dont un autre a besoin. C'est un démembrement </w:t>
      </w:r>
      <w:r w:rsidRPr="00C46716">
        <w:rPr>
          <w:i/>
          <w:iCs/>
          <w:lang w:val="fr-FR"/>
        </w:rPr>
        <w:t>sui generis</w:t>
      </w:r>
      <w:r w:rsidRPr="00C46716">
        <w:rPr>
          <w:lang w:val="fr-FR"/>
        </w:rPr>
        <w:t xml:space="preserve"> que seule la non-rivalité autorise.</w:t>
      </w:r>
    </w:p>
    <w:p w14:paraId="4CD093E4" w14:textId="77777777" w:rsidR="00FB6EF5" w:rsidRPr="00C46716" w:rsidRDefault="00000000">
      <w:pPr>
        <w:pStyle w:val="Corpsdetexte"/>
        <w:rPr>
          <w:lang w:val="fr-FR"/>
        </w:rPr>
      </w:pPr>
      <w:r w:rsidRPr="00C46716">
        <w:rPr>
          <w:lang w:val="fr-FR"/>
        </w:rPr>
        <w:t xml:space="preserve">Ces deux propriétés, réunies, définissent le noyau comme un </w:t>
      </w:r>
      <w:r w:rsidRPr="00C46716">
        <w:rPr>
          <w:b/>
          <w:bCs/>
          <w:lang w:val="fr-FR"/>
        </w:rPr>
        <w:t>commun</w:t>
      </w:r>
      <w:r w:rsidRPr="00C46716">
        <w:rPr>
          <w:lang w:val="fr-FR"/>
        </w:rPr>
        <w:t xml:space="preserve"> : une ressource dont l'usage est à la fois inépuisable par le partage (non-rivalité) et ouvert à tous (non-exclusivité). C'est ce double caractère qui fait basculer le dispositif hors de la logique d'appropriation. Là où la monnaie ordinaire est un bien privé — rival et exclusif, donc concentrable — la fonction monétaire du noyau est un bien commun : nul ne peut se l'approprier au détriment d'autrui, ni parce que son usage l'épuiserait, ni parce qu'un droit supérieur en écarterait les autres. L'égalité entre Membres n'est donc pas une règle ajoutée au dispositif ; elle est la conséquence directe de la nature non rivale et non exclusive de ce qu'ils partagent.</w:t>
      </w:r>
    </w:p>
    <w:p w14:paraId="78C6625F" w14:textId="77777777" w:rsidR="00FB6EF5" w:rsidRPr="00C46716" w:rsidRDefault="00000000">
      <w:pPr>
        <w:pStyle w:val="Titre2"/>
        <w:rPr>
          <w:lang w:val="fr-FR"/>
        </w:rPr>
      </w:pPr>
      <w:bookmarkStart w:id="30" w:name="X7e0e8fae7d2e0148380ec66631512370e95040e"/>
      <w:bookmarkEnd w:id="29"/>
      <w:r w:rsidRPr="00C46716">
        <w:rPr>
          <w:lang w:val="fr-FR"/>
        </w:rPr>
        <w:t>Article 19 — Le financement de la frontière externe</w:t>
      </w:r>
    </w:p>
    <w:p w14:paraId="6DB8E0D4" w14:textId="77777777" w:rsidR="00FB6EF5" w:rsidRPr="00C46716" w:rsidRDefault="00000000">
      <w:pPr>
        <w:pStyle w:val="FirstParagraph"/>
        <w:rPr>
          <w:lang w:val="fr-FR"/>
        </w:rPr>
      </w:pPr>
      <w:r w:rsidRPr="00C46716">
        <w:rPr>
          <w:lang w:val="fr-FR"/>
        </w:rPr>
        <w:t>La frontière externe est financée, en premier lieu, par chaque Membre sur ses fonds propres, pour la part de ses opérations qui doit être réglée en euros à un tiers non-membre (Art. 17). Le Capital d’Ancrage n’y contribue pas : son principal est immobilisé (Art. 3) et ses fruits demeurent attachés à la nue-propriété (Art. 2). Le dispositif ne finance, par le capital, aucune dépense externe.</w:t>
      </w:r>
    </w:p>
    <w:p w14:paraId="68960AD7" w14:textId="77777777" w:rsidR="00FB6EF5" w:rsidRPr="00C46716" w:rsidRDefault="00000000">
      <w:pPr>
        <w:pStyle w:val="Corpsdetexte"/>
        <w:rPr>
          <w:lang w:val="fr-FR"/>
        </w:rPr>
      </w:pPr>
      <w:r w:rsidRPr="00C46716">
        <w:rPr>
          <w:lang w:val="fr-FR"/>
        </w:rPr>
        <w:t>Lorsque le dispositif choisit de soutenir collectivement certaines dépenses externes attachées aux opérations ODD, ce soutien est assuré par un fonds de solidarité juridiquement distinct du noyau et du capital, alimenté par des ressources qui lui sont propres — cotisations, dons, subventions — à l’exclusion de toute mobilisation du Capital d’Ancrage. Ce fonds, seul habilité à manier des euros, règle les dépenses concernées ; le noyau, lui, ne manipule jamais de monnaie.</w:t>
      </w:r>
    </w:p>
    <w:p w14:paraId="5F2AD49D" w14:textId="77777777" w:rsidR="00FB6EF5" w:rsidRPr="00C46716" w:rsidRDefault="00000000">
      <w:pPr>
        <w:pStyle w:val="Corpsdetexte"/>
        <w:rPr>
          <w:lang w:val="fr-FR"/>
        </w:rPr>
      </w:pPr>
      <w:r w:rsidRPr="00C46716">
        <w:rPr>
          <w:lang w:val="fr-FR"/>
        </w:rPr>
        <w:t>Ce soutien collectif a pour objet de préserver l’égalité d’accès, en permettant aux Membres dépourvus de fonds propres suffisants d’accéder aux opérations comportant une part externe, sans que la participation ne dépende de la détention préalable de capital. Il prolonge le caractère inclusif du dispositif (Art. 6).</w:t>
      </w:r>
    </w:p>
    <w:p w14:paraId="092B6434" w14:textId="77777777" w:rsidR="00FB6EF5" w:rsidRPr="00C46716" w:rsidRDefault="00000000">
      <w:pPr>
        <w:pStyle w:val="Corpsdetexte"/>
        <w:rPr>
          <w:lang w:val="fr-FR"/>
        </w:rPr>
      </w:pPr>
      <w:r w:rsidRPr="00C46716">
        <w:rPr>
          <w:lang w:val="fr-FR"/>
        </w:rPr>
        <w:t>La capacité de soutien collectif est bornée par les ressources propres du fonds de solidarité. Elle ne s’étend pas par une mobilisation du capital, qui demeure exclue, mais par deux leviers : l’accroissement de la part interne des opérations — l’internalisation de fournisseurs, qui réduit d’autant la fuite externe et donc le besoin de règlement en euros — et l’augmentation des ressources propres du fonds de solidarité.</w:t>
      </w:r>
    </w:p>
    <w:p w14:paraId="60AFD836" w14:textId="77777777" w:rsidR="00FB6EF5" w:rsidRPr="00C46716" w:rsidRDefault="00000000">
      <w:pPr>
        <w:pStyle w:val="Titre1"/>
        <w:rPr>
          <w:lang w:val="fr-FR"/>
        </w:rPr>
      </w:pPr>
      <w:bookmarkStart w:id="31" w:name="X369a240dfd52c66b6849d8902abe0a97e3bf068"/>
      <w:bookmarkEnd w:id="27"/>
      <w:bookmarkEnd w:id="30"/>
      <w:r w:rsidRPr="00C46716">
        <w:rPr>
          <w:lang w:val="fr-FR"/>
        </w:rPr>
        <w:t>Titre VII — Choix de projets, priorisation et vote de préférence</w:t>
      </w:r>
    </w:p>
    <w:p w14:paraId="550667BB" w14:textId="77777777" w:rsidR="00FB6EF5" w:rsidRPr="00C46716" w:rsidRDefault="00000000">
      <w:pPr>
        <w:pStyle w:val="FirstParagraph"/>
        <w:rPr>
          <w:lang w:val="fr-FR"/>
        </w:rPr>
      </w:pPr>
      <w:r w:rsidRPr="00C46716">
        <w:rPr>
          <w:lang w:val="fr-FR"/>
        </w:rPr>
        <w:t>Les titres précédents ont montré comment le dispositif permet à des agents d’échanger des biens et des services. Nous allons expliquer maintenant comment il leur permet de voter pour des projets afin de les financer. Dans cette perspective, il convient de répondre à la question suivante : parmi tous les projets admissibles, lesquels soutenir en priorité ? Et comment se traduit concrètement ce soutien ?</w:t>
      </w:r>
    </w:p>
    <w:p w14:paraId="71C66226" w14:textId="77777777" w:rsidR="00FB6EF5" w:rsidRPr="00C46716" w:rsidRDefault="00000000">
      <w:pPr>
        <w:pStyle w:val="Corpsdetexte"/>
        <w:rPr>
          <w:lang w:val="fr-FR"/>
        </w:rPr>
      </w:pPr>
      <w:r w:rsidRPr="00C46716">
        <w:rPr>
          <w:lang w:val="fr-FR"/>
        </w:rPr>
        <w:t>C'est l'objet de ce titre VII. Il répond en trois temps. D'abord, il fixe le seuil à partir duquel un projet mérite d'être considéré (Article 20). Ensuite, il désigne le mécanisme qui départage les projets admissibles entre eux (Article 21). Enfin, il précise comment ce choix collectif s'exprime concrètement — et pourquoi il est à la fois sincère et égalitaire (Article 22). L'idée directrice est que, dans ce dispositif, choisir collectivement un projet et échanger de la valeur ne sont pas deux opérations distinctes : c'est le même geste.</w:t>
      </w:r>
    </w:p>
    <w:p w14:paraId="62B03740" w14:textId="77777777" w:rsidR="00FB6EF5" w:rsidRPr="00C46716" w:rsidRDefault="00000000">
      <w:pPr>
        <w:pStyle w:val="Titre2"/>
        <w:rPr>
          <w:lang w:val="fr-FR"/>
        </w:rPr>
      </w:pPr>
      <w:bookmarkStart w:id="32" w:name="Xfa6da77c675b461e361fe6ca283d32bf31a96af"/>
      <w:r w:rsidRPr="00C46716">
        <w:rPr>
          <w:lang w:val="fr-FR"/>
        </w:rPr>
        <w:t>Article 20 — Critère de bénéfice, extra-comptable</w:t>
      </w:r>
    </w:p>
    <w:p w14:paraId="1D447E60" w14:textId="5BA280D9" w:rsidR="00FB6EF5" w:rsidRPr="00C46716" w:rsidRDefault="00000000">
      <w:pPr>
        <w:pStyle w:val="FirstParagraph"/>
        <w:rPr>
          <w:lang w:val="fr-FR"/>
        </w:rPr>
      </w:pPr>
      <w:r w:rsidRPr="00C46716">
        <w:rPr>
          <w:lang w:val="fr-FR"/>
        </w:rPr>
        <w:t>Un projet ne peut prétendre au soutien collectif que s'il fait la preuve de son utilité</w:t>
      </w:r>
      <w:r w:rsidR="00892128">
        <w:rPr>
          <w:lang w:val="fr-FR"/>
        </w:rPr>
        <w:t xml:space="preserve"> et de son équité</w:t>
      </w:r>
      <w:r w:rsidRPr="00C46716">
        <w:rPr>
          <w:lang w:val="fr-FR"/>
        </w:rPr>
        <w:t xml:space="preserve">. Cette preuve prend la forme d'un rapport d'impact certifié, établi séparément du registre des échanges, qui démontre que les bénéfices attendus au titre des ODD — destruction future évitée, capacité nouvelle créée — sont au moins égaux aux coûts engagés. Ce critère commande l'éligibilité, mais il ne se traduit par aucune écriture comptable : il reste extérieur au registre. Autrement dit, un bénéfice ODD attendu n'est jamais inscrit au crédit de qui que ce soit, car il ne s'agit pas d'une valeur déjà réalisée mais d'un effet espéré ; l'inscrire reviendrait à comptabiliser une promesse, ce qu'interdisent les principes de prudence et de réalisation. Le bénéfice ODD sert donc à </w:t>
      </w:r>
      <w:r w:rsidRPr="00C46716">
        <w:rPr>
          <w:i/>
          <w:iCs/>
          <w:lang w:val="fr-FR"/>
        </w:rPr>
        <w:t>décider</w:t>
      </w:r>
      <w:r w:rsidRPr="00C46716">
        <w:rPr>
          <w:lang w:val="fr-FR"/>
        </w:rPr>
        <w:t xml:space="preserve">, non à </w:t>
      </w:r>
      <w:r w:rsidRPr="00C46716">
        <w:rPr>
          <w:i/>
          <w:iCs/>
          <w:lang w:val="fr-FR"/>
        </w:rPr>
        <w:t>compter</w:t>
      </w:r>
      <w:r w:rsidRPr="00C46716">
        <w:rPr>
          <w:lang w:val="fr-FR"/>
        </w:rPr>
        <w:t>. L'évaluation s'appuie sur des méthodologies reconnues — ICAT, IIED, comptabilité des écosystèmes SEEA-EA — sans recourir à un taux d'actualisation financier, et en appliquant, s'il y a lieu, un coefficient de prudence et un facteur de criticité.</w:t>
      </w:r>
    </w:p>
    <w:p w14:paraId="67B0E078" w14:textId="77777777" w:rsidR="00FB6EF5" w:rsidRPr="00C46716" w:rsidRDefault="00000000">
      <w:pPr>
        <w:pStyle w:val="Titre2"/>
        <w:rPr>
          <w:lang w:val="fr-FR"/>
        </w:rPr>
      </w:pPr>
      <w:bookmarkStart w:id="33" w:name="Xf8f93a8ee92875cebb28f7182e3a3b3621b568a"/>
      <w:bookmarkEnd w:id="32"/>
      <w:r w:rsidRPr="00C46716">
        <w:rPr>
          <w:lang w:val="fr-FR"/>
        </w:rPr>
        <w:t>Article 21 — Priorisation par vote de consensus</w:t>
      </w:r>
    </w:p>
    <w:p w14:paraId="07A05342" w14:textId="4E801CC9" w:rsidR="00FB6EF5" w:rsidRPr="00C46716" w:rsidRDefault="00000000">
      <w:pPr>
        <w:pStyle w:val="FirstParagraph"/>
        <w:rPr>
          <w:lang w:val="fr-FR"/>
        </w:rPr>
      </w:pPr>
      <w:r w:rsidRPr="00C46716">
        <w:rPr>
          <w:lang w:val="fr-FR"/>
        </w:rPr>
        <w:t xml:space="preserve">Une fois écartés les projets non éligibles (Article 20) et ceux qui ne satisfont pas aux exigences de sécurité (Titre IV), il reste à ordonner ceux qui subsistent. Cet ordre n'est pas décidé par une autorité : il émerge d'un vote de consensus, selon la procédure dite de </w:t>
      </w:r>
      <w:r w:rsidRPr="00C46716">
        <w:rPr>
          <w:i/>
          <w:iCs/>
          <w:lang w:val="fr-FR"/>
        </w:rPr>
        <w:t>Welfare Optimisation</w:t>
      </w:r>
      <w:r w:rsidRPr="00C46716">
        <w:rPr>
          <w:lang w:val="fr-FR"/>
        </w:rPr>
        <w:t xml:space="preserve">. Ce vote combine deux dimensions. Le </w:t>
      </w:r>
      <w:r w:rsidRPr="00C46716">
        <w:rPr>
          <w:b/>
          <w:bCs/>
          <w:lang w:val="fr-FR"/>
        </w:rPr>
        <w:t>soutien</w:t>
      </w:r>
      <w:r w:rsidRPr="00C46716">
        <w:rPr>
          <w:lang w:val="fr-FR"/>
        </w:rPr>
        <w:t xml:space="preserve"> exprime l'intensité de la préférence : à quel point les Membres jugent un projet </w:t>
      </w:r>
      <w:r w:rsidR="00892128">
        <w:rPr>
          <w:lang w:val="fr-FR"/>
        </w:rPr>
        <w:t>intéressant : quelle est la valeur qu’il va apporter dans monde et quels sont les bénéfices qu’il va générer</w:t>
      </w:r>
      <w:r w:rsidRPr="00C46716">
        <w:rPr>
          <w:lang w:val="fr-FR"/>
        </w:rPr>
        <w:t>. L'</w:t>
      </w:r>
      <w:r w:rsidRPr="00C46716">
        <w:rPr>
          <w:b/>
          <w:bCs/>
          <w:lang w:val="fr-FR"/>
        </w:rPr>
        <w:t>approbation</w:t>
      </w:r>
      <w:r w:rsidRPr="00C46716">
        <w:rPr>
          <w:lang w:val="fr-FR"/>
        </w:rPr>
        <w:t xml:space="preserve"> exprime l'acceptabilité : le projet est-il faisable au regard des capacités réelles et de la solvabilité du dispositif ? La faisabilité relève de cette seconde dimension, et elle est éliminatoire — un projet infaisable ne peut jamais être priorisé, si désirable soit-il.</w:t>
      </w:r>
    </w:p>
    <w:p w14:paraId="2CA6C187" w14:textId="77777777" w:rsidR="00FB6EF5" w:rsidRPr="00C46716" w:rsidRDefault="00000000">
      <w:pPr>
        <w:pStyle w:val="Corpsdetexte"/>
        <w:rPr>
          <w:lang w:val="fr-FR"/>
        </w:rPr>
      </w:pPr>
      <w:r w:rsidRPr="00C46716">
        <w:rPr>
          <w:lang w:val="fr-FR"/>
        </w:rPr>
        <w:t>Ce double critère n'est pas un procédé de vote ajouté de l'extérieur : il reproduit exactement la structure de l'échange cyclique lui-même. Un échange, pour être admis, exige l'équilibre des créances et des dettes (c'est l'acceptabilité) et procède d'un choix de valeur entre plusieurs opérations possibles (c'est la préférence). De la même façon, un bon vote combine l'approbation — qui minimise le regret des minorités, versant sécuritaire de la décision — et l'intensité des préférences — qui maximise la satisfaction de la majorité, versant performatif. Échange individuel et choix collectif obéissent ainsi à une seule et même logique : dans ce dispositif, ils sont une même chose, et reposent sur une identité.</w:t>
      </w:r>
    </w:p>
    <w:p w14:paraId="145B1483" w14:textId="77777777" w:rsidR="00FB6EF5" w:rsidRPr="00C46716" w:rsidRDefault="00000000">
      <w:pPr>
        <w:pStyle w:val="Corpsdetexte"/>
        <w:rPr>
          <w:lang w:val="fr-FR"/>
        </w:rPr>
      </w:pPr>
      <w:r w:rsidRPr="00C46716">
        <w:rPr>
          <w:lang w:val="fr-FR"/>
        </w:rPr>
        <w:t>A titre de comparaison, le marché concurrentiel est un mécanisme de coordination des échanges, non un mécanisme de décision collective. Il détermine un prix d'équilibre entre offreurs et demandeurs, mais n'intègre aucun opérateur explicite de composition entre performance collective et équité. Le présent protocole repose au contraire sur un mécanisme de décision collective explicitement intégré au mécanisme d'échange. Les échanges et la sélection des projets obéissent à une même structure d'acceptabilité et de préférence, formalisée par Welfare Optimisation et dotée d’une valeur scientifique certaine.</w:t>
      </w:r>
    </w:p>
    <w:p w14:paraId="052EAF79" w14:textId="77777777" w:rsidR="00FB6EF5" w:rsidRPr="00C46716" w:rsidRDefault="00000000">
      <w:pPr>
        <w:pStyle w:val="Titre2"/>
        <w:rPr>
          <w:lang w:val="fr-FR"/>
        </w:rPr>
      </w:pPr>
      <w:bookmarkStart w:id="34" w:name="Xa85cb95b2c5ff7b038ef42666382110f72572ae"/>
      <w:bookmarkEnd w:id="33"/>
      <w:r w:rsidRPr="00C46716">
        <w:rPr>
          <w:lang w:val="fr-FR"/>
        </w:rPr>
        <w:t>Article 22 — Vote qui s’exprime par un engagement de créance</w:t>
      </w:r>
    </w:p>
    <w:p w14:paraId="6B0E6C2D" w14:textId="30008D09" w:rsidR="00FB6EF5" w:rsidRPr="00C46716" w:rsidRDefault="00000000">
      <w:pPr>
        <w:pStyle w:val="FirstParagraph"/>
        <w:rPr>
          <w:lang w:val="fr-FR"/>
        </w:rPr>
      </w:pPr>
      <w:r w:rsidRPr="00C46716">
        <w:rPr>
          <w:lang w:val="fr-FR"/>
        </w:rPr>
        <w:t xml:space="preserve">Puisque voter et échanger ne font qu'un, le vote n'est pas </w:t>
      </w:r>
      <w:r w:rsidR="00892128">
        <w:rPr>
          <w:lang w:val="fr-FR"/>
        </w:rPr>
        <w:t xml:space="preserve">seulement </w:t>
      </w:r>
      <w:r w:rsidRPr="00C46716">
        <w:rPr>
          <w:lang w:val="fr-FR"/>
        </w:rPr>
        <w:t xml:space="preserve">une opinion déclarée mais </w:t>
      </w:r>
      <w:r w:rsidR="00892128">
        <w:rPr>
          <w:lang w:val="fr-FR"/>
        </w:rPr>
        <w:t xml:space="preserve">il peut également devenir </w:t>
      </w:r>
      <w:r w:rsidRPr="00C46716">
        <w:rPr>
          <w:lang w:val="fr-FR"/>
        </w:rPr>
        <w:t>un acte engageant. Un Membre soutient un projet en engageant une part de sa position dans le réseau, inscrite au graphe des échanges. Ce vote est donc une transaction — et, parce qu'il coûte quelque chose, il est sincère par construction : nul ne peut soutenir sans limite ce qui lui importe peu.</w:t>
      </w:r>
    </w:p>
    <w:p w14:paraId="2358F588" w14:textId="4E08C56B" w:rsidR="00FB6EF5" w:rsidRPr="00C46716" w:rsidRDefault="00000000">
      <w:pPr>
        <w:pStyle w:val="Corpsdetexte"/>
        <w:rPr>
          <w:lang w:val="fr-FR"/>
        </w:rPr>
      </w:pPr>
      <w:r w:rsidRPr="00C46716">
        <w:rPr>
          <w:lang w:val="fr-FR"/>
        </w:rPr>
        <w:t xml:space="preserve">Ce mécanisme est aussi égalitaire, et cela tient à la symétrie autour de zéro. La capacité de vote d'un Membre dépend de sa marge d'engagement : elle est maximale lorsque son solde est nul et s'annule à mesure qu'il sature son exposition. Il en résulte qu'accumuler une position créditrice ne procure aucun pouvoir de décision supplémentaire — la richesse </w:t>
      </w:r>
      <w:r w:rsidR="00745F91">
        <w:rPr>
          <w:lang w:val="fr-FR"/>
        </w:rPr>
        <w:t>excédentaire</w:t>
      </w:r>
      <w:r w:rsidRPr="00C46716">
        <w:rPr>
          <w:lang w:val="fr-FR"/>
        </w:rPr>
        <w:t xml:space="preserve"> ne se convertit pas en influence.</w:t>
      </w:r>
      <w:r w:rsidR="00745F91">
        <w:rPr>
          <w:lang w:val="fr-FR"/>
        </w:rPr>
        <w:t xml:space="preserve"> La richesse limitée oblige à faire de vrais choix dans l’ordonnancement des préférences. </w:t>
      </w:r>
    </w:p>
    <w:p w14:paraId="26D02D90" w14:textId="77777777" w:rsidR="00FB6EF5" w:rsidRPr="00C46716" w:rsidRDefault="00000000">
      <w:pPr>
        <w:pStyle w:val="Corpsdetexte"/>
        <w:rPr>
          <w:lang w:val="fr-FR"/>
        </w:rPr>
      </w:pPr>
      <w:r w:rsidRPr="00C46716">
        <w:rPr>
          <w:lang w:val="fr-FR"/>
        </w:rPr>
        <w:t>Enfin, les engagements de vote se compensent en cycles, exactement comme les échanges. Le soutien qu'un Membre accorde aux projets d'autrui et celui qu'autrui accorde au sien se referment réciproquement. Lorsqu'un soutien ne trouve pas de contrepartie bilatérale immédiate, il est versé dans un pool de compensation qui recherche des boucles de soutien plus longues, sous le même plafond d'exposition (Article 12). Cette mutualisation sert à relier des soutiens dispersés qui, isolément, ne boucleraient pas ; elle ne crée pas de soutien là où il n'y en a pas, et ne finance donc jamais un projet que personne n'a choisi de soutenir. Elle permet juste au système de l’ensemble des projets financés de trouver son équilibre.</w:t>
      </w:r>
    </w:p>
    <w:p w14:paraId="1B70A7E9" w14:textId="2E2FDCB2" w:rsidR="00FB6EF5" w:rsidRPr="00C46716" w:rsidRDefault="00C46716" w:rsidP="00C46716">
      <w:pPr>
        <w:pStyle w:val="Titre1"/>
        <w:rPr>
          <w:lang w:val="fr-FR"/>
        </w:rPr>
      </w:pPr>
      <w:r w:rsidRPr="00C46716">
        <w:rPr>
          <w:lang w:val="fr-FR"/>
        </w:rPr>
        <w:t>Titre VII</w:t>
      </w:r>
      <w:r>
        <w:rPr>
          <w:lang w:val="fr-FR"/>
        </w:rPr>
        <w:t>I</w:t>
      </w:r>
      <w:r w:rsidRPr="00C46716">
        <w:rPr>
          <w:lang w:val="fr-FR"/>
        </w:rPr>
        <w:t xml:space="preserve"> — C</w:t>
      </w:r>
      <w:r>
        <w:rPr>
          <w:lang w:val="fr-FR"/>
        </w:rPr>
        <w:t xml:space="preserve">omptabilité </w:t>
      </w:r>
    </w:p>
    <w:p w14:paraId="4BE64AC5" w14:textId="77777777" w:rsidR="00FB6EF5" w:rsidRPr="00C46716" w:rsidRDefault="00000000">
      <w:pPr>
        <w:pStyle w:val="Corpsdetexte"/>
        <w:rPr>
          <w:lang w:val="fr-FR"/>
        </w:rPr>
      </w:pPr>
      <w:r w:rsidRPr="00C46716">
        <w:rPr>
          <w:lang w:val="fr-FR"/>
        </w:rPr>
        <w:t xml:space="preserve">Le présent Titre régit le traitement comptable du dispositif. Il repose sur une distinction cardinale, dont l'étanchéité conditionne la régularité, la sincérité et l'image fidèle des comptes (art. L. 123-14 du Code de commerce) : le </w:t>
      </w:r>
      <w:r w:rsidRPr="00C46716">
        <w:rPr>
          <w:b/>
          <w:bCs/>
          <w:lang w:val="fr-FR"/>
        </w:rPr>
        <w:t>bénéfice transactionnel</w:t>
      </w:r>
      <w:r w:rsidRPr="00C46716">
        <w:rPr>
          <w:lang w:val="fr-FR"/>
        </w:rPr>
        <w:t xml:space="preserve">, qui procède d'opérations économiques réelles entre Membres, relève de la comptabilité en partie double de droit commun ; le </w:t>
      </w:r>
      <w:r w:rsidRPr="00C46716">
        <w:rPr>
          <w:b/>
          <w:bCs/>
          <w:lang w:val="fr-FR"/>
        </w:rPr>
        <w:t>bénéfice ODD</w:t>
      </w:r>
      <w:r w:rsidRPr="00C46716">
        <w:rPr>
          <w:lang w:val="fr-FR"/>
        </w:rPr>
        <w:t>, qui procède d'une évaluation d'impact contrefactuelle, relève d'un suivi extra-financier hors bilan. Ces deux grandeurs ne se confondent jamais et ne migrent jamais de l'une à l'autre par le seul effet d'une écriture.</w:t>
      </w:r>
    </w:p>
    <w:p w14:paraId="5CCF3916"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23 — Les trois sphères comptables</w:t>
      </w:r>
    </w:p>
    <w:p w14:paraId="14CDF2D0" w14:textId="77777777" w:rsidR="00FB6EF5" w:rsidRPr="00C46716" w:rsidRDefault="00000000">
      <w:pPr>
        <w:pStyle w:val="Corpsdetexte"/>
        <w:rPr>
          <w:lang w:val="fr-FR"/>
        </w:rPr>
      </w:pPr>
      <w:r w:rsidRPr="00C46716">
        <w:rPr>
          <w:lang w:val="fr-FR"/>
        </w:rPr>
        <w:t>Le dispositif distingue rigoureusement trois sphères comptables, étanches entre elles :</w:t>
      </w:r>
    </w:p>
    <w:p w14:paraId="3BE8C5AB" w14:textId="77777777" w:rsidR="00FB6EF5" w:rsidRPr="00C46716" w:rsidRDefault="00000000">
      <w:pPr>
        <w:pStyle w:val="Corpsdetexte"/>
        <w:rPr>
          <w:lang w:val="fr-FR"/>
        </w:rPr>
      </w:pPr>
      <w:r w:rsidRPr="00C46716">
        <w:rPr>
          <w:b/>
          <w:bCs/>
          <w:lang w:val="fr-FR"/>
        </w:rPr>
        <w:t>a) La comptabilité ordinaire</w:t>
      </w:r>
      <w:r w:rsidRPr="00C46716">
        <w:rPr>
          <w:lang w:val="fr-FR"/>
        </w:rPr>
        <w:t xml:space="preserve"> enregistre, chez chaque Membre, les flux monétaires effectifs en euros (trésorerie, créances, dettes) selon le Plan comptable général.</w:t>
      </w:r>
    </w:p>
    <w:p w14:paraId="6BF3FC1F" w14:textId="77777777" w:rsidR="00FB6EF5" w:rsidRPr="00C46716" w:rsidRDefault="00000000">
      <w:pPr>
        <w:pStyle w:val="Corpsdetexte"/>
        <w:rPr>
          <w:lang w:val="fr-FR"/>
        </w:rPr>
      </w:pPr>
      <w:r w:rsidRPr="00C46716">
        <w:rPr>
          <w:b/>
          <w:bCs/>
          <w:lang w:val="fr-FR"/>
        </w:rPr>
        <w:t>b) Le registre du graphe d'échange</w:t>
      </w:r>
      <w:r w:rsidRPr="00C46716">
        <w:rPr>
          <w:lang w:val="fr-FR"/>
        </w:rPr>
        <w:t xml:space="preserve"> (Art. 7 à 9) retrace les engagements réciproques entre Membres, exprimés en unités internes, de sorte que la somme algébrique des soldes demeure constamment nulle (∑ s</w:t>
      </w:r>
      <w:r>
        <w:t>ᵢ</w:t>
      </w:r>
      <w:r w:rsidRPr="00C46716">
        <w:rPr>
          <w:lang w:val="fr-FR"/>
        </w:rPr>
        <w:t xml:space="preserve"> = 0). Aucune somme en euros n'y transite.</w:t>
      </w:r>
    </w:p>
    <w:p w14:paraId="0A1C2AA6" w14:textId="77777777" w:rsidR="00FB6EF5" w:rsidRPr="00C46716" w:rsidRDefault="00000000">
      <w:pPr>
        <w:pStyle w:val="Corpsdetexte"/>
        <w:rPr>
          <w:lang w:val="fr-FR"/>
        </w:rPr>
      </w:pPr>
      <w:r w:rsidRPr="00C46716">
        <w:rPr>
          <w:b/>
          <w:bCs/>
          <w:lang w:val="fr-FR"/>
        </w:rPr>
        <w:t>c) L'état hors bilan des grandeurs civilisationnelles</w:t>
      </w:r>
      <w:r w:rsidRPr="00C46716">
        <w:rPr>
          <w:lang w:val="fr-FR"/>
        </w:rPr>
        <w:t xml:space="preserve"> suit, à titre extra-financier, les bénéfices ODD constatés. Ces grandeurs sont des indicateurs certifiés, jamais des produits ou des actifs comptables.</w:t>
      </w:r>
    </w:p>
    <w:p w14:paraId="759CDFAB" w14:textId="77777777" w:rsidR="00FB6EF5" w:rsidRPr="00C46716" w:rsidRDefault="00000000">
      <w:pPr>
        <w:pStyle w:val="Corpsdetexte"/>
        <w:rPr>
          <w:lang w:val="fr-FR"/>
        </w:rPr>
      </w:pPr>
      <w:r w:rsidRPr="00C46716">
        <w:rPr>
          <w:lang w:val="fr-FR"/>
        </w:rPr>
        <w:t>Aucune grandeur civilisationnelle ne produit, par sa seule inscription, un actif, un produit, ou un moyen de règlement.</w:t>
      </w:r>
    </w:p>
    <w:p w14:paraId="1E3D9A42"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24 — Le bénéfice transactionnel : comptabilité en partie double de droit commun</w:t>
      </w:r>
    </w:p>
    <w:p w14:paraId="3C53A89F" w14:textId="77777777" w:rsidR="00FB6EF5" w:rsidRPr="00C46716" w:rsidRDefault="00000000">
      <w:pPr>
        <w:pStyle w:val="Corpsdetexte"/>
        <w:rPr>
          <w:lang w:val="fr-FR"/>
        </w:rPr>
      </w:pPr>
      <w:r w:rsidRPr="00C46716">
        <w:rPr>
          <w:lang w:val="fr-FR"/>
        </w:rPr>
        <w:t xml:space="preserve">Toute transaction réalisée dans le graphe est une opération économique réelle : un Membre fournit un bien ou un service, un autre le reçoit. Elle comporte donc, du côté du fournisseur, un </w:t>
      </w:r>
      <w:r w:rsidRPr="00C46716">
        <w:rPr>
          <w:b/>
          <w:bCs/>
          <w:lang w:val="fr-FR"/>
        </w:rPr>
        <w:t>produit réel</w:t>
      </w:r>
      <w:r w:rsidRPr="00C46716">
        <w:rPr>
          <w:lang w:val="fr-FR"/>
        </w:rPr>
        <w:t xml:space="preserve">, et du côté du bénéficiaire, une </w:t>
      </w:r>
      <w:r w:rsidRPr="00C46716">
        <w:rPr>
          <w:b/>
          <w:bCs/>
          <w:lang w:val="fr-FR"/>
        </w:rPr>
        <w:t>charge réelle</w:t>
      </w:r>
      <w:r w:rsidRPr="00C46716">
        <w:rPr>
          <w:lang w:val="fr-FR"/>
        </w:rPr>
        <w:t>, assortis de la créance et de la dette correspondantes.</w:t>
      </w:r>
    </w:p>
    <w:p w14:paraId="7078C303" w14:textId="77777777" w:rsidR="00FB6EF5" w:rsidRPr="00C46716" w:rsidRDefault="00000000">
      <w:pPr>
        <w:pStyle w:val="Corpsdetexte"/>
        <w:rPr>
          <w:lang w:val="fr-FR"/>
        </w:rPr>
      </w:pPr>
      <w:r w:rsidRPr="00C46716">
        <w:rPr>
          <w:lang w:val="fr-FR"/>
        </w:rPr>
        <w:t xml:space="preserve">Chaque Membre enregistre ces deux faces dans sa comptabilité de droit commun, en partie double : le produit au compte de résultat du fournisseur, la charge (ou l'immobilisation) chez le bénéficiaire, et les positions réciproques en comptes de tiers. Le fait que le règlement s'opère par compensation au sein du graphe, et non par un transfert d'euros, ne modifie ni la nature ni la substance économique de l'opération : </w:t>
      </w:r>
      <w:r w:rsidRPr="00C46716">
        <w:rPr>
          <w:b/>
          <w:bCs/>
          <w:lang w:val="fr-FR"/>
        </w:rPr>
        <w:t>la compensation change le mode de règlement, non la réalité de la transaction.</w:t>
      </w:r>
    </w:p>
    <w:p w14:paraId="63DE2F77" w14:textId="77777777" w:rsidR="00FB6EF5" w:rsidRPr="00C46716" w:rsidRDefault="00000000">
      <w:pPr>
        <w:pStyle w:val="Corpsdetexte"/>
        <w:rPr>
          <w:lang w:val="fr-FR"/>
        </w:rPr>
      </w:pPr>
      <w:r w:rsidRPr="00C46716">
        <w:rPr>
          <w:lang w:val="fr-FR"/>
        </w:rPr>
        <w:t>Il en résulte que le bénéfice transactionnel entre dans les produits d'exploitation du Membre fournisseur, avec les conséquences de droit commun qui s'y attachent. Le traitement fiscal et social de ces produits dépend du statut de chaque Membre (professionnel ou non), du véhicule porteur, du domaine d'activité et du territoire ; il est apprécié séparément, sous le conseil d'un professionnel, et ne relève pas du présent contrat.</w:t>
      </w:r>
    </w:p>
    <w:p w14:paraId="5DCFDF4A"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25 — Le bénéfice ODD : suivi hors bilan, jamais au crédit</w:t>
      </w:r>
    </w:p>
    <w:p w14:paraId="0AB60BC7" w14:textId="77777777" w:rsidR="00FB6EF5" w:rsidRPr="00C46716" w:rsidRDefault="00000000">
      <w:pPr>
        <w:pStyle w:val="Corpsdetexte"/>
        <w:rPr>
          <w:lang w:val="fr-FR"/>
        </w:rPr>
      </w:pPr>
      <w:r w:rsidRPr="00C46716">
        <w:rPr>
          <w:lang w:val="fr-FR"/>
        </w:rPr>
        <w:t xml:space="preserve">Le bénéfice ODD — destruction future évitée, capacité nouvelle créée — est de nature contrefactuelle et non réalisée. Conformément aux principes de prudence et de réalisation, il </w:t>
      </w:r>
      <w:r w:rsidRPr="00C46716">
        <w:rPr>
          <w:b/>
          <w:bCs/>
          <w:lang w:val="fr-FR"/>
        </w:rPr>
        <w:t>n'est en aucun cas porté au crédit d'une écriture en partie double</w:t>
      </w:r>
      <w:r w:rsidRPr="00C46716">
        <w:rPr>
          <w:lang w:val="fr-FR"/>
        </w:rPr>
        <w:t>, ni inscrit à l'actif, ni comptabilisé en produit.</w:t>
      </w:r>
    </w:p>
    <w:p w14:paraId="04EE885F" w14:textId="77777777" w:rsidR="00FB6EF5" w:rsidRPr="00C46716" w:rsidRDefault="00000000">
      <w:pPr>
        <w:pStyle w:val="Corpsdetexte"/>
        <w:rPr>
          <w:lang w:val="fr-FR"/>
        </w:rPr>
      </w:pPr>
      <w:r w:rsidRPr="00C46716">
        <w:rPr>
          <w:lang w:val="fr-FR"/>
        </w:rPr>
        <w:t>Il est suivi exclusivement dans l'état hors bilan des grandeurs civilisationnelles, en cohérence avec le critère extra-comptable de l'Article 20. Cet état recense, opération par opération, le coût réel engagé, le bénéfice ODD évalué selon les méthodologies reconnues (ICAT, IIED, comptabilité des écosystèmes SEEA-EA), et la valeur civilisationnelle nette qui en résulte, sans recours à un taux d'actualisation financier.</w:t>
      </w:r>
    </w:p>
    <w:p w14:paraId="4DF24508" w14:textId="77777777" w:rsidR="00FB6EF5" w:rsidRPr="00C46716" w:rsidRDefault="00000000">
      <w:pPr>
        <w:pStyle w:val="Corpsdetexte"/>
        <w:rPr>
          <w:lang w:val="fr-FR"/>
        </w:rPr>
      </w:pPr>
      <w:r w:rsidRPr="00C46716">
        <w:rPr>
          <w:lang w:val="fr-FR"/>
        </w:rPr>
        <w:t xml:space="preserve">Cette valeur est un </w:t>
      </w:r>
      <w:r w:rsidRPr="00C46716">
        <w:rPr>
          <w:i/>
          <w:iCs/>
          <w:lang w:val="fr-FR"/>
        </w:rPr>
        <w:t>indicateur de performance extra-financière</w:t>
      </w:r>
      <w:r w:rsidRPr="00C46716">
        <w:rPr>
          <w:lang w:val="fr-FR"/>
        </w:rPr>
        <w:t>, mobilisable dans les rapports de durabilité (directive (UE) 2022/2464 dite CSRD ; art. L. 232-6-3 et R. 225-105 du Code de commerce). Elle n'est jamais un solde de compte de résultat.</w:t>
      </w:r>
    </w:p>
    <w:p w14:paraId="624F174D"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26 — Les postes comptables comme source et comme destination</w:t>
      </w:r>
    </w:p>
    <w:p w14:paraId="0F3DC52F" w14:textId="77777777" w:rsidR="00FB6EF5" w:rsidRPr="00C46716" w:rsidRDefault="00000000">
      <w:pPr>
        <w:pStyle w:val="Corpsdetexte"/>
        <w:rPr>
          <w:lang w:val="fr-FR"/>
        </w:rPr>
      </w:pPr>
      <w:r w:rsidRPr="00C46716">
        <w:rPr>
          <w:lang w:val="fr-FR"/>
        </w:rPr>
        <w:t>La séparation opérée aux Articles 23 à 25 rend au dispositif le plein usage de la comptabilité générale, dans les deux sens.</w:t>
      </w:r>
    </w:p>
    <w:p w14:paraId="4FC2583E" w14:textId="77777777" w:rsidR="00FB6EF5" w:rsidRPr="00C46716" w:rsidRDefault="00000000">
      <w:pPr>
        <w:pStyle w:val="Corpsdetexte"/>
        <w:rPr>
          <w:lang w:val="fr-FR"/>
        </w:rPr>
      </w:pPr>
      <w:r w:rsidRPr="00C46716">
        <w:rPr>
          <w:lang w:val="fr-FR"/>
        </w:rPr>
        <w:t xml:space="preserve">En </w:t>
      </w:r>
      <w:r w:rsidRPr="00C46716">
        <w:rPr>
          <w:b/>
          <w:bCs/>
          <w:lang w:val="fr-FR"/>
        </w:rPr>
        <w:t>source</w:t>
      </w:r>
      <w:r w:rsidRPr="00C46716">
        <w:rPr>
          <w:lang w:val="fr-FR"/>
        </w:rPr>
        <w:t>, l'information contenue dans les postes comptables d'un Membre — créances ouvertes, stocks, immobilisations sous-employées, capacités de production disponibles — révèle les transactions réelles qu'il peut nouer dans le graphe. Un poste réel adosse ainsi l'engagement que le Membre inscrit.</w:t>
      </w:r>
    </w:p>
    <w:p w14:paraId="6DC016E4" w14:textId="77777777" w:rsidR="00FB6EF5" w:rsidRPr="00C46716" w:rsidRDefault="00000000">
      <w:pPr>
        <w:pStyle w:val="Corpsdetexte"/>
        <w:rPr>
          <w:lang w:val="fr-FR"/>
        </w:rPr>
      </w:pPr>
      <w:r w:rsidRPr="00C46716">
        <w:rPr>
          <w:lang w:val="fr-FR"/>
        </w:rPr>
        <w:t xml:space="preserve">En </w:t>
      </w:r>
      <w:r w:rsidRPr="00C46716">
        <w:rPr>
          <w:b/>
          <w:bCs/>
          <w:lang w:val="fr-FR"/>
        </w:rPr>
        <w:t>destination</w:t>
      </w:r>
      <w:r w:rsidRPr="00C46716">
        <w:rPr>
          <w:lang w:val="fr-FR"/>
        </w:rPr>
        <w:t>, la transaction réelle, une fois nouée et compensée dans le graphe, s’inscrit dans les livres de chaque Membre en produits, charges, créances et dettes, où elle hérite de l'outillage comptable de droit commun (amortissements, provisions, immobilisations, ventilation analytique).</w:t>
      </w:r>
    </w:p>
    <w:p w14:paraId="7D3B16E5" w14:textId="77777777" w:rsidR="00FB6EF5" w:rsidRPr="00C46716" w:rsidRDefault="00000000">
      <w:pPr>
        <w:pStyle w:val="Corpsdetexte"/>
        <w:rPr>
          <w:lang w:val="fr-FR"/>
        </w:rPr>
      </w:pPr>
      <w:r w:rsidRPr="00C46716">
        <w:rPr>
          <w:lang w:val="fr-FR"/>
        </w:rPr>
        <w:t xml:space="preserve">Cette double fonction ne vaut que pour des </w:t>
      </w:r>
      <w:r w:rsidRPr="00C46716">
        <w:rPr>
          <w:b/>
          <w:bCs/>
          <w:lang w:val="fr-FR"/>
        </w:rPr>
        <w:t>opérations réelles</w:t>
      </w:r>
      <w:r w:rsidRPr="00C46716">
        <w:rPr>
          <w:lang w:val="fr-FR"/>
        </w:rPr>
        <w:t>. Un poste comptable réel peut être source ou destination ; une grandeur civilisationnelle contrefactuelle ne peut jamais l'être, et demeure hors bilan. La frontière source/destination se tient toujours du côté du réel.</w:t>
      </w:r>
    </w:p>
    <w:p w14:paraId="5EEA48F3"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27 — Connectivité des postes et détection des cycles de compensation</w:t>
      </w:r>
    </w:p>
    <w:p w14:paraId="5CFD728F" w14:textId="77777777" w:rsidR="00FB6EF5" w:rsidRPr="00C46716" w:rsidRDefault="00000000">
      <w:pPr>
        <w:pStyle w:val="Corpsdetexte"/>
        <w:rPr>
          <w:lang w:val="fr-FR"/>
        </w:rPr>
      </w:pPr>
      <w:r w:rsidRPr="00C46716">
        <w:rPr>
          <w:lang w:val="fr-FR"/>
        </w:rPr>
        <w:t>L'étude de la connectivité des postes comptables — réflexivité, symétrie, transitivité des relations de créance et de dette — sert de moteur à la découverte des cycles de compensation latents au sein du réseau. Elle est valable pour la comptabilité privée autant que pour la comptabilité publique.</w:t>
      </w:r>
    </w:p>
    <w:p w14:paraId="0220C174" w14:textId="77777777" w:rsidR="00FB6EF5" w:rsidRPr="00C46716" w:rsidRDefault="00000000">
      <w:pPr>
        <w:pStyle w:val="Corpsdetexte"/>
        <w:rPr>
          <w:lang w:val="fr-FR"/>
        </w:rPr>
      </w:pPr>
      <w:r w:rsidRPr="00C46716">
        <w:rPr>
          <w:lang w:val="fr-FR"/>
        </w:rPr>
        <w:t xml:space="preserve">La fermeture transitive appliquée au graphe des positions </w:t>
      </w:r>
      <w:r w:rsidRPr="00C46716">
        <w:rPr>
          <w:b/>
          <w:bCs/>
          <w:lang w:val="fr-FR"/>
        </w:rPr>
        <w:t>révèle</w:t>
      </w:r>
      <w:r w:rsidRPr="00C46716">
        <w:rPr>
          <w:lang w:val="fr-FR"/>
        </w:rPr>
        <w:t xml:space="preserve"> les chemins réciproques par lesquels des dettes peuvent se compenser (si A doit à B et B à C, la recherche identifie le retour possible de C vers A). Cette révélation est un acte d'information, et non de création : elle met en évidence des réciprocités existant en puissance, sans nouer par elle-même aucune obligation.</w:t>
      </w:r>
    </w:p>
    <w:p w14:paraId="3DAA2907" w14:textId="77777777" w:rsidR="00FB6EF5" w:rsidRPr="00C46716" w:rsidRDefault="00000000">
      <w:pPr>
        <w:pStyle w:val="Corpsdetexte"/>
        <w:rPr>
          <w:lang w:val="fr-FR"/>
        </w:rPr>
      </w:pPr>
      <w:r w:rsidRPr="00C46716">
        <w:rPr>
          <w:lang w:val="fr-FR"/>
        </w:rPr>
        <w:t>Un lien ainsi révélé ne devient effectif que lorsqu'il correspond à une transaction réelle, acceptée par les Membres concernés et inscrite conformément à l'Article 9. La détection propose ; l'acceptation réelle valide ; l'inscription enregistre. En aucun cas la fermeture transitive ne crée directement une créance entre deux patrimoines qui ne se devaient rien.</w:t>
      </w:r>
    </w:p>
    <w:p w14:paraId="43F4B9A0"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28 — Compensation cyclique et résorption des dettes réciproques</w:t>
      </w:r>
    </w:p>
    <w:p w14:paraId="1E8215EE" w14:textId="77777777" w:rsidR="00FB6EF5" w:rsidRPr="00C46716" w:rsidRDefault="00000000">
      <w:pPr>
        <w:pStyle w:val="Corpsdetexte"/>
        <w:rPr>
          <w:lang w:val="fr-FR"/>
        </w:rPr>
      </w:pPr>
      <w:r w:rsidRPr="00C46716">
        <w:rPr>
          <w:lang w:val="fr-FR"/>
        </w:rPr>
        <w:t xml:space="preserve">La fermeture d'un cycle annule les obligations réciproques qui le composent (Art. 8). Sur l'ensemble du réseau, la compensation cyclique résorbe les dettes </w:t>
      </w:r>
      <w:r w:rsidRPr="00C46716">
        <w:rPr>
          <w:b/>
          <w:bCs/>
          <w:lang w:val="fr-FR"/>
        </w:rPr>
        <w:t>à hauteur exacte des chemins réciproques trouvés</w:t>
      </w:r>
      <w:r w:rsidRPr="00C46716">
        <w:rPr>
          <w:lang w:val="fr-FR"/>
        </w:rPr>
        <w:t xml:space="preserve"> : tout engagement appartenant à une boucle fermée s'éteint contre sa contrepartie.</w:t>
      </w:r>
    </w:p>
    <w:p w14:paraId="7F900706" w14:textId="77777777" w:rsidR="00FB6EF5" w:rsidRPr="00C46716" w:rsidRDefault="00000000">
      <w:pPr>
        <w:pStyle w:val="Corpsdetexte"/>
        <w:rPr>
          <w:lang w:val="fr-FR"/>
        </w:rPr>
      </w:pPr>
      <w:r w:rsidRPr="00C46716">
        <w:rPr>
          <w:lang w:val="fr-FR"/>
        </w:rPr>
        <w:t xml:space="preserve">Cette résorption réduit le montant </w:t>
      </w:r>
      <w:r w:rsidRPr="00C46716">
        <w:rPr>
          <w:b/>
          <w:bCs/>
          <w:lang w:val="fr-FR"/>
        </w:rPr>
        <w:t>brut</w:t>
      </w:r>
      <w:r w:rsidRPr="00C46716">
        <w:rPr>
          <w:lang w:val="fr-FR"/>
        </w:rPr>
        <w:t xml:space="preserve"> des créances et dettes croisées entre Membres, et donc le besoin de trésorerie nécessaire à leur dénouement, sans mobiliser d'argent frais. Elle laisse en revanche inchangée toute dette </w:t>
      </w:r>
      <w:r w:rsidRPr="00C46716">
        <w:rPr>
          <w:b/>
          <w:bCs/>
          <w:lang w:val="fr-FR"/>
        </w:rPr>
        <w:t>nette</w:t>
      </w:r>
      <w:r w:rsidRPr="00C46716">
        <w:rPr>
          <w:lang w:val="fr-FR"/>
        </w:rPr>
        <w:t xml:space="preserve"> contractée envers un tiers extérieur au réseau, laquelle, faute de contrepartie miroir dans le graphe, n'appartient à aucun cycle et ne peut être éteinte par compensation.</w:t>
      </w:r>
    </w:p>
    <w:p w14:paraId="536A80E4" w14:textId="77777777" w:rsidR="00FB6EF5" w:rsidRPr="00C46716" w:rsidRDefault="00000000" w:rsidP="00911EBB">
      <w:pPr>
        <w:pStyle w:val="Normalcentr"/>
        <w:ind w:left="0"/>
        <w:rPr>
          <w:lang w:val="fr-FR"/>
        </w:rPr>
      </w:pPr>
      <w:r w:rsidRPr="00C46716">
        <w:rPr>
          <w:b/>
          <w:bCs/>
          <w:lang w:val="fr-FR"/>
        </w:rPr>
        <w:t>Précision.</w:t>
      </w:r>
      <w:r w:rsidRPr="00C46716">
        <w:rPr>
          <w:lang w:val="fr-FR"/>
        </w:rPr>
        <w:t xml:space="preserve"> Le dispositif réduit le brut des dettes réciproques internes ; il ne diminue pas la dette nette du réseau envers l'extérieur. Toute présentation de ses effets distingue expressément ces deux grandeurs.</w:t>
      </w:r>
    </w:p>
    <w:p w14:paraId="37DF93A7" w14:textId="77777777" w:rsidR="00FB6EF5" w:rsidRPr="00C46716" w:rsidRDefault="00000000">
      <w:pPr>
        <w:pStyle w:val="FirstParagraph"/>
        <w:rPr>
          <w:color w:val="0070C0"/>
          <w:sz w:val="28"/>
          <w:szCs w:val="28"/>
          <w:lang w:val="fr-FR"/>
        </w:rPr>
      </w:pPr>
      <w:r w:rsidRPr="00C46716">
        <w:rPr>
          <w:b/>
          <w:bCs/>
          <w:color w:val="0070C0"/>
          <w:sz w:val="28"/>
          <w:szCs w:val="28"/>
          <w:lang w:val="fr-FR"/>
        </w:rPr>
        <w:t>Article 29 — Tenue, intégrité et valeur probante des registres</w:t>
      </w:r>
    </w:p>
    <w:p w14:paraId="17304BEE" w14:textId="77777777" w:rsidR="00FB6EF5" w:rsidRPr="00C46716" w:rsidRDefault="00000000">
      <w:pPr>
        <w:pStyle w:val="Corpsdetexte"/>
        <w:rPr>
          <w:lang w:val="fr-FR"/>
        </w:rPr>
      </w:pPr>
      <w:r w:rsidRPr="00C46716">
        <w:rPr>
          <w:lang w:val="fr-FR"/>
        </w:rPr>
        <w:t>Le registre du graphe et l'état hors bilan des grandeurs civilisationnelles respectent, par analogie, les garanties d'intégrité des articles 420-1 à 420-5 du Plan comptable général : intangibilité et irréversibilité des inscriptions validées, toute correction s'opérant par contre-passation horodatée ; permanence du chemin de révision, chaque inscription étant reliée à sa pièce justificative et, pour l'état hors bilan, au rapport d'impact certifié correspondant ; numérotation chronologique et unicité du fichier par exercice.</w:t>
      </w:r>
    </w:p>
    <w:p w14:paraId="32DDB045" w14:textId="77777777" w:rsidR="00FB6EF5" w:rsidRPr="00C46716" w:rsidRDefault="00000000">
      <w:pPr>
        <w:pStyle w:val="Corpsdetexte"/>
        <w:rPr>
          <w:lang w:val="fr-FR"/>
        </w:rPr>
      </w:pPr>
      <w:r w:rsidRPr="00C46716">
        <w:rPr>
          <w:lang w:val="fr-FR"/>
        </w:rPr>
        <w:t>Le registre, tenu sur support durable et horodaté, assorti d'un procédé d'identification fiable, fait foi des inscriptions dans les conditions des articles 1365 et 1366 du Code civil. Le système support interdit toute suppression ou modification d'une inscription validée.</w:t>
      </w:r>
    </w:p>
    <w:p w14:paraId="7DC0137D"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30 — Reddition de comptes</w:t>
      </w:r>
    </w:p>
    <w:p w14:paraId="4CB8AD1A" w14:textId="77777777" w:rsidR="00FB6EF5" w:rsidRPr="00C46716" w:rsidRDefault="00000000">
      <w:pPr>
        <w:pStyle w:val="Corpsdetexte"/>
        <w:rPr>
          <w:lang w:val="fr-FR"/>
        </w:rPr>
      </w:pPr>
      <w:r w:rsidRPr="00C46716">
        <w:rPr>
          <w:lang w:val="fr-FR"/>
        </w:rPr>
        <w:t xml:space="preserve">L'entité porteuse et, le cas échéant, chaque Membre produisent des comptes ordinaires donnant une image fidèle des transactions réelles et de leurs soldes. Il est produit, en outre, un </w:t>
      </w:r>
      <w:r w:rsidRPr="00C46716">
        <w:rPr>
          <w:b/>
          <w:bCs/>
          <w:lang w:val="fr-FR"/>
        </w:rPr>
        <w:t>rapport extra-comptable distinct</w:t>
      </w:r>
      <w:r w:rsidRPr="00C46716">
        <w:rPr>
          <w:lang w:val="fr-FR"/>
        </w:rPr>
        <w:t>, présentant les grandeurs civilisationnelles suivies hors bilan — par ODD, par territoire, par contributeur et par période — ainsi que la valeur civilisationnelle nette de l'exercice.</w:t>
      </w:r>
    </w:p>
    <w:p w14:paraId="63D5A0AD" w14:textId="77777777" w:rsidR="00FB6EF5" w:rsidRPr="00C46716" w:rsidRDefault="00000000">
      <w:pPr>
        <w:pStyle w:val="Corpsdetexte"/>
        <w:rPr>
          <w:lang w:val="fr-FR"/>
        </w:rPr>
      </w:pPr>
      <w:r w:rsidRPr="00C46716">
        <w:rPr>
          <w:lang w:val="fr-FR"/>
        </w:rPr>
        <w:t>Le rapport extra-comptable précise expressément qu'il présente des grandeurs extra-financières hors bilan, non des produits ou actifs comptables, et renvoie aux comptes ordinaires pour les flux réels. Il peut alimenter les rapports de durabilité et les rapports publics de progression vers les ODD.</w:t>
      </w:r>
    </w:p>
    <w:p w14:paraId="1581EBB6" w14:textId="77777777" w:rsidR="00FB6EF5" w:rsidRPr="00C46716" w:rsidRDefault="00000000">
      <w:pPr>
        <w:pStyle w:val="Corpsdetexte"/>
        <w:rPr>
          <w:color w:val="0070C0"/>
          <w:sz w:val="28"/>
          <w:szCs w:val="28"/>
          <w:lang w:val="fr-FR"/>
        </w:rPr>
      </w:pPr>
      <w:r w:rsidRPr="00C46716">
        <w:rPr>
          <w:b/>
          <w:bCs/>
          <w:color w:val="0070C0"/>
          <w:sz w:val="28"/>
          <w:szCs w:val="28"/>
          <w:lang w:val="fr-FR"/>
        </w:rPr>
        <w:t>Article 31 — Réserve de conformité comptable</w:t>
      </w:r>
    </w:p>
    <w:p w14:paraId="343C56F2" w14:textId="77777777" w:rsidR="00FB6EF5" w:rsidRPr="00C46716" w:rsidRDefault="00000000">
      <w:pPr>
        <w:pStyle w:val="Corpsdetexte"/>
        <w:rPr>
          <w:lang w:val="fr-FR"/>
        </w:rPr>
      </w:pPr>
      <w:r w:rsidRPr="00C46716">
        <w:rPr>
          <w:lang w:val="fr-FR"/>
        </w:rPr>
        <w:t>Le présent Titre doit être validé par un expert-comptable et, pour la frontière avec les services de paiement (tenue de comptes de tiers, transfert de fonds), par un conseil en droit bancaire, avant toute mise en œuvre. La qualification définitive de chaque traitement dépendant de détails d'exécution, les stipulations du présent Titre s'appliquent sous réserve de cette validation et de l'Article 41 des clauses finales.</w:t>
      </w:r>
    </w:p>
    <w:p w14:paraId="09E053BD" w14:textId="77777777" w:rsidR="00FB6EF5" w:rsidRPr="00C46716" w:rsidRDefault="00000000">
      <w:pPr>
        <w:pStyle w:val="Titre1"/>
        <w:rPr>
          <w:lang w:val="fr-FR"/>
        </w:rPr>
      </w:pPr>
      <w:bookmarkStart w:id="35" w:name="titre-ix-gouvernance"/>
      <w:bookmarkEnd w:id="31"/>
      <w:bookmarkEnd w:id="34"/>
      <w:r w:rsidRPr="00C46716">
        <w:rPr>
          <w:lang w:val="fr-FR"/>
        </w:rPr>
        <w:t>Titre IX — Gouvernance</w:t>
      </w:r>
    </w:p>
    <w:p w14:paraId="7DF93A9F" w14:textId="77777777" w:rsidR="00FB6EF5" w:rsidRPr="00C46716" w:rsidRDefault="00000000">
      <w:pPr>
        <w:pStyle w:val="FirstParagraph"/>
        <w:rPr>
          <w:lang w:val="fr-FR"/>
        </w:rPr>
      </w:pPr>
      <w:r w:rsidRPr="00C46716">
        <w:rPr>
          <w:lang w:val="fr-FR"/>
        </w:rPr>
        <w:t>Le présent Titre institue l’Organe de Gouvernance, définit sa nature, sa composition et ses missions, et encadre strictement ses pouvoirs. L’Organe administre le dispositif sans jamais en altérer les invariants : il met à disposition les outils de transmission, veille à la bonne tenue algorithmique du graphe, contrôle les opérations, anime le réseau et rend compte, mais il ne dispose ni du Capital d’Ancrage, ni des soldes, ni des unités internes, dont la nature et les limites sont fixées aux Titres précédents.</w:t>
      </w:r>
    </w:p>
    <w:p w14:paraId="5D4AD21B" w14:textId="77777777" w:rsidR="00FB6EF5" w:rsidRPr="00C46716" w:rsidRDefault="00000000">
      <w:pPr>
        <w:pStyle w:val="Titre2"/>
        <w:rPr>
          <w:lang w:val="fr-FR"/>
        </w:rPr>
      </w:pPr>
      <w:bookmarkStart w:id="36" w:name="Xa901437637f5316d08ea773a2a877ed6021a20b"/>
      <w:r w:rsidRPr="00C46716">
        <w:rPr>
          <w:lang w:val="fr-FR"/>
        </w:rPr>
        <w:t>Article 32 — Nature, composition et mission de l’Organe de Gouvernance</w:t>
      </w:r>
    </w:p>
    <w:p w14:paraId="1A6B48D3" w14:textId="77777777" w:rsidR="00FB6EF5" w:rsidRPr="00C46716" w:rsidRDefault="00000000">
      <w:pPr>
        <w:pStyle w:val="FirstParagraph"/>
        <w:rPr>
          <w:lang w:val="fr-FR"/>
        </w:rPr>
      </w:pPr>
      <w:r w:rsidRPr="00C46716">
        <w:rPr>
          <w:lang w:val="fr-FR"/>
        </w:rPr>
        <w:t xml:space="preserve">L’Organe de Gouvernance est l’organe par lequel la communauté des Membres administre le dispositif et agit en son nom (Préambule). Il est un administrateur au service du commun, et non un propriétaire : il n’exerce aucun </w:t>
      </w:r>
      <w:r w:rsidRPr="00C46716">
        <w:rPr>
          <w:i/>
          <w:iCs/>
          <w:lang w:val="fr-FR"/>
        </w:rPr>
        <w:t>abusus</w:t>
      </w:r>
      <w:r w:rsidRPr="00C46716">
        <w:rPr>
          <w:lang w:val="fr-FR"/>
        </w:rPr>
        <w:t>, ne détient aucun pouvoir de disposition sur le Capital d’Ancrage (Art. 2 et 3), ne crée ni n’éteint discrétionnairement aucune unité interne, et ne peut modifier aucun solde en dehors des mécanismes de compensation prévus aux Articles 8, 27 et 28.</w:t>
      </w:r>
    </w:p>
    <w:p w14:paraId="20D59986" w14:textId="77777777" w:rsidR="00FB6EF5" w:rsidRPr="00C46716" w:rsidRDefault="00000000">
      <w:pPr>
        <w:pStyle w:val="Corpsdetexte"/>
        <w:rPr>
          <w:lang w:val="fr-FR"/>
        </w:rPr>
      </w:pPr>
      <w:r w:rsidRPr="00C46716">
        <w:rPr>
          <w:lang w:val="fr-FR"/>
        </w:rPr>
        <w:t>Sa composition procède des Membres et respecte la symétrie qui fonde le dispositif : chaque Membre y dispose d’une voix égale, sans que l’ancienneté, le volume échangé ou une quelconque position créditrice ne confèrent de pouvoir supplémentaire (Titre IV ; Art. 22). Ses membres sont élus pour un mandat de durée déterminée, renouvelable et révocable selon une procédure contradictoire, dans les conditions fixées à l’Annexe 6. L’Organe peut se doter de comités spécialisés — technique, contrôle, animation — et recourir à des prestataires, sous sa responsabilité.</w:t>
      </w:r>
    </w:p>
    <w:p w14:paraId="3D6F7F79" w14:textId="77777777" w:rsidR="00FB6EF5" w:rsidRPr="00C46716" w:rsidRDefault="00000000">
      <w:pPr>
        <w:pStyle w:val="Corpsdetexte"/>
        <w:rPr>
          <w:lang w:val="fr-FR"/>
        </w:rPr>
      </w:pPr>
      <w:r w:rsidRPr="00C46716">
        <w:rPr>
          <w:lang w:val="fr-FR"/>
        </w:rPr>
        <w:t>Sa mission générale est quintuple : (i) mettre à disposition les outils de transmission numérique (Art. 33) ; (ii) assurer la bonne gestion algorithmique du graphe (Art. 34) ; (iii) contrôler la conformité des opérations (Art. 35) ; (iv) animer le réseau (Art. 36) ; (v) rendre compte annuellement de son activité (Art. 37). Il exerce ces missions dans le respect des Principes directeurs de la décision : l’acceptabilité (Principe I) prime la préférence (Principe II), et aucune considération de performance ne peut justifier une opération inacceptable.</w:t>
      </w:r>
    </w:p>
    <w:p w14:paraId="797A1DF8" w14:textId="77777777" w:rsidR="00FB6EF5" w:rsidRPr="00C46716" w:rsidRDefault="00000000">
      <w:pPr>
        <w:pStyle w:val="Corpsdetexte"/>
        <w:rPr>
          <w:lang w:val="fr-FR"/>
        </w:rPr>
      </w:pPr>
      <w:r w:rsidRPr="00C46716">
        <w:rPr>
          <w:lang w:val="fr-FR"/>
        </w:rPr>
        <w:t>Ses décisions sont bornées par le contrat : elles ne peuvent contrevenir à l’équilibre du graphe (∑ s</w:t>
      </w:r>
      <w:r>
        <w:t>ᵢ</w:t>
      </w:r>
      <w:r w:rsidRPr="00C46716">
        <w:rPr>
          <w:lang w:val="fr-FR"/>
        </w:rPr>
        <w:t xml:space="preserve"> = 0, Art. 7), aux fourchettes individuelles (Art. 11), au plafond d’exposition (∑ </w:t>
      </w:r>
      <w:r>
        <w:t>δᵢ</w:t>
      </w:r>
      <w:r w:rsidRPr="00C46716">
        <w:rPr>
          <w:lang w:val="fr-FR"/>
        </w:rPr>
        <w:t xml:space="preserve"> ≤ K, Art. 12), ni à la pureté du noyau (Art. 17). Les membres de l’Organe sont tenus à une obligation de bonne foi (art. 1104 du Code civil), de diligence et de prévention des conflits d’intérêts ; ils répondent de leurs fautes de gestion selon le droit commun.</w:t>
      </w:r>
    </w:p>
    <w:p w14:paraId="5CDCAB34" w14:textId="77777777" w:rsidR="00FB6EF5" w:rsidRPr="00C46716" w:rsidRDefault="00000000">
      <w:pPr>
        <w:pStyle w:val="Titre2"/>
        <w:rPr>
          <w:lang w:val="fr-FR"/>
        </w:rPr>
      </w:pPr>
      <w:bookmarkStart w:id="37" w:name="X97bfc517cc24ff0241d51ee573d03c46a35f9f0"/>
      <w:bookmarkEnd w:id="36"/>
      <w:r w:rsidRPr="00C46716">
        <w:rPr>
          <w:lang w:val="fr-FR"/>
        </w:rPr>
        <w:t>Article 33 — Outils de transmission numérique et infrastructure du registre</w:t>
      </w:r>
    </w:p>
    <w:p w14:paraId="18A0CA53" w14:textId="77777777" w:rsidR="00FB6EF5" w:rsidRPr="00C46716" w:rsidRDefault="00000000">
      <w:pPr>
        <w:pStyle w:val="FirstParagraph"/>
        <w:rPr>
          <w:lang w:val="fr-FR"/>
        </w:rPr>
      </w:pPr>
      <w:r w:rsidRPr="00C46716">
        <w:rPr>
          <w:lang w:val="fr-FR"/>
        </w:rPr>
        <w:t>L’Organe met à la disposition des Membres les outils numériques par lesquels ils déclarent leur offre et leur demande (Art. 6), inscrivent leurs engagements (Art. 9), consultent leur solde et l’état de leurs cycles, et expriment leur soutien aux Projets (Art. 22). Ces outils sont l’interface du registre du graphe (Art. 7 à 9) et de l’état hors bilan des grandeurs civilisationnelles (Art. 23).</w:t>
      </w:r>
    </w:p>
    <w:p w14:paraId="6B7EA339" w14:textId="77777777" w:rsidR="00FB6EF5" w:rsidRPr="00C46716" w:rsidRDefault="00000000">
      <w:pPr>
        <w:pStyle w:val="Corpsdetexte"/>
        <w:rPr>
          <w:lang w:val="fr-FR"/>
        </w:rPr>
      </w:pPr>
      <w:r w:rsidRPr="00C46716">
        <w:rPr>
          <w:lang w:val="fr-FR"/>
        </w:rPr>
        <w:t>L’infrastructure est tenue sur support durable et horodaté, assortie d’un procédé d’identification fiable et des garanties d’intégrité requises pour la valeur probante des inscriptions (Art. 29 et 39). Elle assure la sécurité des systèmes et la protection des données personnelles conformément à la réglementation applicable. Ces outils transmettent l’information et mesurent les échanges ; ils n’encaissent, ne détiennent ni ne transfèrent aucune somme en euros pour le compte de tiers, en cohérence avec la pureté du noyau (Art. 17).</w:t>
      </w:r>
    </w:p>
    <w:p w14:paraId="7448B013" w14:textId="77777777" w:rsidR="00FB6EF5" w:rsidRPr="00C46716" w:rsidRDefault="00000000">
      <w:pPr>
        <w:pStyle w:val="Corpsdetexte"/>
        <w:rPr>
          <w:lang w:val="fr-FR"/>
        </w:rPr>
      </w:pPr>
      <w:r w:rsidRPr="00C46716">
        <w:rPr>
          <w:lang w:val="fr-FR"/>
        </w:rPr>
        <w:t>L’Organe garantit l’accessibilité, l’interopérabilité et la portabilité : les Membres accèdent au dispositif sans dépendance à un fournisseur exclusif, et récupèrent à tout moment les données relatives à leurs propres positions, notamment en vue de leur sortie (Art. 15). Les spécifications techniques et les règles de fonctionnement des outils sont documentées et rendues consultables par les Membres.</w:t>
      </w:r>
    </w:p>
    <w:p w14:paraId="2397B82C" w14:textId="77777777" w:rsidR="00FB6EF5" w:rsidRPr="00C46716" w:rsidRDefault="00000000">
      <w:pPr>
        <w:pStyle w:val="Titre2"/>
        <w:rPr>
          <w:lang w:val="fr-FR"/>
        </w:rPr>
      </w:pPr>
      <w:bookmarkStart w:id="38" w:name="Xdd92dc6fdb139c5e1386ceff12f221ada5e398e"/>
      <w:bookmarkEnd w:id="37"/>
      <w:r w:rsidRPr="00C46716">
        <w:rPr>
          <w:lang w:val="fr-FR"/>
        </w:rPr>
        <w:t>Article 34 — Gestion algorithmique du graphe</w:t>
      </w:r>
    </w:p>
    <w:p w14:paraId="0E813FC9" w14:textId="77777777" w:rsidR="00FB6EF5" w:rsidRPr="00C46716" w:rsidRDefault="00000000">
      <w:pPr>
        <w:pStyle w:val="FirstParagraph"/>
        <w:rPr>
          <w:lang w:val="fr-FR"/>
        </w:rPr>
      </w:pPr>
      <w:r w:rsidRPr="00C46716">
        <w:rPr>
          <w:lang w:val="fr-FR"/>
        </w:rPr>
        <w:t xml:space="preserve">L’Organe opère les traitements algorithmiques qui tiennent le graphe (Art. 7), recherchent les cycles de compensation (Art. 8 et 27) et procèdent à la compensation cyclique (Art. 28), ainsi que la procédure de priorisation par vote de consensus dite </w:t>
      </w:r>
      <w:r w:rsidRPr="00C46716">
        <w:rPr>
          <w:i/>
          <w:iCs/>
          <w:lang w:val="fr-FR"/>
        </w:rPr>
        <w:t>Welfare Optimisation</w:t>
      </w:r>
      <w:r w:rsidRPr="00C46716">
        <w:rPr>
          <w:lang w:val="fr-FR"/>
        </w:rPr>
        <w:t xml:space="preserve"> (Art. 21).</w:t>
      </w:r>
    </w:p>
    <w:p w14:paraId="0F78C6A8" w14:textId="77777777" w:rsidR="00FB6EF5" w:rsidRPr="00C46716" w:rsidRDefault="00000000">
      <w:pPr>
        <w:pStyle w:val="Corpsdetexte"/>
        <w:rPr>
          <w:lang w:val="fr-FR"/>
        </w:rPr>
      </w:pPr>
      <w:r w:rsidRPr="00C46716">
        <w:rPr>
          <w:lang w:val="fr-FR"/>
        </w:rPr>
        <w:t>Ces algorithmes appliquent, dans l’ordre non commutatif fixé au Préambule, le Principe I avant le Principe II : ils vérifient d’abord l’acceptabilité de chaque opération — équilibre des engagements, respect des fourchettes [−</w:t>
      </w:r>
      <w:r>
        <w:t>δᵢ</w:t>
      </w:r>
      <w:r w:rsidRPr="00C46716">
        <w:rPr>
          <w:lang w:val="fr-FR"/>
        </w:rPr>
        <w:t>, +</w:t>
      </w:r>
      <w:r>
        <w:t>δᵢ</w:t>
      </w:r>
      <w:r w:rsidRPr="00C46716">
        <w:rPr>
          <w:lang w:val="fr-FR"/>
        </w:rPr>
        <w:t xml:space="preserve">] (Art. 11) et du plafond ∑ </w:t>
      </w:r>
      <w:r>
        <w:t>δᵢ</w:t>
      </w:r>
      <w:r w:rsidRPr="00C46716">
        <w:rPr>
          <w:lang w:val="fr-FR"/>
        </w:rPr>
        <w:t xml:space="preserve"> ≤ K (Art. 12) — puis, parmi les seules opérations acceptables, ordonnent les préférences. Une opération inacceptable n’est jamais inscrite, quelle que soit sa valeur.</w:t>
      </w:r>
    </w:p>
    <w:p w14:paraId="2769DD32" w14:textId="77777777" w:rsidR="00FB6EF5" w:rsidRPr="00C46716" w:rsidRDefault="00000000">
      <w:pPr>
        <w:pStyle w:val="Corpsdetexte"/>
        <w:rPr>
          <w:lang w:val="fr-FR"/>
        </w:rPr>
      </w:pPr>
      <w:r w:rsidRPr="00C46716">
        <w:rPr>
          <w:lang w:val="fr-FR"/>
        </w:rPr>
        <w:t xml:space="preserve">La gestion algorithmique est régie par trois exigences. D’abord la </w:t>
      </w:r>
      <w:r w:rsidRPr="00C46716">
        <w:rPr>
          <w:b/>
          <w:bCs/>
          <w:lang w:val="fr-FR"/>
        </w:rPr>
        <w:t>neutralité</w:t>
      </w:r>
      <w:r w:rsidRPr="00C46716">
        <w:rPr>
          <w:lang w:val="fr-FR"/>
        </w:rPr>
        <w:t xml:space="preserve"> : les règles s’appliquent à tous les Membres de manière identique, sans discrimination (Art. 6). Ensuite la </w:t>
      </w:r>
      <w:r w:rsidRPr="00C46716">
        <w:rPr>
          <w:b/>
          <w:bCs/>
          <w:lang w:val="fr-FR"/>
        </w:rPr>
        <w:t>transparence et l’auditabilité</w:t>
      </w:r>
      <w:r w:rsidRPr="00C46716">
        <w:rPr>
          <w:lang w:val="fr-FR"/>
        </w:rPr>
        <w:t xml:space="preserve"> : les algorithmes, leurs paramètres (Annexe 4) et leurs journaux sont documentés, reproductibles et vérifiables ; toute évolution substantielle est portée à la connaissance des Membres et approuvée dans les conditions de l’Article 37. Enfin la </w:t>
      </w:r>
      <w:r w:rsidRPr="00C46716">
        <w:rPr>
          <w:b/>
          <w:bCs/>
          <w:lang w:val="fr-FR"/>
        </w:rPr>
        <w:t>subordination au réel</w:t>
      </w:r>
      <w:r w:rsidRPr="00C46716">
        <w:rPr>
          <w:lang w:val="fr-FR"/>
        </w:rPr>
        <w:t xml:space="preserve"> : la détection d’un cycle propose, l’acceptation des Membres concernés valide, l’inscription enregistre (Art. 9 et 27) ; en aucun cas l’algorithme ne noue par lui-même une obligation entre des Membres qui ne se devaient rien.</w:t>
      </w:r>
    </w:p>
    <w:p w14:paraId="2357898D" w14:textId="77777777" w:rsidR="00FB6EF5" w:rsidRPr="00C46716" w:rsidRDefault="00000000">
      <w:pPr>
        <w:pStyle w:val="Titre2"/>
        <w:rPr>
          <w:lang w:val="fr-FR"/>
        </w:rPr>
      </w:pPr>
      <w:bookmarkStart w:id="39" w:name="Xf8b5efadacbe754dd616a9ce26ac7a0c99f1c44"/>
      <w:bookmarkEnd w:id="38"/>
      <w:r w:rsidRPr="00C46716">
        <w:rPr>
          <w:lang w:val="fr-FR"/>
        </w:rPr>
        <w:t>Article 35 — Contrôle des opérations du graphe</w:t>
      </w:r>
    </w:p>
    <w:p w14:paraId="7044BD83" w14:textId="77777777" w:rsidR="00FB6EF5" w:rsidRPr="00C46716" w:rsidRDefault="00000000">
      <w:pPr>
        <w:pStyle w:val="FirstParagraph"/>
        <w:rPr>
          <w:lang w:val="fr-FR"/>
        </w:rPr>
      </w:pPr>
      <w:r w:rsidRPr="00C46716">
        <w:rPr>
          <w:lang w:val="fr-FR"/>
        </w:rPr>
        <w:t xml:space="preserve">L’Organe contrôle la conformité des opérations inscrites au graphe. Il vérifie, opération par opération, que chaque inscription respecte l’équilibre requis (Art. 9), les fourchettes individuelles (Art. 11) et, pour toute position débitrice, l’exigence de préfinancement intégral déposé en séquestre (Art. 13). Il s’assure que le plafond d’exposition (∑ </w:t>
      </w:r>
      <w:r>
        <w:t>δᵢ</w:t>
      </w:r>
      <w:r w:rsidRPr="00C46716">
        <w:rPr>
          <w:lang w:val="fr-FR"/>
        </w:rPr>
        <w:t xml:space="preserve"> ≤ K, Art. 12) est constamment respecté.</w:t>
      </w:r>
    </w:p>
    <w:p w14:paraId="18273BE2" w14:textId="77777777" w:rsidR="00FB6EF5" w:rsidRPr="00C46716" w:rsidRDefault="00000000">
      <w:pPr>
        <w:pStyle w:val="Corpsdetexte"/>
        <w:rPr>
          <w:lang w:val="fr-FR"/>
        </w:rPr>
      </w:pPr>
      <w:r w:rsidRPr="00C46716">
        <w:rPr>
          <w:lang w:val="fr-FR"/>
        </w:rPr>
        <w:t>Le contrôle exerce, au stade de l’inscription, la fonction de veto attachée au Principe I : l’opération qui léserait un Membre ou romprait l’équilibre n’accède pas au graphe. L’Organe veille à la séparation du noyau et de la frontière externe (Art. 17 et 19) : aucune somme en euros ne transite par le registre, la part externe de toute opération étant réglée par le Membre concerné sur ses fonds propres. Il veille pareillement à l’étanchéité des sphères comptables (Art. 23), en particulier à ce qu’aucune grandeur civilisationnelle ne soit portée au crédit d’une écriture ni convertie en moyen de règlement (Art. 25).</w:t>
      </w:r>
    </w:p>
    <w:p w14:paraId="34311928" w14:textId="77777777" w:rsidR="00FB6EF5" w:rsidRPr="00C46716" w:rsidRDefault="00000000">
      <w:pPr>
        <w:pStyle w:val="Corpsdetexte"/>
        <w:rPr>
          <w:lang w:val="fr-FR"/>
        </w:rPr>
      </w:pPr>
      <w:r w:rsidRPr="00C46716">
        <w:rPr>
          <w:lang w:val="fr-FR"/>
        </w:rPr>
        <w:t>L’Organe détecte les anomalies, prévient toute tentative de concentration ou de contournement, et assure l’intégrité et l’irréversibilité des inscriptions validées, toute correction s’opérant par contre-passation horodatée (Art. 29). Il peut faire procéder à un audit indépendant et coopère, en tant que de besoin, avec l’expert-comptable (Art. 31) et le conseil en droit bancaire et financier (Art. 41). Les manquements d’un Membre relèvent du droit commun (Art. 16), sans protection dérogatoire.</w:t>
      </w:r>
    </w:p>
    <w:p w14:paraId="5A9ED504" w14:textId="77777777" w:rsidR="00FB6EF5" w:rsidRPr="00C46716" w:rsidRDefault="00000000">
      <w:pPr>
        <w:pStyle w:val="Titre2"/>
        <w:rPr>
          <w:lang w:val="fr-FR"/>
        </w:rPr>
      </w:pPr>
      <w:bookmarkStart w:id="40" w:name="article-36-animation-du-réseau"/>
      <w:bookmarkEnd w:id="39"/>
      <w:r w:rsidRPr="00C46716">
        <w:rPr>
          <w:lang w:val="fr-FR"/>
        </w:rPr>
        <w:t>Article 36 — Animation du réseau</w:t>
      </w:r>
    </w:p>
    <w:p w14:paraId="1A5EF138" w14:textId="77777777" w:rsidR="00FB6EF5" w:rsidRPr="00C46716" w:rsidRDefault="00000000">
      <w:pPr>
        <w:pStyle w:val="FirstParagraph"/>
        <w:rPr>
          <w:lang w:val="fr-FR"/>
        </w:rPr>
      </w:pPr>
      <w:r w:rsidRPr="00C46716">
        <w:rPr>
          <w:lang w:val="fr-FR"/>
        </w:rPr>
        <w:t>L’Organe anime le réseau afin d’en accroître la richesse compensatoire, laquelle croît avec la densité et la diversité des relations (Art. 8). À cette fin, il facilite la rencontre de l’offre et de la demande, favorise l’internalisation de fournisseurs — qui réduit la part externe des opérations et donc le besoin de règlement en euros (Art. 19) — et accompagne les Membres dans l’usage du dispositif.</w:t>
      </w:r>
    </w:p>
    <w:p w14:paraId="4758A0FF" w14:textId="77777777" w:rsidR="00FB6EF5" w:rsidRPr="00C46716" w:rsidRDefault="00000000">
      <w:pPr>
        <w:pStyle w:val="Corpsdetexte"/>
        <w:rPr>
          <w:lang w:val="fr-FR"/>
        </w:rPr>
      </w:pPr>
      <w:r w:rsidRPr="00C46716">
        <w:rPr>
          <w:lang w:val="fr-FR"/>
        </w:rPr>
        <w:t>Il instruit les admissions selon les critères objectifs, publics et non discriminatoires de l’Article 6 : nul remplissant ces critères et acceptant le présent contrat ne peut être arbitrairement exclu, tout refus est motivé et susceptible de réexamen, et la qualité de Membre ne peut être retirée que pour un manquement caractérisé, selon une procédure contradictoire. Il facilite les sorties dans les conditions de l’Article 15.</w:t>
      </w:r>
    </w:p>
    <w:p w14:paraId="2E25448F" w14:textId="77777777" w:rsidR="00FB6EF5" w:rsidRPr="00C46716" w:rsidRDefault="00000000">
      <w:pPr>
        <w:pStyle w:val="Corpsdetexte"/>
        <w:rPr>
          <w:lang w:val="fr-FR"/>
        </w:rPr>
      </w:pPr>
      <w:r w:rsidRPr="00C46716">
        <w:rPr>
          <w:lang w:val="fr-FR"/>
        </w:rPr>
        <w:t>L’Organe peut proposer des actions de médiation entre Membres, sans que celles-ci ne fassent obstacle aux voies de recours de droit commun (Art. 16). Il coordonne, dans le respect de l’autonomie juridique de celui-ci, les relations avec le fonds de solidarité (Art. 19), lequel demeure seul habilité à manier des euros et distinct du noyau et du capital.</w:t>
      </w:r>
    </w:p>
    <w:p w14:paraId="66C3E755" w14:textId="77777777" w:rsidR="00FB6EF5" w:rsidRPr="00C46716" w:rsidRDefault="00000000">
      <w:pPr>
        <w:pStyle w:val="Titre2"/>
        <w:rPr>
          <w:lang w:val="fr-FR"/>
        </w:rPr>
      </w:pPr>
      <w:bookmarkStart w:id="41" w:name="X668574d288d7a895376b6d66e24a3a252f16afc"/>
      <w:bookmarkEnd w:id="40"/>
      <w:r w:rsidRPr="00C46716">
        <w:rPr>
          <w:lang w:val="fr-FR"/>
        </w:rPr>
        <w:t>Article 37 — Rapport annuel d’activité et reddition</w:t>
      </w:r>
    </w:p>
    <w:p w14:paraId="048E895D" w14:textId="77777777" w:rsidR="00FB6EF5" w:rsidRPr="00C46716" w:rsidRDefault="00000000">
      <w:pPr>
        <w:pStyle w:val="FirstParagraph"/>
        <w:rPr>
          <w:lang w:val="fr-FR"/>
        </w:rPr>
      </w:pPr>
      <w:r w:rsidRPr="00C46716">
        <w:rPr>
          <w:lang w:val="fr-FR"/>
        </w:rPr>
        <w:t>L’Organe établit et présente aux Membres, à chaque exercice, un rapport annuel d’activité. Ce rapport rend compte de l’état du réseau — nombre de Membres, volume des échanges, cycles compensés et richesse compensatoire mesurée par le nombre cyclomatique (Art. 8) — et atteste du respect des invariants de sécurité : nullité de la somme des soldes (∑ s</w:t>
      </w:r>
      <w:r>
        <w:t>ᵢ</w:t>
      </w:r>
      <w:r w:rsidRPr="00C46716">
        <w:rPr>
          <w:lang w:val="fr-FR"/>
        </w:rPr>
        <w:t xml:space="preserve"> = 0, Art. 7), maintien des soldes dans leurs fourchettes (Art. 11) et respect du plafond d’exposition (∑ </w:t>
      </w:r>
      <w:r>
        <w:t>δᵢ</w:t>
      </w:r>
      <w:r w:rsidRPr="00C46716">
        <w:rPr>
          <w:lang w:val="fr-FR"/>
        </w:rPr>
        <w:t xml:space="preserve"> ≤ K, Art. 12).</w:t>
      </w:r>
    </w:p>
    <w:p w14:paraId="6B387452" w14:textId="77777777" w:rsidR="00FB6EF5" w:rsidRPr="00C46716" w:rsidRDefault="00000000">
      <w:pPr>
        <w:pStyle w:val="Corpsdetexte"/>
        <w:rPr>
          <w:lang w:val="fr-FR"/>
        </w:rPr>
      </w:pPr>
      <w:r w:rsidRPr="00C46716">
        <w:rPr>
          <w:lang w:val="fr-FR"/>
        </w:rPr>
        <w:t>Le rapport d’activité est accompagné de la reddition de comptes prévue à l’Article 30 : d’une part les comptes ordinaires donnant une image fidèle des transactions réelles, d’autre part le rapport extra-comptable distinct présentant les grandeurs civilisationnelles suivies hors bilan (Art. 25 et 30). Il précise expressément que ces grandeurs sont des indicateurs extra-financiers, et non des produits ou des actifs comptables.</w:t>
      </w:r>
    </w:p>
    <w:p w14:paraId="6FD36F30" w14:textId="77777777" w:rsidR="00FB6EF5" w:rsidRDefault="00000000" w:rsidP="008109BD">
      <w:pPr>
        <w:pStyle w:val="Corpsdetexte"/>
        <w:spacing w:after="240"/>
        <w:rPr>
          <w:lang w:val="fr-FR"/>
        </w:rPr>
      </w:pPr>
      <w:r w:rsidRPr="00C46716">
        <w:rPr>
          <w:lang w:val="fr-FR"/>
        </w:rPr>
        <w:t>Le rapport est communiqué aux Membres et au Propriétaire, soumis à l’approbation des Membres selon la procédure de l’Article 32, et peut alimenter les rapports de durabilité et les rapports publics de progression vers les Objectifs de Développement Durable. La responsabilité de l’Organe s’apprécie, notamment, au regard de la sincérité et de la complétude de cette reddition.</w:t>
      </w:r>
    </w:p>
    <w:p w14:paraId="5A4B864E" w14:textId="77777777" w:rsidR="008109BD" w:rsidRPr="008109BD" w:rsidRDefault="008109BD" w:rsidP="008109BD">
      <w:pPr>
        <w:pStyle w:val="Corpsdetexte"/>
        <w:spacing w:before="480"/>
        <w:rPr>
          <w:rFonts w:ascii="Calibri" w:hAnsi="Calibri" w:cs="Calibri"/>
          <w:color w:val="0070C0"/>
          <w:sz w:val="28"/>
          <w:szCs w:val="28"/>
          <w:lang w:val="fr-FR"/>
        </w:rPr>
      </w:pPr>
      <w:r w:rsidRPr="008109BD">
        <w:rPr>
          <w:rFonts w:ascii="Calibri" w:hAnsi="Calibri" w:cs="Calibri"/>
          <w:b/>
          <w:bCs/>
          <w:color w:val="0070C0"/>
          <w:sz w:val="28"/>
          <w:szCs w:val="28"/>
          <w:lang w:val="fr-FR"/>
        </w:rPr>
        <w:t>Titre X — Paramètres des activités et exclusion bancaire</w:t>
      </w:r>
    </w:p>
    <w:p w14:paraId="1E6C3ACD" w14:textId="77777777" w:rsidR="008109BD" w:rsidRPr="008109BD" w:rsidRDefault="008109BD" w:rsidP="008109BD">
      <w:pPr>
        <w:pStyle w:val="Corpsdetexte"/>
        <w:rPr>
          <w:lang w:val="fr-FR"/>
        </w:rPr>
      </w:pPr>
      <w:r w:rsidRPr="008109BD">
        <w:rPr>
          <w:lang w:val="fr-FR"/>
        </w:rPr>
        <w:t>Le présent Titre a pour objet de qualifier négativement le dispositif — en écartant, une à une, les qualifications réglementées auxquelles sa ressemblance de surface pourrait le faire faussement rattacher — puis de le qualifier positivement, en énonçant ce qu'il est. Les exclusions qui suivent ne valent qu'autant que la pureté du noyau (Art. 17) est effectivement tenue : elles décrivent la structure telle que le contrat la définit, et cessent de protéger si l'exécution s'en écarte.</w:t>
      </w:r>
    </w:p>
    <w:p w14:paraId="3918837E"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38 — Le dispositif n'est pas un établissement de crédit</w:t>
      </w:r>
    </w:p>
    <w:p w14:paraId="7C795B60" w14:textId="77777777" w:rsidR="008109BD" w:rsidRPr="008109BD" w:rsidRDefault="008109BD" w:rsidP="008109BD">
      <w:pPr>
        <w:pStyle w:val="Corpsdetexte"/>
        <w:rPr>
          <w:lang w:val="fr-FR"/>
        </w:rPr>
      </w:pPr>
      <w:r w:rsidRPr="008109BD">
        <w:rPr>
          <w:lang w:val="fr-FR"/>
        </w:rPr>
        <w:t>Le dispositif ne reçoit aucun fonds remboursable du public et n'octroie aucun crédit pour son propre compte au sens de l'article L. 511-1 du Code monétaire et financier. Il ne crée aucune monnaie : la somme algébrique des soldes internes demeure constamment nulle (∑ sᵢ = 0, Art. 7), de sorte qu'aucune ressource nouvelle n'est produite par inscription. Là où l'établissement de crédit fait croître la masse monétaire par le crédit, le dispositif conserve une somme identiquement nulle. Il n'exerce donc, à aucun titre, l'activité d'établissement de crédit et n'est soumis à aucun agrément à ce titre.</w:t>
      </w:r>
    </w:p>
    <w:p w14:paraId="56B37393" w14:textId="77777777" w:rsidR="008109BD" w:rsidRPr="008109BD" w:rsidRDefault="008109BD" w:rsidP="008109BD">
      <w:pPr>
        <w:pStyle w:val="Corpsdetexte"/>
        <w:rPr>
          <w:rFonts w:asciiTheme="majorHAnsi" w:hAnsiTheme="majorHAnsi" w:cstheme="majorHAnsi"/>
          <w:color w:val="0070C0"/>
          <w:sz w:val="28"/>
          <w:szCs w:val="28"/>
          <w:lang w:val="fr-FR"/>
        </w:rPr>
      </w:pPr>
      <w:r w:rsidRPr="008109BD">
        <w:rPr>
          <w:rFonts w:asciiTheme="majorHAnsi" w:hAnsiTheme="majorHAnsi" w:cstheme="majorHAnsi"/>
          <w:b/>
          <w:bCs/>
          <w:color w:val="0070C0"/>
          <w:sz w:val="28"/>
          <w:szCs w:val="28"/>
          <w:lang w:val="fr-FR"/>
        </w:rPr>
        <w:t>Article 39 — Le dispositif n'est pas un prestataire de services de paiement</w:t>
      </w:r>
    </w:p>
    <w:p w14:paraId="3D65B86D" w14:textId="77777777" w:rsidR="008109BD" w:rsidRPr="008109BD" w:rsidRDefault="008109BD" w:rsidP="008109BD">
      <w:pPr>
        <w:pStyle w:val="Corpsdetexte"/>
        <w:rPr>
          <w:lang w:val="fr-FR"/>
        </w:rPr>
      </w:pPr>
      <w:r w:rsidRPr="008109BD">
        <w:rPr>
          <w:lang w:val="fr-FR"/>
        </w:rPr>
        <w:t>Les services de paiement sont définis par une liste limitative (art. L. 314-1, II du Code monétaire et financier) : exécution d'opérations de paiement, virements, prélèvements, transmission de fonds, acquisition ou émission d'instruments de paiement, tenue de comptes de paiement. Le dispositif ne fournit aucun de ces services.</w:t>
      </w:r>
    </w:p>
    <w:p w14:paraId="02610844" w14:textId="77777777" w:rsidR="008109BD" w:rsidRPr="008109BD" w:rsidRDefault="008109BD" w:rsidP="008109BD">
      <w:pPr>
        <w:pStyle w:val="Corpsdetexte"/>
        <w:rPr>
          <w:lang w:val="fr-FR"/>
        </w:rPr>
      </w:pPr>
      <w:r w:rsidRPr="008109BD">
        <w:rPr>
          <w:lang w:val="fr-FR"/>
        </w:rPr>
        <w:t xml:space="preserve">Il procède exclusivement à la </w:t>
      </w:r>
      <w:r w:rsidRPr="008109BD">
        <w:rPr>
          <w:b/>
          <w:bCs/>
          <w:lang w:val="fr-FR"/>
        </w:rPr>
        <w:t>compensation de créances et de dettes réciproques</w:t>
      </w:r>
      <w:r w:rsidRPr="008109BD">
        <w:rPr>
          <w:lang w:val="fr-FR"/>
        </w:rPr>
        <w:t>, mode d'extinction des obligations distinct du paiement (art. 1347 et 1348-2 du Code civil), qui n'emporte aucun mouvement de fonds. Aucune somme en euros n'est reçue, détenue ni transférée par l'opérateur pour le compte des Membres (Art. 17). Le monopole des articles L. 521-1 et suivants, qui suppose la fourniture d'un service de paiement à des tiers, n'a donc pas de prise sur le dispositif.</w:t>
      </w:r>
    </w:p>
    <w:p w14:paraId="5F86C3EF" w14:textId="77777777" w:rsidR="008109BD" w:rsidRPr="008109BD" w:rsidRDefault="008109BD" w:rsidP="008109BD">
      <w:pPr>
        <w:pStyle w:val="Corpsdetexte"/>
        <w:rPr>
          <w:lang w:val="fr-FR"/>
        </w:rPr>
      </w:pPr>
      <w:r w:rsidRPr="008109BD">
        <w:rPr>
          <w:b/>
          <w:bCs/>
          <w:lang w:val="fr-FR"/>
        </w:rPr>
        <w:t xml:space="preserve">Deux digues conditionnent cette exclusion. </w:t>
      </w:r>
      <w:r w:rsidRPr="008109BD">
        <w:rPr>
          <w:lang w:val="fr-FR"/>
        </w:rPr>
        <w:t>L'objection « services de paiement » ne renaîtrait que si (i) des fonds venaient à transiter effectivement par l'opérateur, ou (ii) les unités internes devenaient transférables et circulaient comme moyen de paiement. Le contrat interdit expressément l'un et l'autre (Art. 4 et 17) ; cette interdiction est la condition de l'exclusion.</w:t>
      </w:r>
    </w:p>
    <w:p w14:paraId="5017A09C"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40 — Le dispositif n'émet pas de monnaie électronique</w:t>
      </w:r>
    </w:p>
    <w:p w14:paraId="35796A06" w14:textId="77777777" w:rsidR="008109BD" w:rsidRPr="008109BD" w:rsidRDefault="008109BD" w:rsidP="008109BD">
      <w:pPr>
        <w:pStyle w:val="Corpsdetexte"/>
        <w:rPr>
          <w:lang w:val="fr-FR"/>
        </w:rPr>
      </w:pPr>
      <w:r w:rsidRPr="008109BD">
        <w:rPr>
          <w:lang w:val="fr-FR"/>
        </w:rPr>
        <w:t>La monnaie électronique suppose l'émission, contre remise de fonds, d'une valeur monétaire stockée sous forme électronique et acceptée en paiement par des tiers (art. L. 315-1 du Code monétaire et financier). Le dispositif n'émet aucune valeur contre remise de fonds, ne stocke aucune valeur monétaire et ne produit aucun instrument accepté en paiement : l'unité interne s'éteint à la fermeture du cycle et n'est jamais acceptée par un tiers en règlement d'une dette. Il n'est donc pas émetteur de monnaie électronique.</w:t>
      </w:r>
    </w:p>
    <w:p w14:paraId="0DE52A7F" w14:textId="77777777"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41 — Le dispositif n'émet pas de crypto-actif et ne relève pas de MiCA</w:t>
      </w:r>
    </w:p>
    <w:p w14:paraId="2B9BF419" w14:textId="77777777" w:rsidR="008109BD" w:rsidRPr="008109BD" w:rsidRDefault="008109BD" w:rsidP="008109BD">
      <w:pPr>
        <w:pStyle w:val="Corpsdetexte"/>
        <w:rPr>
          <w:lang w:val="fr-FR"/>
        </w:rPr>
      </w:pPr>
      <w:r w:rsidRPr="008109BD">
        <w:rPr>
          <w:lang w:val="fr-FR"/>
        </w:rPr>
        <w:t>Les régimes des prestataires de services sur actifs numériques (droit français) et sur crypto-actifs (règlement (UE) 2023/1114, dit MiCA) ne concernent que les crypto-actifs — représentations numériques de valeur transférables et stockables au moyen d'une technologie de registre distribué. Les unités internes du dispositif ne sont ni une valeur transférable, ni un actif stockable : elles mesurent une relation de créance réciproque et s'annulent à la fermeture du cycle (Art. 4 et 7). Le dispositif n'émet, ne conserve, n'échange et ne négocie aucun crypto-actif. MiCA et les régimes assimilés ne lui sont pas applicables.</w:t>
      </w:r>
    </w:p>
    <w:p w14:paraId="18F03222" w14:textId="53DA2A40" w:rsidR="008109BD" w:rsidRPr="008109BD" w:rsidRDefault="008109BD" w:rsidP="008109BD">
      <w:pPr>
        <w:pStyle w:val="Corpsdetexte"/>
        <w:rPr>
          <w:lang w:val="fr-FR"/>
        </w:rPr>
      </w:pPr>
      <w:r w:rsidRPr="008109BD">
        <w:rPr>
          <w:b/>
          <w:bCs/>
          <w:lang w:val="fr-FR"/>
        </w:rPr>
        <w:t xml:space="preserve">Réserve d'implémentation. </w:t>
      </w:r>
      <w:r w:rsidRPr="008109BD">
        <w:rPr>
          <w:lang w:val="fr-FR"/>
        </w:rPr>
        <w:t>Cette exclusion suppose que la compensation ne soit pas mise en œuvre par des jetons transférables inscrits sur une chaîne (jetons on-chain, échanges atomiques). Une telle implémentation ferait basculer le dispositif dans le champ des crypto-actifs, et le degré de contrôle de l'Organe de Gouvernance sur l'infrastructure et l'appariement (Art. 32 à 35) le rapprocherait alors d'un intermédiaire soumis à agrément. L'exclusion vaut pour une mise en œuvre où aucun instrument transférable ne circule.</w:t>
      </w:r>
    </w:p>
    <w:p w14:paraId="51C00E07" w14:textId="6FD5EAC9"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 xml:space="preserve">Article 42 — Le dispositif ne constitue pas une monnaie </w:t>
      </w:r>
      <w:r>
        <w:rPr>
          <w:rFonts w:ascii="Calibri" w:hAnsi="Calibri" w:cs="Calibri"/>
          <w:b/>
          <w:bCs/>
          <w:color w:val="0070C0"/>
          <w:sz w:val="28"/>
          <w:szCs w:val="28"/>
          <w:lang w:val="fr-FR"/>
        </w:rPr>
        <w:t>locale ou nationale</w:t>
      </w:r>
    </w:p>
    <w:p w14:paraId="176EC37F" w14:textId="7A2BAABE" w:rsidR="008109BD" w:rsidRPr="0019365D" w:rsidRDefault="008109BD" w:rsidP="008109BD">
      <w:pPr>
        <w:pStyle w:val="Corpsdetexte"/>
        <w:rPr>
          <w:lang w:val="fr-FR"/>
        </w:rPr>
      </w:pPr>
      <w:r w:rsidRPr="008109BD">
        <w:rPr>
          <w:lang w:val="fr-FR"/>
        </w:rPr>
        <w:t>L'unité interne n'est pas une monnaie, car elle n'en remplit aucune des trois fonctions.</w:t>
      </w:r>
      <w:r>
        <w:rPr>
          <w:lang w:val="fr-FR"/>
        </w:rPr>
        <w:t xml:space="preserve"> </w:t>
      </w:r>
      <w:r w:rsidRPr="008109BD">
        <w:rPr>
          <w:lang w:val="fr-FR"/>
        </w:rPr>
        <w:t xml:space="preserve">Elle n'est pas une </w:t>
      </w:r>
      <w:r w:rsidRPr="008109BD">
        <w:rPr>
          <w:b/>
          <w:bCs/>
          <w:lang w:val="fr-FR"/>
        </w:rPr>
        <w:t>réserve de valeur</w:t>
      </w:r>
      <w:r w:rsidRPr="008109BD">
        <w:rPr>
          <w:lang w:val="fr-FR"/>
        </w:rPr>
        <w:t xml:space="preserve"> : elle ne se conserve pas dans le temps mais s'éteint à la fermeture du cycle.</w:t>
      </w:r>
      <w:r>
        <w:rPr>
          <w:lang w:val="fr-FR"/>
        </w:rPr>
        <w:t xml:space="preserve"> </w:t>
      </w:r>
      <w:r w:rsidRPr="008109BD">
        <w:rPr>
          <w:lang w:val="fr-FR"/>
        </w:rPr>
        <w:t xml:space="preserve">Elle n'est pas un </w:t>
      </w:r>
      <w:r w:rsidRPr="008109BD">
        <w:rPr>
          <w:b/>
          <w:bCs/>
          <w:lang w:val="fr-FR"/>
        </w:rPr>
        <w:t>intermédiaire des échanges</w:t>
      </w:r>
      <w:r w:rsidRPr="008109BD">
        <w:rPr>
          <w:lang w:val="fr-FR"/>
        </w:rPr>
        <w:t xml:space="preserve"> : elle ne passe pas de main en main, car elle n'existe qu'à l'intérieur d'une relation entre deux Membres identifiés, et disparaît avec elle.</w:t>
      </w:r>
      <w:r>
        <w:rPr>
          <w:lang w:val="fr-FR"/>
        </w:rPr>
        <w:t xml:space="preserve"> </w:t>
      </w:r>
      <w:r w:rsidRPr="008109BD">
        <w:rPr>
          <w:lang w:val="fr-FR"/>
        </w:rPr>
        <w:t xml:space="preserve">Elle n'est pas une </w:t>
      </w:r>
      <w:r w:rsidRPr="008109BD">
        <w:rPr>
          <w:b/>
          <w:bCs/>
          <w:lang w:val="fr-FR"/>
        </w:rPr>
        <w:t>unité de règlement opposable</w:t>
      </w:r>
      <w:r w:rsidRPr="008109BD">
        <w:rPr>
          <w:lang w:val="fr-FR"/>
        </w:rPr>
        <w:t xml:space="preserve"> : elle n'a pas cours légal et ne confère aucun pouvoir libératoire à l'égard des tiers.</w:t>
      </w:r>
      <w:r w:rsidR="0019365D">
        <w:rPr>
          <w:lang w:val="fr-FR"/>
        </w:rPr>
        <w:t xml:space="preserve"> </w:t>
      </w:r>
      <w:r w:rsidR="0019365D" w:rsidRPr="0019365D">
        <w:rPr>
          <w:lang w:val="fr-FR"/>
        </w:rPr>
        <w:t>Elle n'est ni une devise ayant cours légal (art. L. 111-1 du Code monétaire et financier), ni un titre de monnaie locale complémentaire au sens des articles L. 311-5 et L. 311-6 du même code</w:t>
      </w:r>
      <w:r w:rsidR="0019365D">
        <w:rPr>
          <w:lang w:val="fr-FR"/>
        </w:rPr>
        <w:t>.</w:t>
      </w:r>
    </w:p>
    <w:p w14:paraId="6D32CB9B" w14:textId="63706677" w:rsidR="008109BD" w:rsidRPr="008109BD" w:rsidRDefault="008109BD" w:rsidP="008109BD">
      <w:pPr>
        <w:pStyle w:val="Corpsdetexte"/>
        <w:rPr>
          <w:lang w:val="fr-FR"/>
        </w:rPr>
      </w:pPr>
      <w:r w:rsidRPr="008109BD">
        <w:rPr>
          <w:lang w:val="fr-FR"/>
        </w:rPr>
        <w:t>Le dispositif n'exerce aucune fonction monétaire. Il met en œuvre une</w:t>
      </w:r>
      <w:r w:rsidRPr="0019365D">
        <w:rPr>
          <w:b/>
          <w:bCs/>
          <w:lang w:val="fr-FR"/>
        </w:rPr>
        <w:t xml:space="preserve"> fonction propositionnelle de coordination contractuelle </w:t>
      </w:r>
      <w:r>
        <w:rPr>
          <w:lang w:val="fr-FR"/>
        </w:rPr>
        <w:t>basée sur des échanges de biens et services tarifés</w:t>
      </w:r>
      <w:r w:rsidRPr="008109BD">
        <w:rPr>
          <w:lang w:val="fr-FR"/>
        </w:rPr>
        <w:t>. Là où un système monétaire coordonne les échanges par la circulation d'un instrument de paiement, le dispositif coordonne les engagements par l'agencement de propositions réciproques inscrites dans un graphe contractuel. Les deux systèmes répondent au même problème économique — la coordination des échanges — mais par des mécanismes juridiques et techniques de nature radicalement différente.</w:t>
      </w:r>
    </w:p>
    <w:p w14:paraId="61A501E7" w14:textId="01C33A83" w:rsidR="008109BD" w:rsidRPr="008109BD" w:rsidRDefault="008109BD" w:rsidP="008109BD">
      <w:pPr>
        <w:pStyle w:val="Corpsdetexte"/>
        <w:rPr>
          <w:rFonts w:ascii="Calibri" w:hAnsi="Calibri" w:cs="Calibri"/>
          <w:color w:val="0070C0"/>
          <w:sz w:val="28"/>
          <w:szCs w:val="28"/>
          <w:lang w:val="fr-FR"/>
        </w:rPr>
      </w:pPr>
      <w:r w:rsidRPr="008109BD">
        <w:rPr>
          <w:rFonts w:ascii="Calibri" w:hAnsi="Calibri" w:cs="Calibri"/>
          <w:b/>
          <w:bCs/>
          <w:color w:val="0070C0"/>
          <w:sz w:val="28"/>
          <w:szCs w:val="28"/>
          <w:lang w:val="fr-FR"/>
        </w:rPr>
        <w:t>Article 4</w:t>
      </w:r>
      <w:r>
        <w:rPr>
          <w:rFonts w:ascii="Calibri" w:hAnsi="Calibri" w:cs="Calibri"/>
          <w:b/>
          <w:bCs/>
          <w:color w:val="0070C0"/>
          <w:sz w:val="28"/>
          <w:szCs w:val="28"/>
          <w:lang w:val="fr-FR"/>
        </w:rPr>
        <w:t>3</w:t>
      </w:r>
      <w:r w:rsidRPr="008109BD">
        <w:rPr>
          <w:rFonts w:ascii="Calibri" w:hAnsi="Calibri" w:cs="Calibri"/>
          <w:b/>
          <w:bCs/>
          <w:color w:val="0070C0"/>
          <w:sz w:val="28"/>
          <w:szCs w:val="28"/>
          <w:lang w:val="fr-FR"/>
        </w:rPr>
        <w:t xml:space="preserve"> — Définition positive du contrat de gestion du droit d'usage</w:t>
      </w:r>
    </w:p>
    <w:p w14:paraId="1246DAC1" w14:textId="5619036D" w:rsidR="008109BD" w:rsidRPr="008109BD" w:rsidRDefault="008109BD" w:rsidP="008109BD">
      <w:pPr>
        <w:pStyle w:val="Corpsdetexte"/>
        <w:rPr>
          <w:lang w:val="fr-FR"/>
        </w:rPr>
      </w:pPr>
      <w:r w:rsidRPr="008109BD">
        <w:rPr>
          <w:lang w:val="fr-FR"/>
        </w:rPr>
        <w:t>Le présent contrat est une convention par laquelle une communauté de personnes organise</w:t>
      </w:r>
      <w:r w:rsidR="0019365D">
        <w:rPr>
          <w:lang w:val="fr-FR"/>
        </w:rPr>
        <w:t xml:space="preserve"> contractuellement</w:t>
      </w:r>
      <w:r w:rsidRPr="008109BD">
        <w:rPr>
          <w:lang w:val="fr-FR"/>
        </w:rPr>
        <w:t xml:space="preserve"> ses propres modes de règlement, décentralisés et autonomes. Sa force et son originalité tiennent à ce qu'il fait reposer l'ensemble des règlements non sur des unités monétaires, ni sur une infrastructure centralisée ou décentralisée de paiement, mais sur </w:t>
      </w:r>
      <w:r w:rsidRPr="008109BD">
        <w:rPr>
          <w:b/>
          <w:bCs/>
          <w:lang w:val="fr-FR"/>
        </w:rPr>
        <w:t>la la programmation et la réalisation de balances d</w:t>
      </w:r>
      <w:r w:rsidR="00401100">
        <w:rPr>
          <w:b/>
          <w:bCs/>
          <w:lang w:val="fr-FR"/>
        </w:rPr>
        <w:t>’</w:t>
      </w:r>
      <w:r w:rsidR="0019365D">
        <w:rPr>
          <w:b/>
          <w:bCs/>
          <w:lang w:val="fr-FR"/>
        </w:rPr>
        <w:t>engagements</w:t>
      </w:r>
      <w:r w:rsidRPr="008109BD">
        <w:rPr>
          <w:b/>
          <w:bCs/>
          <w:lang w:val="fr-FR"/>
        </w:rPr>
        <w:t xml:space="preserve"> équilibrés</w:t>
      </w:r>
      <w:r w:rsidRPr="008109BD">
        <w:rPr>
          <w:lang w:val="fr-FR"/>
        </w:rPr>
        <w:t>, à l'échelle locale comme internationale. Pour égaliser ces balances, le contrat recourt à une modélisation par graphes, qui rend visibles les échanges et les chemins de compensation.</w:t>
      </w:r>
    </w:p>
    <w:p w14:paraId="4342DDCD" w14:textId="46B19FC3" w:rsidR="008109BD" w:rsidRPr="008109BD" w:rsidRDefault="008109BD" w:rsidP="008109BD">
      <w:pPr>
        <w:pStyle w:val="Corpsdetexte"/>
        <w:rPr>
          <w:lang w:val="fr-FR"/>
        </w:rPr>
      </w:pPr>
      <w:r w:rsidRPr="008109BD">
        <w:rPr>
          <w:lang w:val="fr-FR"/>
        </w:rPr>
        <w:t xml:space="preserve">Ce contrat a pour ambition de fonder un </w:t>
      </w:r>
      <w:r w:rsidRPr="008109BD">
        <w:rPr>
          <w:b/>
          <w:bCs/>
          <w:lang w:val="fr-FR"/>
        </w:rPr>
        <w:t>système de compensation coopératif et mutualiste</w:t>
      </w:r>
      <w:r w:rsidRPr="008109BD">
        <w:rPr>
          <w:lang w:val="fr-FR"/>
        </w:rPr>
        <w:t xml:space="preserve">, inspiré des concepts de l'économie du développement durable. Il propose un modèle de </w:t>
      </w:r>
      <w:r w:rsidRPr="008109BD">
        <w:rPr>
          <w:b/>
          <w:bCs/>
          <w:lang w:val="fr-FR"/>
        </w:rPr>
        <w:t>droit d'usage non exclusif et non rival, de nature informationnelle et durable</w:t>
      </w:r>
      <w:r w:rsidRPr="008109BD">
        <w:rPr>
          <w:lang w:val="fr-FR"/>
        </w:rPr>
        <w:t>, qui permet aux agents de programmer leur système d'échange pour qu'il atteigne une balance individuelle et collective optimale. Dans cette optique, le contrat prévoit la mise en commun de sept facteurs — le droit d'usage, les objectifs, les ressources, les emplois, la gestion, la règle et l'organisation — dont la combinaison détermine le contenu du droit d'usage et sa portée pour chaque communauté</w:t>
      </w:r>
      <w:r w:rsidR="00401100">
        <w:rPr>
          <w:lang w:val="fr-FR"/>
        </w:rPr>
        <w:t xml:space="preserve"> en France et dans le monde</w:t>
      </w:r>
      <w:r w:rsidRPr="008109BD">
        <w:rPr>
          <w:lang w:val="fr-FR"/>
        </w:rPr>
        <w:t>.</w:t>
      </w:r>
    </w:p>
    <w:p w14:paraId="7743EA72" w14:textId="77777777" w:rsidR="008109BD" w:rsidRPr="008109BD" w:rsidRDefault="008109BD" w:rsidP="008109BD">
      <w:pPr>
        <w:pStyle w:val="Corpsdetexte"/>
        <w:rPr>
          <w:lang w:val="fr-FR"/>
        </w:rPr>
      </w:pPr>
      <w:r w:rsidRPr="008109BD">
        <w:rPr>
          <w:lang w:val="fr-FR"/>
        </w:rPr>
        <w:t xml:space="preserve">Il s'agit d'un acte juridique : on y retrouve les éléments constitutifs d'un contrat (dénomination des parties, préambule, corps, clauses). On peut le concevoir comme un </w:t>
      </w:r>
      <w:r w:rsidRPr="008109BD">
        <w:rPr>
          <w:b/>
          <w:bCs/>
          <w:lang w:val="fr-FR"/>
        </w:rPr>
        <w:t>méta-contrat de programmation économique et sociale</w:t>
      </w:r>
      <w:r w:rsidRPr="008109BD">
        <w:rPr>
          <w:lang w:val="fr-FR"/>
        </w:rPr>
        <w:t>, destiné à s'implémenter dans des registres ou contrats distribués, des plateformes de graphes, des réseaux d'échange pair-à-pair — que ce soit sous forme d'un protocole de règles de compensation, d'un jeu d'indicateurs-clés (</w:t>
      </w:r>
      <w:r w:rsidRPr="008109BD">
        <w:rPr>
          <w:i/>
          <w:iCs/>
          <w:lang w:val="fr-FR"/>
        </w:rPr>
        <w:t>key value indicators</w:t>
      </w:r>
      <w:r w:rsidRPr="008109BD">
        <w:rPr>
          <w:lang w:val="fr-FR"/>
        </w:rPr>
        <w:t>) traduisant les valeurs d'une organisation, ou d'un programme exécutable — sous réserve, en toute implémentation technique, du respect de la pureté du noyau (Art. 17) et des exclusions du présent Titre.</w:t>
      </w:r>
    </w:p>
    <w:p w14:paraId="0386039D" w14:textId="77777777" w:rsidR="008109BD" w:rsidRPr="008109BD" w:rsidRDefault="008109BD" w:rsidP="008109BD">
      <w:pPr>
        <w:pStyle w:val="Corpsdetexte"/>
        <w:rPr>
          <w:lang w:val="fr-FR"/>
        </w:rPr>
      </w:pPr>
      <w:r w:rsidRPr="008109BD">
        <w:rPr>
          <w:lang w:val="fr-FR"/>
        </w:rPr>
        <w:t>L'ambition du contrat est de servir d'inspiration à la conception des instruments de l'économie sociale, écologique et solidaire. Il peut être utilisé directement ou servir de contrat-cadre à une multitude de contrats applicatifs. Il constitue un document ouvert, que chacun peut reprendre et adapter à ses objectifs.</w:t>
      </w:r>
    </w:p>
    <w:p w14:paraId="1D5D78F4" w14:textId="3C975951" w:rsidR="00FB6EF5" w:rsidRPr="00C46716" w:rsidRDefault="00000000">
      <w:pPr>
        <w:pStyle w:val="Titre1"/>
        <w:rPr>
          <w:lang w:val="fr-FR"/>
        </w:rPr>
      </w:pPr>
      <w:bookmarkStart w:id="42" w:name="titre-x-robustesse-et-clauses-finales"/>
      <w:bookmarkEnd w:id="35"/>
      <w:bookmarkEnd w:id="41"/>
      <w:r w:rsidRPr="00C46716">
        <w:rPr>
          <w:lang w:val="fr-FR"/>
        </w:rPr>
        <w:t>Titre X</w:t>
      </w:r>
      <w:r w:rsidR="001F6016">
        <w:rPr>
          <w:lang w:val="fr-FR"/>
        </w:rPr>
        <w:t>I</w:t>
      </w:r>
      <w:r w:rsidRPr="00C46716">
        <w:rPr>
          <w:lang w:val="fr-FR"/>
        </w:rPr>
        <w:t xml:space="preserve"> — Robustesse et clauses finales</w:t>
      </w:r>
    </w:p>
    <w:p w14:paraId="25F5ED80" w14:textId="46A3E776" w:rsidR="00FB6EF5" w:rsidRPr="00C46716" w:rsidRDefault="00000000">
      <w:pPr>
        <w:pStyle w:val="Titre2"/>
        <w:rPr>
          <w:lang w:val="fr-FR"/>
        </w:rPr>
      </w:pPr>
      <w:bookmarkStart w:id="43" w:name="X99cbcfe8dd8b8171ce372a06364842b38f6f400"/>
      <w:r w:rsidRPr="00C46716">
        <w:rPr>
          <w:lang w:val="fr-FR"/>
        </w:rPr>
        <w:t xml:space="preserve">Article </w:t>
      </w:r>
      <w:r w:rsidR="001F6016">
        <w:rPr>
          <w:lang w:val="fr-FR"/>
        </w:rPr>
        <w:t>44</w:t>
      </w:r>
      <w:r w:rsidRPr="00C46716">
        <w:rPr>
          <w:lang w:val="fr-FR"/>
        </w:rPr>
        <w:t xml:space="preserve"> — Déclarations et prévention de la requalification</w:t>
      </w:r>
    </w:p>
    <w:p w14:paraId="66A51E91" w14:textId="77777777" w:rsidR="00FB6EF5" w:rsidRPr="00C46716" w:rsidRDefault="00000000">
      <w:pPr>
        <w:pStyle w:val="FirstParagraph"/>
        <w:rPr>
          <w:lang w:val="fr-FR"/>
        </w:rPr>
      </w:pPr>
      <w:r w:rsidRPr="00C46716">
        <w:rPr>
          <w:lang w:val="fr-FR"/>
        </w:rPr>
        <w:t>Chaque Partie déclare disposer de la capacité et des pouvoirs requis et consentir librement. La commune intention des Parties (art. 1188 du Code civil) est celle exprimée au Préambule et aux Articles 15 et 5 ; en cas d’ambiguïté, le contrat s’interprète conformément à cette intention et à la règle de l’Article 16.</w:t>
      </w:r>
    </w:p>
    <w:p w14:paraId="67927D0F" w14:textId="48417C0D" w:rsidR="00FB6EF5" w:rsidRPr="00C46716" w:rsidRDefault="00000000">
      <w:pPr>
        <w:pStyle w:val="Titre2"/>
        <w:rPr>
          <w:lang w:val="fr-FR"/>
        </w:rPr>
      </w:pPr>
      <w:bookmarkStart w:id="44" w:name="Xcec6f1706eafa2d5b58efcc7fa1b39446c3738c"/>
      <w:bookmarkEnd w:id="43"/>
      <w:r w:rsidRPr="00C46716">
        <w:rPr>
          <w:lang w:val="fr-FR"/>
        </w:rPr>
        <w:t xml:space="preserve">Article </w:t>
      </w:r>
      <w:r w:rsidR="001F6016">
        <w:rPr>
          <w:lang w:val="fr-FR"/>
        </w:rPr>
        <w:t>45</w:t>
      </w:r>
      <w:r w:rsidRPr="00C46716">
        <w:rPr>
          <w:lang w:val="fr-FR"/>
        </w:rPr>
        <w:t xml:space="preserve"> — Force et opposabilité de l’inscription</w:t>
      </w:r>
    </w:p>
    <w:p w14:paraId="79D4A73A" w14:textId="77777777" w:rsidR="00FB6EF5" w:rsidRPr="00C46716" w:rsidRDefault="00000000">
      <w:pPr>
        <w:pStyle w:val="FirstParagraph"/>
        <w:rPr>
          <w:lang w:val="fr-FR"/>
        </w:rPr>
      </w:pPr>
      <w:r w:rsidRPr="00C46716">
        <w:rPr>
          <w:lang w:val="fr-FR"/>
        </w:rPr>
        <w:t>L’inscription d’un engagement dans le graphe vaut engagement contractuel entre les Parties concernées. Le registre, tenu sur support durable, horodaté et assorti d’un procédé d’identification fiable et de garanties d’intégrité (Annexe 3), fait foi des inscriptions dans les conditions des articles 1365 et 1366 du Code civil. Cette valeur probante conditionne l’effectivité des recours de l’Article 16.</w:t>
      </w:r>
    </w:p>
    <w:p w14:paraId="6E2042CB" w14:textId="3C6FDF13" w:rsidR="00FB6EF5" w:rsidRPr="00C46716" w:rsidRDefault="00000000">
      <w:pPr>
        <w:pStyle w:val="Titre2"/>
        <w:rPr>
          <w:lang w:val="fr-FR"/>
        </w:rPr>
      </w:pPr>
      <w:bookmarkStart w:id="45" w:name="X5b33fe0ea182a99758a3956c51e61648897a66f"/>
      <w:bookmarkEnd w:id="44"/>
      <w:r w:rsidRPr="00C46716">
        <w:rPr>
          <w:lang w:val="fr-FR"/>
        </w:rPr>
        <w:t>Article 4</w:t>
      </w:r>
      <w:r w:rsidR="001F6016">
        <w:rPr>
          <w:lang w:val="fr-FR"/>
        </w:rPr>
        <w:t>6</w:t>
      </w:r>
      <w:r w:rsidRPr="00C46716">
        <w:rPr>
          <w:lang w:val="fr-FR"/>
        </w:rPr>
        <w:t xml:space="preserve"> — Divisibilité, durée, intégralité</w:t>
      </w:r>
    </w:p>
    <w:p w14:paraId="66AF6725" w14:textId="77777777" w:rsidR="00FB6EF5" w:rsidRPr="00C46716" w:rsidRDefault="00000000">
      <w:pPr>
        <w:pStyle w:val="FirstParagraph"/>
        <w:rPr>
          <w:lang w:val="fr-FR"/>
        </w:rPr>
      </w:pPr>
      <w:r w:rsidRPr="00C46716">
        <w:rPr>
          <w:lang w:val="fr-FR"/>
        </w:rPr>
        <w:t>Toute stipulation jugée nulle ou inopposable est réputée non écrite sans affecter les autres, les Parties s’engageant à lui substituer de bonne foi une stipulation d’effet équivalent. Le contrat prend effet à sa signature pour [•], renouvelable, modifiable par avenant écrit dans les limites de l’Article 11. Il exprime l’intégralité de l’accord sur son objet.</w:t>
      </w:r>
    </w:p>
    <w:p w14:paraId="7214EAF4" w14:textId="3290D6E0" w:rsidR="00FB6EF5" w:rsidRPr="00C46716" w:rsidRDefault="00000000">
      <w:pPr>
        <w:pStyle w:val="Titre2"/>
        <w:rPr>
          <w:lang w:val="fr-FR"/>
        </w:rPr>
      </w:pPr>
      <w:bookmarkStart w:id="46" w:name="X183671f16fdf98f5549b4b50a42c01ee0c6952e"/>
      <w:bookmarkEnd w:id="45"/>
      <w:r w:rsidRPr="00C46716">
        <w:rPr>
          <w:lang w:val="fr-FR"/>
        </w:rPr>
        <w:t>Article 4</w:t>
      </w:r>
      <w:r w:rsidR="001F6016">
        <w:rPr>
          <w:lang w:val="fr-FR"/>
        </w:rPr>
        <w:t>7</w:t>
      </w:r>
      <w:r w:rsidRPr="00C46716">
        <w:rPr>
          <w:lang w:val="fr-FR"/>
        </w:rPr>
        <w:t xml:space="preserve"> — Réserve de conformité (impérative)</w:t>
      </w:r>
    </w:p>
    <w:p w14:paraId="27867DCA" w14:textId="77777777" w:rsidR="00FB6EF5" w:rsidRDefault="00000000">
      <w:pPr>
        <w:pStyle w:val="FirstParagraph"/>
      </w:pPr>
      <w:r w:rsidRPr="00C46716">
        <w:rPr>
          <w:b/>
          <w:bCs/>
          <w:lang w:val="fr-FR"/>
        </w:rPr>
        <w:t>Le dispositif est conçu pour demeurer hors du champ des services de paiement réglementés (CMF, art. L. 521-1 et s.), au moyen de la règle de séparation de l’Article 17. Cette frontière dépendant de détails d’exécution, le présent contrat doit être validé par un avocat en droit bancaire et financier, et le cas échéant faire l’objet d’une demande de position auprès de l’autorité compétente, avant tout démarrage.</w:t>
      </w:r>
      <w:r w:rsidRPr="00C46716">
        <w:rPr>
          <w:lang w:val="fr-FR"/>
        </w:rPr>
        <w:t xml:space="preserve"> Le cadre des monnaies locales complémentaires (loi n° 2014-856 du 31 juillet 2014 ; CMF art. L. 311-5 et L. 311-6) est examiné comme base alternative. Lorsque les échanges relèvent de l’entraide non professionnelle, la tolérance applicable aux systèmes d’échange local s’applique sous réserve de ne pas se substituer à une activité professionnelle ou salariée ; l’Organe de Gouvernance fixe à ce titre un plafond d’activité non professionnelle. </w:t>
      </w:r>
      <w:r>
        <w:t>Le présent document ne constitue pas un avis juridique.</w:t>
      </w:r>
    </w:p>
    <w:p w14:paraId="6D947EA1" w14:textId="77777777" w:rsidR="00FB6EF5" w:rsidRDefault="00000000">
      <w:pPr>
        <w:pStyle w:val="Titre1"/>
      </w:pPr>
      <w:bookmarkStart w:id="47" w:name="annexes"/>
      <w:bookmarkEnd w:id="42"/>
      <w:bookmarkEnd w:id="46"/>
      <w:r>
        <w:t>Annexes</w:t>
      </w:r>
    </w:p>
    <w:p w14:paraId="74CAD4EE" w14:textId="77777777" w:rsidR="00FB6EF5" w:rsidRPr="00C46716" w:rsidRDefault="00000000">
      <w:pPr>
        <w:numPr>
          <w:ilvl w:val="0"/>
          <w:numId w:val="2"/>
        </w:numPr>
        <w:rPr>
          <w:lang w:val="fr-FR"/>
        </w:rPr>
      </w:pPr>
      <w:r w:rsidRPr="00C46716">
        <w:rPr>
          <w:lang w:val="fr-FR"/>
        </w:rPr>
        <w:t>Annexe 1 — Description du Capital d’Ancrage (nature, teneur, montant K).</w:t>
      </w:r>
    </w:p>
    <w:p w14:paraId="2457A4C6" w14:textId="77777777" w:rsidR="00FB6EF5" w:rsidRPr="00C46716" w:rsidRDefault="00000000">
      <w:pPr>
        <w:numPr>
          <w:ilvl w:val="0"/>
          <w:numId w:val="2"/>
        </w:numPr>
        <w:rPr>
          <w:lang w:val="fr-FR"/>
        </w:rPr>
      </w:pPr>
      <w:r w:rsidRPr="00C46716">
        <w:rPr>
          <w:lang w:val="fr-FR"/>
        </w:rPr>
        <w:t>Annexe 2 — Modalités d’immobilisation, de séquestre et de préfinancement.</w:t>
      </w:r>
    </w:p>
    <w:p w14:paraId="51591293" w14:textId="77777777" w:rsidR="00FB6EF5" w:rsidRPr="00C46716" w:rsidRDefault="00000000">
      <w:pPr>
        <w:numPr>
          <w:ilvl w:val="0"/>
          <w:numId w:val="2"/>
        </w:numPr>
        <w:rPr>
          <w:lang w:val="fr-FR"/>
        </w:rPr>
      </w:pPr>
      <w:r w:rsidRPr="00C46716">
        <w:rPr>
          <w:lang w:val="fr-FR"/>
        </w:rPr>
        <w:t>Annexe 3 — Tenue du graphe, horodatage, identification, intégrité, valeur probante.</w:t>
      </w:r>
    </w:p>
    <w:p w14:paraId="612A78A7" w14:textId="77777777" w:rsidR="00FB6EF5" w:rsidRPr="00C46716" w:rsidRDefault="00000000">
      <w:pPr>
        <w:numPr>
          <w:ilvl w:val="0"/>
          <w:numId w:val="2"/>
        </w:numPr>
        <w:rPr>
          <w:lang w:val="fr-FR"/>
        </w:rPr>
      </w:pPr>
      <w:r w:rsidRPr="00C46716">
        <w:rPr>
          <w:lang w:val="fr-FR"/>
        </w:rPr>
        <w:t xml:space="preserve">Annexe 4 — Paramètres : fourchettes </w:t>
      </w:r>
      <w:r>
        <w:t>δ</w:t>
      </w:r>
      <w:r w:rsidRPr="00C46716">
        <w:rPr>
          <w:lang w:val="fr-FR"/>
        </w:rPr>
        <w:t>, plafond ∑</w:t>
      </w:r>
      <w:r>
        <w:t>δ</w:t>
      </w:r>
      <w:r w:rsidRPr="00C46716">
        <w:rPr>
          <w:lang w:val="fr-FR"/>
        </w:rPr>
        <w:t xml:space="preserve"> ≤ K, règle de Welfare Optimisation, plafond d’activité non professionnelle.</w:t>
      </w:r>
    </w:p>
    <w:p w14:paraId="3563840C" w14:textId="77777777" w:rsidR="00FB6EF5" w:rsidRPr="00C46716" w:rsidRDefault="00000000">
      <w:pPr>
        <w:numPr>
          <w:ilvl w:val="0"/>
          <w:numId w:val="2"/>
        </w:numPr>
        <w:rPr>
          <w:lang w:val="fr-FR"/>
        </w:rPr>
      </w:pPr>
      <w:r w:rsidRPr="00C46716">
        <w:rPr>
          <w:lang w:val="fr-FR"/>
        </w:rPr>
        <w:t>Annexe 5 — Méthodologies d’évaluation des bénéfices ODD (ICAT, IIED, SEEA-EA).</w:t>
      </w:r>
    </w:p>
    <w:p w14:paraId="45CD90FB" w14:textId="77777777" w:rsidR="00FB6EF5" w:rsidRPr="00C46716" w:rsidRDefault="00000000">
      <w:pPr>
        <w:numPr>
          <w:ilvl w:val="0"/>
          <w:numId w:val="2"/>
        </w:numPr>
        <w:rPr>
          <w:lang w:val="fr-FR"/>
        </w:rPr>
      </w:pPr>
      <w:r w:rsidRPr="00C46716">
        <w:rPr>
          <w:lang w:val="fr-FR"/>
        </w:rPr>
        <w:t>Annexe 6 — Règlement intérieur de l’Organe de Gouvernance : composition, mandats, procédures de décision, d’approbation et de révocation de ses membres.</w:t>
      </w:r>
    </w:p>
    <w:p w14:paraId="7A3FD81A" w14:textId="77777777" w:rsidR="00FB6EF5" w:rsidRPr="00C46716" w:rsidRDefault="00000000">
      <w:pPr>
        <w:pStyle w:val="Titre1"/>
        <w:rPr>
          <w:lang w:val="fr-FR"/>
        </w:rPr>
      </w:pPr>
      <w:bookmarkStart w:id="48" w:name="signatures"/>
      <w:bookmarkEnd w:id="47"/>
      <w:r w:rsidRPr="00C46716">
        <w:rPr>
          <w:lang w:val="fr-FR"/>
        </w:rPr>
        <w:t>Signatures</w:t>
      </w:r>
    </w:p>
    <w:p w14:paraId="7E52655D" w14:textId="77777777" w:rsidR="00FB6EF5" w:rsidRPr="00C46716" w:rsidRDefault="00000000">
      <w:pPr>
        <w:pStyle w:val="FirstParagraph"/>
        <w:rPr>
          <w:lang w:val="fr-FR"/>
        </w:rPr>
      </w:pPr>
      <w:r w:rsidRPr="00C46716">
        <w:rPr>
          <w:lang w:val="fr-FR"/>
        </w:rPr>
        <w:t>Fait à [•], le [•], en [•] exemplaires.</w:t>
      </w:r>
    </w:p>
    <w:p w14:paraId="3A078DCE" w14:textId="77777777" w:rsidR="00FB6EF5" w:rsidRPr="00C46716" w:rsidRDefault="00000000">
      <w:pPr>
        <w:pStyle w:val="Corpsdetexte"/>
        <w:rPr>
          <w:lang w:val="fr-FR"/>
        </w:rPr>
      </w:pPr>
      <w:r w:rsidRPr="00C46716">
        <w:rPr>
          <w:b/>
          <w:bCs/>
          <w:lang w:val="fr-FR"/>
        </w:rPr>
        <w:t>Le Propriétaire</w:t>
      </w:r>
      <w:r w:rsidRPr="00C46716">
        <w:rPr>
          <w:lang w:val="fr-FR"/>
        </w:rPr>
        <w:t xml:space="preserve"> </w:t>
      </w:r>
      <w:r w:rsidRPr="00C46716">
        <w:rPr>
          <w:b/>
          <w:bCs/>
          <w:lang w:val="fr-FR"/>
        </w:rPr>
        <w:t>Pour les Membres — l’Organe de Gouvernance</w:t>
      </w:r>
    </w:p>
    <w:p w14:paraId="4ED7FCC4" w14:textId="77777777" w:rsidR="00FB6EF5" w:rsidRDefault="00000000">
      <w:pPr>
        <w:pStyle w:val="Corpsdetexte"/>
      </w:pPr>
      <w:r>
        <w:t>______________________ ______________________</w:t>
      </w:r>
      <w:bookmarkEnd w:id="48"/>
    </w:p>
    <w:sectPr w:rsidR="00FB6EF5">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26DDE" w14:textId="77777777" w:rsidR="00BB2197" w:rsidRDefault="00BB2197">
      <w:pPr>
        <w:spacing w:after="0"/>
      </w:pPr>
      <w:r>
        <w:separator/>
      </w:r>
    </w:p>
  </w:endnote>
  <w:endnote w:type="continuationSeparator" w:id="0">
    <w:p w14:paraId="2DBCC3BE" w14:textId="77777777" w:rsidR="00BB2197" w:rsidRDefault="00BB21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D9720" w14:textId="77777777" w:rsidR="00BB2197" w:rsidRDefault="00BB2197">
      <w:r>
        <w:separator/>
      </w:r>
    </w:p>
  </w:footnote>
  <w:footnote w:type="continuationSeparator" w:id="0">
    <w:p w14:paraId="22526D6D" w14:textId="77777777" w:rsidR="00BB2197" w:rsidRDefault="00BB2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8F8E8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2A89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78381121">
    <w:abstractNumId w:val="0"/>
  </w:num>
  <w:num w:numId="2" w16cid:durableId="1428388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F5"/>
    <w:rsid w:val="0009212E"/>
    <w:rsid w:val="000E0B0F"/>
    <w:rsid w:val="001756A4"/>
    <w:rsid w:val="0019365D"/>
    <w:rsid w:val="001D3D36"/>
    <w:rsid w:val="001F153F"/>
    <w:rsid w:val="001F6016"/>
    <w:rsid w:val="002F20D8"/>
    <w:rsid w:val="00330B85"/>
    <w:rsid w:val="00334132"/>
    <w:rsid w:val="003B39F9"/>
    <w:rsid w:val="003D38C7"/>
    <w:rsid w:val="003E67EE"/>
    <w:rsid w:val="00401100"/>
    <w:rsid w:val="00407954"/>
    <w:rsid w:val="00432E8D"/>
    <w:rsid w:val="0048210B"/>
    <w:rsid w:val="005001A0"/>
    <w:rsid w:val="005D4A32"/>
    <w:rsid w:val="00634AB4"/>
    <w:rsid w:val="00661B3D"/>
    <w:rsid w:val="007059B7"/>
    <w:rsid w:val="00737A36"/>
    <w:rsid w:val="00745F91"/>
    <w:rsid w:val="007B5B0E"/>
    <w:rsid w:val="007F6E8E"/>
    <w:rsid w:val="008109BD"/>
    <w:rsid w:val="00892128"/>
    <w:rsid w:val="00911EBB"/>
    <w:rsid w:val="00970B6F"/>
    <w:rsid w:val="00A154ED"/>
    <w:rsid w:val="00A73B2E"/>
    <w:rsid w:val="00B35DAF"/>
    <w:rsid w:val="00BB2197"/>
    <w:rsid w:val="00BB42F3"/>
    <w:rsid w:val="00BC10FA"/>
    <w:rsid w:val="00BE1AD0"/>
    <w:rsid w:val="00C07156"/>
    <w:rsid w:val="00C46716"/>
    <w:rsid w:val="00CE4410"/>
    <w:rsid w:val="00DB179E"/>
    <w:rsid w:val="00E318E7"/>
    <w:rsid w:val="00E50DF8"/>
    <w:rsid w:val="00FB6EF5"/>
    <w:rsid w:val="00FC5B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4389"/>
  <w15:docId w15:val="{AA53F065-9BBD-4656-9497-AA3E8EC7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1205">
      <w:bodyDiv w:val="1"/>
      <w:marLeft w:val="0"/>
      <w:marRight w:val="0"/>
      <w:marTop w:val="0"/>
      <w:marBottom w:val="0"/>
      <w:divBdr>
        <w:top w:val="none" w:sz="0" w:space="0" w:color="auto"/>
        <w:left w:val="none" w:sz="0" w:space="0" w:color="auto"/>
        <w:bottom w:val="none" w:sz="0" w:space="0" w:color="auto"/>
        <w:right w:val="none" w:sz="0" w:space="0" w:color="auto"/>
      </w:divBdr>
      <w:divsChild>
        <w:div w:id="16561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57689">
      <w:bodyDiv w:val="1"/>
      <w:marLeft w:val="0"/>
      <w:marRight w:val="0"/>
      <w:marTop w:val="0"/>
      <w:marBottom w:val="0"/>
      <w:divBdr>
        <w:top w:val="none" w:sz="0" w:space="0" w:color="auto"/>
        <w:left w:val="none" w:sz="0" w:space="0" w:color="auto"/>
        <w:bottom w:val="none" w:sz="0" w:space="0" w:color="auto"/>
        <w:right w:val="none" w:sz="0" w:space="0" w:color="auto"/>
      </w:divBdr>
    </w:div>
    <w:div w:id="1181630309">
      <w:bodyDiv w:val="1"/>
      <w:marLeft w:val="0"/>
      <w:marRight w:val="0"/>
      <w:marTop w:val="0"/>
      <w:marBottom w:val="0"/>
      <w:divBdr>
        <w:top w:val="none" w:sz="0" w:space="0" w:color="auto"/>
        <w:left w:val="none" w:sz="0" w:space="0" w:color="auto"/>
        <w:bottom w:val="none" w:sz="0" w:space="0" w:color="auto"/>
        <w:right w:val="none" w:sz="0" w:space="0" w:color="auto"/>
      </w:divBdr>
    </w:div>
    <w:div w:id="1559121803">
      <w:bodyDiv w:val="1"/>
      <w:marLeft w:val="0"/>
      <w:marRight w:val="0"/>
      <w:marTop w:val="0"/>
      <w:marBottom w:val="0"/>
      <w:divBdr>
        <w:top w:val="none" w:sz="0" w:space="0" w:color="auto"/>
        <w:left w:val="none" w:sz="0" w:space="0" w:color="auto"/>
        <w:bottom w:val="none" w:sz="0" w:space="0" w:color="auto"/>
        <w:right w:val="none" w:sz="0" w:space="0" w:color="auto"/>
      </w:divBdr>
      <w:divsChild>
        <w:div w:id="122803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B82F0-B605-4135-9808-2F904A652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12050</Words>
  <Characters>66281</Characters>
  <Application>Microsoft Office Word</Application>
  <DocSecurity>0</DocSecurity>
  <Lines>552</Lines>
  <Paragraphs>156</Paragraphs>
  <ScaleCrop>false</ScaleCrop>
  <HeadingPairs>
    <vt:vector size="4" baseType="variant">
      <vt:variant>
        <vt:lpstr>Titre</vt:lpstr>
      </vt:variant>
      <vt:variant>
        <vt:i4>1</vt:i4>
      </vt:variant>
      <vt:variant>
        <vt:lpstr>Titres</vt:lpstr>
      </vt:variant>
      <vt:variant>
        <vt:i4>50</vt:i4>
      </vt:variant>
    </vt:vector>
  </HeadingPairs>
  <TitlesOfParts>
    <vt:vector size="51" baseType="lpstr">
      <vt:lpstr/>
      <vt:lpstr>Entre les soussignés</vt:lpstr>
      <vt:lpstr>Préambule</vt:lpstr>
      <vt:lpstr>Principes directeurs de la décision</vt:lpstr>
      <vt:lpstr>    Principe I — Acceptabilité (le nécessaire)</vt:lpstr>
      <vt:lpstr>    Principe II — Préférence (le souhaitable)</vt:lpstr>
      <vt:lpstr>    Principe III — Composition, primauté et cohérence</vt:lpstr>
      <vt:lpstr>Article 1 — Définitions</vt:lpstr>
      <vt:lpstr>Titre I — Démembrement et capital d’ancrage</vt:lpstr>
      <vt:lpstr>    Article 2 — Démembrement</vt:lpstr>
      <vt:lpstr>    Article 3 — Immobilisation</vt:lpstr>
      <vt:lpstr>Titre II — Nature et qualification</vt:lpstr>
      <vt:lpstr>    Article 4 — Nature non monétaire</vt:lpstr>
      <vt:lpstr>    Article 5 — Qualification</vt:lpstr>
      <vt:lpstr>    Article 6 — Admission</vt:lpstr>
      <vt:lpstr>Titre III — Le graphe programmatique d’échange</vt:lpstr>
      <vt:lpstr>    Article 7 — Structure du graphe : nœuds, arcs, pondération</vt:lpstr>
      <vt:lpstr>    Article 8 — Cycles et compensation</vt:lpstr>
      <vt:lpstr>    Article 9 — Inscription et réalisation</vt:lpstr>
      <vt:lpstr>Titre IV — Sécurité par soldes symétriques : avantages et principes</vt:lpstr>
      <vt:lpstr>    Article 10 — Les avantage du dispositif</vt:lpstr>
      <vt:lpstr>    Article 11 — La limite porte sur les soldes individuels</vt:lpstr>
      <vt:lpstr>    Article 12 — Le capital détermine le plafond d’exposition</vt:lpstr>
      <vt:lpstr>    Article 13 — Préfinancement et collatéralisation</vt:lpstr>
      <vt:lpstr>Titre V — Entrée, sortie, gestion et défaillance</vt:lpstr>
      <vt:lpstr>    Article 14 — Les modalités d’entrée dans le système</vt:lpstr>
      <vt:lpstr>    Article 15 — La liberté de sortie du système</vt:lpstr>
      <vt:lpstr>    Article 16 — Défaillance et droit commun</vt:lpstr>
      <vt:lpstr>Titre VI — Pureté du noyau et frontière externe</vt:lpstr>
      <vt:lpstr>    Article 17 — La pureté du noyau</vt:lpstr>
      <vt:lpstr>    Article 18 — Une fonction non rivale et non exclusive</vt:lpstr>
      <vt:lpstr>    Article 19 — Le financement de la frontière externe</vt:lpstr>
      <vt:lpstr>Titre VII — Choix de projets, priorisation et vote de préférence</vt:lpstr>
      <vt:lpstr>    Article 20 — Critère de bénéfice, extra-comptable</vt:lpstr>
      <vt:lpstr>    Article 21 — Priorisation par vote de consensus</vt:lpstr>
      <vt:lpstr>    Article 22 — Vote qui s’exprime par un engagement de créance</vt:lpstr>
      <vt:lpstr>Titre VIII — Comptabilité </vt:lpstr>
      <vt:lpstr>Titre IX — Gouvernance</vt:lpstr>
      <vt:lpstr>    Article 32 — Nature, composition et mission de l’Organe de Gouvernance</vt:lpstr>
      <vt:lpstr>    Article 33 — Outils de transmission numérique et infrastructure du registre</vt:lpstr>
      <vt:lpstr>    Article 34 — Gestion algorithmique du graphe</vt:lpstr>
      <vt:lpstr>    Article 35 — Contrôle des opérations du graphe</vt:lpstr>
      <vt:lpstr>    Article 36 — Animation du réseau</vt:lpstr>
      <vt:lpstr>    Article 37 — Rapport annuel d’activité et reddition</vt:lpstr>
      <vt:lpstr>Titre X — Robustesse et clauses finales</vt:lpstr>
      <vt:lpstr>    Article 38 — Déclarations et prévention de la requalification</vt:lpstr>
      <vt:lpstr>    Article 39 — Force et opposabilité de l’inscription</vt:lpstr>
      <vt:lpstr>    Article 40 — Divisibilité, durée, intégralité</vt:lpstr>
      <vt:lpstr>    Article 41 — Réserve de conformité (impérative)</vt:lpstr>
      <vt:lpstr>Annexes</vt:lpstr>
      <vt:lpstr>Signatures</vt:lpstr>
    </vt:vector>
  </TitlesOfParts>
  <Company/>
  <LinksUpToDate>false</LinksUpToDate>
  <CharactersWithSpaces>78175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 Rocca</dc:creator>
  <cp:keywords/>
  <cp:lastModifiedBy>Olivier Rocca</cp:lastModifiedBy>
  <cp:revision>2</cp:revision>
  <dcterms:created xsi:type="dcterms:W3CDTF">2026-07-06T15:39:00Z</dcterms:created>
  <dcterms:modified xsi:type="dcterms:W3CDTF">2026-07-06T15:39:00Z</dcterms:modified>
</cp:coreProperties>
</file>