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BAF37" w14:textId="77777777" w:rsidR="00F52B8A" w:rsidRPr="00F52B8A" w:rsidRDefault="00F52B8A" w:rsidP="00F52B8A">
      <w:pPr>
        <w:pStyle w:val="FirstParagraph"/>
        <w:spacing w:before="120" w:after="0"/>
        <w:jc w:val="center"/>
        <w:rPr>
          <w:b/>
          <w:bCs/>
          <w:sz w:val="28"/>
          <w:szCs w:val="28"/>
          <w:lang w:val="fr-FR"/>
        </w:rPr>
      </w:pPr>
      <w:r>
        <w:rPr>
          <w:b/>
          <w:bCs/>
          <w:sz w:val="28"/>
          <w:szCs w:val="28"/>
          <w:lang w:val="fr-FR"/>
        </w:rPr>
        <w:t>CONTRAT INSTITUANT UN COMMUN MONÉTAIRE ET FINANCIER</w:t>
      </w:r>
    </w:p>
    <w:p w14:paraId="6437583F" w14:textId="032325BE" w:rsidR="00F52B8A" w:rsidRPr="00F52B8A" w:rsidRDefault="00F52B8A" w:rsidP="00F52B8A">
      <w:pPr>
        <w:pStyle w:val="FirstParagraph"/>
        <w:spacing w:before="120"/>
        <w:jc w:val="center"/>
        <w:rPr>
          <w:b/>
          <w:bCs/>
          <w:lang w:val="fr-FR"/>
        </w:rPr>
      </w:pPr>
      <w:r>
        <w:rPr>
          <w:i/>
          <w:iCs/>
          <w:lang w:val="fr-FR"/>
        </w:rPr>
        <w:t xml:space="preserve">Organisant un système coopératif d'échange, de compensation et de décision collective, </w:t>
      </w:r>
      <w:r>
        <w:rPr>
          <w:i/>
          <w:iCs/>
          <w:lang w:val="fr-FR"/>
        </w:rPr>
        <w:br/>
        <w:t xml:space="preserve">fondé sur un graphe d'engagements réciproques </w:t>
      </w:r>
      <w:r>
        <w:rPr>
          <w:i/>
          <w:iCs/>
          <w:lang w:val="fr-FR"/>
        </w:rPr>
        <w:br/>
        <w:t>au service du financement des Objectifs de Développement Durable.</w:t>
      </w:r>
    </w:p>
    <w:p w14:paraId="2627A08F" w14:textId="77777777" w:rsidR="00F52B8A" w:rsidRPr="00F52B8A" w:rsidRDefault="00F52B8A" w:rsidP="00F52B8A">
      <w:pPr>
        <w:pStyle w:val="Corpsdetexte"/>
        <w:rPr>
          <w:lang w:val="fr-FR"/>
        </w:rPr>
      </w:pPr>
    </w:p>
    <w:p w14:paraId="3A1AFD31" w14:textId="77777777" w:rsidR="00FB6EF5" w:rsidRPr="00C46716" w:rsidRDefault="00000000">
      <w:pPr>
        <w:pStyle w:val="Titre1"/>
        <w:rPr>
          <w:lang w:val="fr-FR"/>
        </w:rPr>
      </w:pPr>
      <w:bookmarkStart w:id="0" w:name="_Hlk234525594"/>
      <w:bookmarkStart w:id="1" w:name="entre-les-soussignés"/>
      <w:r>
        <w:rPr>
          <w:lang w:val="fr-FR"/>
        </w:rPr>
        <w:t>Entre les soussignés</w:t>
      </w:r>
    </w:p>
    <w:bookmarkEnd w:id="0"/>
    <w:p w14:paraId="38700B5B" w14:textId="77777777" w:rsidR="00FB6EF5" w:rsidRPr="00C46716" w:rsidRDefault="00000000">
      <w:pPr>
        <w:pStyle w:val="FirstParagraph"/>
        <w:rPr>
          <w:lang w:val="fr-FR"/>
        </w:rPr>
      </w:pPr>
      <w:r>
        <w:rPr>
          <w:lang w:val="fr-FR"/>
        </w:rPr>
        <w:t>[Nom / dénomination], [forme juridique], siège [•], immatriculée [•], représentée par [•], ci-après le « Propriétaire » ;</w:t>
      </w:r>
    </w:p>
    <w:p w14:paraId="3D7071A2" w14:textId="77777777" w:rsidR="00FB6EF5" w:rsidRPr="00C46716" w:rsidRDefault="00000000">
      <w:pPr>
        <w:pStyle w:val="Corpsdetexte"/>
        <w:rPr>
          <w:lang w:val="fr-FR"/>
        </w:rPr>
      </w:pPr>
      <w:r>
        <w:rPr>
          <w:lang w:val="fr-FR"/>
        </w:rPr>
        <w:t>Et la communauté ouverte des personnes admises comme Titulaires selon l’Article 11, agissant par l’Organe de Gouvernance (Art. 42), ci-après les « Membres » ;</w:t>
      </w:r>
    </w:p>
    <w:p w14:paraId="1DC429F2" w14:textId="77777777" w:rsidR="00FB6EF5" w:rsidRDefault="00000000">
      <w:pPr>
        <w:pStyle w:val="Corpsdetexte"/>
        <w:rPr>
          <w:i/>
          <w:iCs/>
          <w:lang w:val="fr-FR"/>
        </w:rPr>
      </w:pPr>
      <w:r>
        <w:rPr>
          <w:i/>
          <w:iCs/>
          <w:lang w:val="fr-FR"/>
        </w:rPr>
        <w:t>Ensemble les « Parties ».</w:t>
      </w:r>
    </w:p>
    <w:p w14:paraId="11FE53C6" w14:textId="77777777" w:rsidR="00D74966" w:rsidRDefault="00D74966">
      <w:pPr>
        <w:pStyle w:val="Corpsdetexte"/>
        <w:rPr>
          <w:i/>
          <w:iCs/>
          <w:lang w:val="fr-FR"/>
        </w:rPr>
      </w:pPr>
    </w:p>
    <w:p w14:paraId="29354EB3" w14:textId="2F7D3C0E" w:rsidR="00D74966" w:rsidRPr="00D74966" w:rsidRDefault="00D74966" w:rsidP="00D74966">
      <w:pPr>
        <w:pStyle w:val="Titre1"/>
        <w:rPr>
          <w:lang w:val="fr-FR"/>
        </w:rPr>
      </w:pPr>
      <w:r>
        <w:rPr>
          <w:lang w:val="fr-FR"/>
        </w:rPr>
        <w:t>Préambule</w:t>
      </w:r>
    </w:p>
    <w:p w14:paraId="7D18ED5C" w14:textId="7D4AA4BE" w:rsidR="00D74966" w:rsidRPr="00D74966" w:rsidRDefault="00D74966" w:rsidP="00D74966">
      <w:pPr>
        <w:pStyle w:val="Corpsdetexte"/>
        <w:rPr>
          <w:lang w:val="fr-FR"/>
        </w:rPr>
      </w:pPr>
      <w:r w:rsidRPr="00A17F36">
        <w:rPr>
          <w:b/>
          <w:lang w:val="fr-FR"/>
        </w:rPr>
        <w:t xml:space="preserve">1. Du constat. </w:t>
      </w:r>
      <w:r w:rsidRPr="00A17F36">
        <w:rPr>
          <w:lang w:val="fr-FR"/>
        </w:rPr>
        <w:t>Les systèmes monétaires contemporains coordonnent les échanges par la circulation d'un instrument de paiement dont la rareté, l'accumulation et le coût d'accès conditionnent la capacité d'agir des personnes et des collectivités. Cette logique de circulation et d'accumulation laisse sans réponse s</w:t>
      </w:r>
      <w:r w:rsidR="00A532A8">
        <w:rPr>
          <w:lang w:val="fr-FR"/>
        </w:rPr>
        <w:t>atisfaisante</w:t>
      </w:r>
      <w:r w:rsidR="00A17F36">
        <w:rPr>
          <w:lang w:val="fr-FR"/>
        </w:rPr>
        <w:t xml:space="preserve"> trois</w:t>
      </w:r>
      <w:r w:rsidRPr="00A17F36">
        <w:rPr>
          <w:lang w:val="fr-FR"/>
        </w:rPr>
        <w:t xml:space="preserve"> besoins majeurs : celui des communautés </w:t>
      </w:r>
      <w:r w:rsidR="00A532A8">
        <w:rPr>
          <w:lang w:val="fr-FR"/>
        </w:rPr>
        <w:t xml:space="preserve">locales </w:t>
      </w:r>
      <w:r w:rsidRPr="00A17F36">
        <w:rPr>
          <w:lang w:val="fr-FR"/>
        </w:rPr>
        <w:t xml:space="preserve">dont les capacités de production et les besoins réciproques existent mais ne se rencontrent pas, faute de liquidités ; </w:t>
      </w:r>
      <w:r w:rsidR="00A17F36">
        <w:rPr>
          <w:lang w:val="fr-FR"/>
        </w:rPr>
        <w:t xml:space="preserve">celui des services publics </w:t>
      </w:r>
      <w:r w:rsidR="00A532A8">
        <w:rPr>
          <w:lang w:val="fr-FR"/>
        </w:rPr>
        <w:t xml:space="preserve"> régionaux et nationaux </w:t>
      </w:r>
      <w:r w:rsidR="00A17F36">
        <w:rPr>
          <w:lang w:val="fr-FR"/>
        </w:rPr>
        <w:t xml:space="preserve">dont on peut constater qu’aucun Etat n’a jamais su les développer de façon pleinement </w:t>
      </w:r>
      <w:r w:rsidR="00A532A8">
        <w:rPr>
          <w:lang w:val="fr-FR"/>
        </w:rPr>
        <w:t>efficiente</w:t>
      </w:r>
      <w:r w:rsidR="00A17F36">
        <w:rPr>
          <w:lang w:val="fr-FR"/>
        </w:rPr>
        <w:t xml:space="preserve"> en raison de mécanismes de financement régis par les contraintes de l’endettement public et du taux d’intérêt </w:t>
      </w:r>
      <w:r w:rsidR="00A532A8">
        <w:rPr>
          <w:lang w:val="fr-FR"/>
        </w:rPr>
        <w:t xml:space="preserve">privé </w:t>
      </w:r>
      <w:r w:rsidR="00A17F36">
        <w:rPr>
          <w:lang w:val="fr-FR"/>
        </w:rPr>
        <w:t xml:space="preserve">pour des activités d’importance vitale mais ne répondant pas aux critères de la rentabilité ; </w:t>
      </w:r>
      <w:r w:rsidRPr="00A17F36">
        <w:rPr>
          <w:lang w:val="fr-FR"/>
        </w:rPr>
        <w:t>et</w:t>
      </w:r>
      <w:r w:rsidR="00A17F36">
        <w:rPr>
          <w:lang w:val="fr-FR"/>
        </w:rPr>
        <w:t xml:space="preserve"> enfin</w:t>
      </w:r>
      <w:r w:rsidRPr="00A17F36">
        <w:rPr>
          <w:lang w:val="fr-FR"/>
        </w:rPr>
        <w:t xml:space="preserve"> celui du financement des </w:t>
      </w:r>
      <w:r w:rsidR="00A532A8">
        <w:rPr>
          <w:lang w:val="fr-FR"/>
        </w:rPr>
        <w:t>o</w:t>
      </w:r>
      <w:r w:rsidRPr="00A17F36">
        <w:rPr>
          <w:lang w:val="fr-FR"/>
        </w:rPr>
        <w:t xml:space="preserve">bjectifs de </w:t>
      </w:r>
      <w:r w:rsidR="00A532A8">
        <w:rPr>
          <w:lang w:val="fr-FR"/>
        </w:rPr>
        <w:t>d</w:t>
      </w:r>
      <w:r w:rsidRPr="00A17F36">
        <w:rPr>
          <w:lang w:val="fr-FR"/>
        </w:rPr>
        <w:t xml:space="preserve">éveloppement </w:t>
      </w:r>
      <w:r w:rsidR="00A532A8">
        <w:rPr>
          <w:lang w:val="fr-FR"/>
        </w:rPr>
        <w:t>d</w:t>
      </w:r>
      <w:r w:rsidRPr="00A17F36">
        <w:rPr>
          <w:lang w:val="fr-FR"/>
        </w:rPr>
        <w:t>urable</w:t>
      </w:r>
      <w:r w:rsidR="00A532A8">
        <w:rPr>
          <w:lang w:val="fr-FR"/>
        </w:rPr>
        <w:t xml:space="preserve"> (ODD)</w:t>
      </w:r>
      <w:r w:rsidRPr="00A17F36">
        <w:rPr>
          <w:lang w:val="fr-FR"/>
        </w:rPr>
        <w:t xml:space="preserve"> adoptés par l'Assemblée générale des Nations Unies le 25 septembre 2015 (Agenda 2030), dont la réalisation exige de diriger vers les projets d'intérêt collectif des ressources que les circuits monétaires et financiers classiques </w:t>
      </w:r>
      <w:r w:rsidR="00A532A8">
        <w:rPr>
          <w:lang w:val="fr-FR"/>
        </w:rPr>
        <w:t>préfèrent capter pour la satisfaction d’intérêts privés</w:t>
      </w:r>
      <w:r w:rsidRPr="00A17F36">
        <w:rPr>
          <w:lang w:val="fr-FR"/>
        </w:rPr>
        <w:t>.</w:t>
      </w:r>
    </w:p>
    <w:p w14:paraId="5F3AE956" w14:textId="77777777" w:rsidR="00D74966" w:rsidRPr="00D74966" w:rsidRDefault="00D74966" w:rsidP="00D74966">
      <w:pPr>
        <w:pStyle w:val="Corpsdetexte"/>
        <w:rPr>
          <w:lang w:val="fr-FR"/>
        </w:rPr>
      </w:pPr>
      <w:r w:rsidRPr="00A17F36">
        <w:rPr>
          <w:b/>
          <w:lang w:val="fr-FR"/>
        </w:rPr>
        <w:t xml:space="preserve">2. De l'intention des Parties. </w:t>
      </w:r>
      <w:r w:rsidRPr="00A17F36">
        <w:rPr>
          <w:lang w:val="fr-FR"/>
        </w:rPr>
        <w:t>Les Parties entendent instituer, par le présent contrat, un commun monétaire et financier : un dispositif coopératif d'échange, de compensation et de décision collective permettant à une communauté ouverte de coordonner ses échanges, ses capacités de production et le financement de projets d'intérêt collectif sans recourir à une monnaie circulante comme instrument principal d'échange, et sans que la capacité économique de chacun dépende de l'accumulation préalable d'un actif monétaire.</w:t>
      </w:r>
    </w:p>
    <w:p w14:paraId="721678EE" w14:textId="77777777" w:rsidR="00D74966" w:rsidRPr="00D74966" w:rsidRDefault="00D74966" w:rsidP="00D74966">
      <w:pPr>
        <w:pStyle w:val="Corpsdetexte"/>
        <w:rPr>
          <w:lang w:val="fr-FR"/>
        </w:rPr>
      </w:pPr>
      <w:r w:rsidRPr="00A17F36">
        <w:rPr>
          <w:b/>
          <w:lang w:val="fr-FR"/>
        </w:rPr>
        <w:t xml:space="preserve">3. Du mécanisme d'échange. </w:t>
      </w:r>
      <w:r w:rsidRPr="00A17F36">
        <w:rPr>
          <w:lang w:val="fr-FR"/>
        </w:rPr>
        <w:t xml:space="preserve">Le dispositif repose sur un système de compensation multilatérale d'engagements réciproques, inscrits et programmés temporellement dans un </w:t>
      </w:r>
      <w:r w:rsidRPr="00A17F36">
        <w:rPr>
          <w:lang w:val="fr-FR"/>
        </w:rPr>
        <w:lastRenderedPageBreak/>
        <w:t xml:space="preserve">graphe cyclique d'échange. Toute écriture débitrice y a pour miroir exact une écriture créditrice, de sorte que la somme algébrique des soldes demeure constamment nulle : la valeur ne circule pas, elle se compense. Les unités internes qui mesurent ces engagements ne constituent ni une monnaie, ni un moyen de paiement, ni un actif transférable ; elles </w:t>
      </w:r>
      <w:proofErr w:type="gramStart"/>
      <w:r w:rsidRPr="00A17F36">
        <w:rPr>
          <w:lang w:val="fr-FR"/>
        </w:rPr>
        <w:t>s'éteignent</w:t>
      </w:r>
      <w:proofErr w:type="gramEnd"/>
      <w:r w:rsidRPr="00A17F36">
        <w:rPr>
          <w:lang w:val="fr-FR"/>
        </w:rPr>
        <w:t xml:space="preserve"> à la fermeture de chaque cycle. Le dispositif substitue ainsi la compensation à la circulation, l'équilibre à l'accumulation et l'usage à l'appropriation.</w:t>
      </w:r>
    </w:p>
    <w:p w14:paraId="632A49DB" w14:textId="77777777" w:rsidR="00D74966" w:rsidRPr="00D74966" w:rsidRDefault="00D74966" w:rsidP="00D74966">
      <w:pPr>
        <w:pStyle w:val="Corpsdetexte"/>
        <w:rPr>
          <w:lang w:val="fr-FR"/>
        </w:rPr>
      </w:pPr>
      <w:r w:rsidRPr="00A17F36">
        <w:rPr>
          <w:b/>
          <w:lang w:val="fr-FR"/>
        </w:rPr>
        <w:t xml:space="preserve">4. De l'ancrage patrimonial. </w:t>
      </w:r>
      <w:r w:rsidRPr="00A17F36">
        <w:rPr>
          <w:lang w:val="fr-FR"/>
        </w:rPr>
        <w:t>La solidité du dispositif est assise sur un Capital d'Ancrage apporté par le Propriétaire, démembré et immobilisé : le Propriétaire en conserve la nue-propriété et les fruits, tandis que la communauté des Membres exerce un droit d'usage collectif sur la fonction de mesure, de coordination et de compensation des échanges que ce capital rend possible. Le Capital d'Ancrage ne circule pas, n'est exposé à aucune transaction et détermine le plafond de l'exposition autorisée du système.</w:t>
      </w:r>
    </w:p>
    <w:p w14:paraId="68603916" w14:textId="77777777" w:rsidR="00D74966" w:rsidRPr="00D74966" w:rsidRDefault="00D74966" w:rsidP="00D74966">
      <w:pPr>
        <w:pStyle w:val="Corpsdetexte"/>
        <w:rPr>
          <w:lang w:val="fr-FR"/>
        </w:rPr>
      </w:pPr>
      <w:r w:rsidRPr="00A17F36">
        <w:rPr>
          <w:b/>
          <w:lang w:val="fr-FR"/>
        </w:rPr>
        <w:t xml:space="preserve">5. De la sécurité prudentielle. </w:t>
      </w:r>
      <w:r w:rsidRPr="00A17F36">
        <w:rPr>
          <w:lang w:val="fr-FR"/>
        </w:rPr>
        <w:t>Le dispositif s'astreint au respect d'invariants prudentiels — conservation de la valeur, limitation de l'exposition, absence de concentration, localité des perturbations et collatéralisation intégrale des positions débitrices par un préfinancement en argent réel — qui conditionnent la validité de toute inscription au graphe et protègent chaque Membre contre la défaillance d'autrui. La sécurité détermine le champ des opérations réalisables avant toute considération de performance.</w:t>
      </w:r>
    </w:p>
    <w:p w14:paraId="4E7AFBB9" w14:textId="77777777" w:rsidR="00D74966" w:rsidRPr="00D74966" w:rsidRDefault="00D74966" w:rsidP="00D74966">
      <w:pPr>
        <w:pStyle w:val="Corpsdetexte"/>
        <w:rPr>
          <w:lang w:val="fr-FR"/>
        </w:rPr>
      </w:pPr>
      <w:r w:rsidRPr="00A17F36">
        <w:rPr>
          <w:b/>
          <w:lang w:val="fr-FR"/>
        </w:rPr>
        <w:t xml:space="preserve">6. De la décision collective. </w:t>
      </w:r>
      <w:r w:rsidRPr="00A17F36">
        <w:rPr>
          <w:lang w:val="fr-FR"/>
        </w:rPr>
        <w:t>Le dispositif associe, au sein d'une même architecture, le système d'échange et un système de décision collective fondé sur la composition de deux principes : l'acceptabilité, condition nécessaire qui borne le champ des opérations réalisables dans les limites prudentielles, et la préférence, fonction d'objectif qui ordonne la réalisation des projets selon leur bénéfice attendu au regard des Objectifs de Développement Durable. Le consensus issu de leur composition oriente les capacités de compensation du graphe vers les projets présentant le plus grand bénéfice économique, écologique et social.</w:t>
      </w:r>
    </w:p>
    <w:p w14:paraId="5F17D646" w14:textId="77777777" w:rsidR="00D74966" w:rsidRPr="00D74966" w:rsidRDefault="00D74966" w:rsidP="00D74966">
      <w:pPr>
        <w:pStyle w:val="Corpsdetexte"/>
        <w:rPr>
          <w:lang w:val="fr-FR"/>
        </w:rPr>
      </w:pPr>
      <w:r w:rsidRPr="00A17F36">
        <w:rPr>
          <w:b/>
          <w:lang w:val="fr-FR"/>
        </w:rPr>
        <w:t xml:space="preserve">7. De la nature de commun. </w:t>
      </w:r>
      <w:r w:rsidRPr="00A17F36">
        <w:rPr>
          <w:lang w:val="fr-FR"/>
        </w:rPr>
        <w:t>Le dispositif constitue un commun de nature informationnelle : la fonction de mesure, de coordination et de compensation des échanges est mise à la disposition de la communauté des Membres, qui la gouvernent selon les règles du présent contrat. Le droit d'usage qui s'y exerce est collectif, non rival et non exclusif ; il ne confère aucun droit d'appropriation sur le Capital d'Ancrage, sur les unités internes ou sur la fonction commune elle-même.</w:t>
      </w:r>
    </w:p>
    <w:p w14:paraId="3084351D" w14:textId="77777777" w:rsidR="00D74966" w:rsidRPr="00D74966" w:rsidRDefault="00D74966" w:rsidP="00D74966">
      <w:pPr>
        <w:pStyle w:val="Corpsdetexte"/>
        <w:rPr>
          <w:lang w:val="fr-FR"/>
        </w:rPr>
      </w:pPr>
      <w:r w:rsidRPr="00A17F36">
        <w:rPr>
          <w:b/>
          <w:lang w:val="fr-FR"/>
        </w:rPr>
        <w:t xml:space="preserve">8. De la nature juridique du dispositif. </w:t>
      </w:r>
      <w:r w:rsidRPr="00A17F36">
        <w:rPr>
          <w:lang w:val="fr-FR"/>
        </w:rPr>
        <w:t xml:space="preserve">Le présent contrat est une convention sui generis de droit privé par laquelle une communauté de personnes organise contractuellement ses propres modes de règlement par compensation d'engagements réciproques. Il n'organise ni émission ni circulation de monnaie, ne fournit aucun service de paiement, n'émet ni monnaie électronique ni </w:t>
      </w:r>
      <w:proofErr w:type="spellStart"/>
      <w:r w:rsidRPr="00A17F36">
        <w:rPr>
          <w:lang w:val="fr-FR"/>
        </w:rPr>
        <w:t>crypto-actif</w:t>
      </w:r>
      <w:proofErr w:type="spellEnd"/>
      <w:r w:rsidRPr="00A17F36">
        <w:rPr>
          <w:lang w:val="fr-FR"/>
        </w:rPr>
        <w:t>, et ne procède à aucune réception de fonds du public, dans les conditions et sous les réserves énoncées au Titre X. Les Parties déclarent que cette qualification correspond à leur commune intention et à l'économie réelle du dispositif.</w:t>
      </w:r>
    </w:p>
    <w:p w14:paraId="5AF672C6" w14:textId="77777777" w:rsidR="00D74966" w:rsidRPr="00D74966" w:rsidRDefault="00D74966" w:rsidP="00D74966">
      <w:pPr>
        <w:pStyle w:val="Corpsdetexte"/>
        <w:rPr>
          <w:lang w:val="fr-FR"/>
        </w:rPr>
      </w:pPr>
      <w:r w:rsidRPr="00A17F36">
        <w:rPr>
          <w:b/>
          <w:lang w:val="fr-FR"/>
        </w:rPr>
        <w:t xml:space="preserve">9. De la portée et de la vocation du contrat. </w:t>
      </w:r>
      <w:r w:rsidRPr="00A17F36">
        <w:rPr>
          <w:lang w:val="fr-FR"/>
        </w:rPr>
        <w:t xml:space="preserve">Le présent contrat peut être utilisé directement </w:t>
      </w:r>
      <w:proofErr w:type="gramStart"/>
      <w:r w:rsidRPr="00A17F36">
        <w:rPr>
          <w:lang w:val="fr-FR"/>
        </w:rPr>
        <w:t>ou</w:t>
      </w:r>
      <w:proofErr w:type="gramEnd"/>
      <w:r w:rsidRPr="00A17F36">
        <w:rPr>
          <w:lang w:val="fr-FR"/>
        </w:rPr>
        <w:t xml:space="preserve"> servir de contrat-cadre à une multitude de contrats applicatifs, en France et dans le monde. Conçu comme un méta-contrat de programmation économique et sociale, il a vocation à s'implémenter dans des registres distribués, des plateformes de graphes ou des réseaux d'échange pair-à-pair, sous réserve, en toute implémentation, du respect de la pureté du noyau et des exclusions réglementaires qu'il stipule. Il constitue un document ouvert, que chacun peut reprendre et adapter à ses objectifs, au service de l'économie sociale, écologique et solidaire.</w:t>
      </w:r>
    </w:p>
    <w:p w14:paraId="3B9DFC95" w14:textId="77777777" w:rsidR="00D74966" w:rsidRPr="00D74966" w:rsidRDefault="00D74966" w:rsidP="00D74966">
      <w:pPr>
        <w:pStyle w:val="Corpsdetexte"/>
        <w:rPr>
          <w:lang w:val="fr-FR"/>
        </w:rPr>
      </w:pPr>
      <w:r w:rsidRPr="00A17F36">
        <w:rPr>
          <w:b/>
          <w:lang w:val="fr-FR"/>
        </w:rPr>
        <w:t xml:space="preserve">10. De la valeur du préambule. </w:t>
      </w:r>
      <w:r w:rsidRPr="00A17F36">
        <w:rPr>
          <w:lang w:val="fr-FR"/>
        </w:rPr>
        <w:t>Le présent préambule fait partie intégrante du contrat. Il exprime la commune intention des Parties au sens de l'article 1188 du Code civil et sert de guide à l'interprétation de l'ensemble des stipulations du contrat et de ses annexes.</w:t>
      </w:r>
    </w:p>
    <w:p w14:paraId="0989F771" w14:textId="0D844F5E" w:rsidR="00FB6EF5" w:rsidRPr="00C46716" w:rsidRDefault="00000000">
      <w:pPr>
        <w:pStyle w:val="Titre1"/>
        <w:rPr>
          <w:lang w:val="fr-FR"/>
        </w:rPr>
      </w:pPr>
      <w:bookmarkStart w:id="2" w:name="préambule"/>
      <w:bookmarkEnd w:id="1"/>
      <w:r>
        <w:rPr>
          <w:lang w:val="fr-FR"/>
        </w:rPr>
        <w:t>Principe directeur de la transaction</w:t>
      </w:r>
    </w:p>
    <w:p w14:paraId="611C7F20" w14:textId="7984798B" w:rsidR="00F70B21" w:rsidRPr="00F70B21" w:rsidRDefault="00F70B21" w:rsidP="00F70B21">
      <w:pPr>
        <w:pStyle w:val="Corpsdetexte"/>
        <w:rPr>
          <w:lang w:val="fr-FR"/>
        </w:rPr>
      </w:pPr>
      <w:r>
        <w:rPr>
          <w:lang w:val="fr-FR"/>
        </w:rPr>
        <w:t xml:space="preserve">Toute transaction réalisée au sein du dispositif est régie par un ensemble de principes indissociables qui assurent simultanément sa validité, sa sécurité prudentielle, sa cohérence économique et sa finalité collective. Ces principes ne se concurrencent jamais, fonctionnent de manière complémentaire et gouvernent l’inscription et l’affectation de la valeur. </w:t>
      </w:r>
    </w:p>
    <w:p w14:paraId="1D45E29E" w14:textId="4782C384" w:rsidR="00F70B21" w:rsidRPr="00F70B21" w:rsidRDefault="00F70B21" w:rsidP="00F70B21">
      <w:pPr>
        <w:pStyle w:val="Corpsdetexte"/>
        <w:rPr>
          <w:lang w:val="fr-FR"/>
        </w:rPr>
      </w:pPr>
      <w:r>
        <w:rPr>
          <w:b/>
          <w:bCs/>
          <w:lang w:val="fr-FR"/>
        </w:rPr>
        <w:t>Principe I — Compensation plutôt que circulation.</w:t>
      </w:r>
      <w:r>
        <w:rPr>
          <w:lang w:val="fr-FR"/>
        </w:rPr>
        <w:t xml:space="preserve"> Le dispositif n'organise pas la circulation d'un actif monétaire entre les Membres. Les échanges sont réalisés par l'inscription et la compensation d'engagements réciproques au sein d’un graphe d'échange cyclique. Les unités internes ne constituent pas un bien transférable, mais la mesure temporaire et comptabilisée de ces engagements réciproques.</w:t>
      </w:r>
    </w:p>
    <w:p w14:paraId="1D1381C5" w14:textId="77777777" w:rsidR="00F70B21" w:rsidRPr="00F70B21" w:rsidRDefault="00F70B21" w:rsidP="00F70B21">
      <w:pPr>
        <w:pStyle w:val="Corpsdetexte"/>
        <w:rPr>
          <w:lang w:val="fr-FR"/>
        </w:rPr>
      </w:pPr>
      <w:r>
        <w:rPr>
          <w:b/>
          <w:bCs/>
          <w:lang w:val="fr-FR"/>
        </w:rPr>
        <w:t>Principe II — Équilibre plutôt qu'accumulation.</w:t>
      </w:r>
      <w:r>
        <w:rPr>
          <w:lang w:val="fr-FR"/>
        </w:rPr>
        <w:t xml:space="preserve"> Toute créance est l'exact miroir d'une dette et la somme algébrique des soldes demeure constamment nulle. La capacité économique des Membres ne résulte pas de l'accumulation d'unités internes mais du maintien de l'équilibre de leur balance des engagements, tandis que la puissance du dispositif dépend de la connectivité du graphe et de sa capacité de compensation.</w:t>
      </w:r>
    </w:p>
    <w:p w14:paraId="10662927" w14:textId="2F714608" w:rsidR="00F70B21" w:rsidRPr="00F70B21" w:rsidRDefault="00F70B21" w:rsidP="00F70B21">
      <w:pPr>
        <w:pStyle w:val="Corpsdetexte"/>
        <w:rPr>
          <w:lang w:val="fr-FR"/>
        </w:rPr>
      </w:pPr>
      <w:r>
        <w:rPr>
          <w:b/>
          <w:bCs/>
          <w:lang w:val="fr-FR"/>
        </w:rPr>
        <w:t>Principe III — Usage plutôt qu'appropriation.</w:t>
      </w:r>
      <w:r>
        <w:rPr>
          <w:lang w:val="fr-FR"/>
        </w:rPr>
        <w:t xml:space="preserve"> Les Membres exercent un droit d'usage collectif sur la fonction de mesure, de coordination et de compensation des échanges. Ils n'acquièrent aucun droit d'appropriation sur le Capital d'Ancrage, sur les unités internes ou sur la fonction commune elle-même. Le dispositif substitue ainsi une économie durable de l'usage partagé à une économie de l'accumulation patrimoniale.</w:t>
      </w:r>
    </w:p>
    <w:p w14:paraId="3805A6AE" w14:textId="0F139AFF" w:rsidR="00FB6EF5" w:rsidRPr="00C46716" w:rsidRDefault="00F70B21">
      <w:pPr>
        <w:pStyle w:val="Corpsdetexte"/>
        <w:rPr>
          <w:lang w:val="fr-FR"/>
        </w:rPr>
      </w:pPr>
      <w:r>
        <w:rPr>
          <w:b/>
          <w:bCs/>
          <w:lang w:val="fr-FR"/>
        </w:rPr>
        <w:t>Principe IV — Sécurité puis performance collective.</w:t>
      </w:r>
      <w:r>
        <w:rPr>
          <w:lang w:val="fr-FR"/>
        </w:rPr>
        <w:t xml:space="preserve"> Toute transaction doit, avant toute autre considération, respecter les invariants prudentiels du Titre IV. Parmi les seules opérations ainsi rendues possibles, la décision collective applique ensuite les règles de performance et de priorisation définies au Titre VII. La sécurité détermine le champ des opérations réalisables ; la décision collective en détermine l'ordre de réalisation.</w:t>
      </w:r>
    </w:p>
    <w:p w14:paraId="4BD82FA9" w14:textId="77777777" w:rsidR="00FB6EF5" w:rsidRPr="00C46716" w:rsidRDefault="00000000">
      <w:pPr>
        <w:pStyle w:val="Titre1"/>
        <w:rPr>
          <w:lang w:val="fr-FR"/>
        </w:rPr>
      </w:pPr>
      <w:bookmarkStart w:id="3" w:name="principes-directeurs-de-la-décision"/>
      <w:bookmarkEnd w:id="2"/>
      <w:r>
        <w:rPr>
          <w:lang w:val="fr-FR"/>
        </w:rPr>
        <w:t>Principes directeurs de la décision</w:t>
      </w:r>
    </w:p>
    <w:p w14:paraId="013EC0C7" w14:textId="0BA77B09" w:rsidR="00AE3935" w:rsidRDefault="00AE3935" w:rsidP="00AE3935">
      <w:pPr>
        <w:pStyle w:val="FirstParagraph"/>
        <w:rPr>
          <w:lang w:val="fr-FR"/>
        </w:rPr>
      </w:pPr>
      <w:r>
        <w:rPr>
          <w:lang w:val="fr-FR"/>
        </w:rPr>
        <w:t xml:space="preserve">Le présent dispositif réunit, au sein d'une même architecture, un système d'échange et un système de décision collective. Cette association est inédite : dans les systèmes économiques classiques, les échanges et les décisions collectives relèvent d'institutions distinctes ; ici, ils procèdent d'une même structure logique. Cette logique décisionnelle se fonde sur deux principes contradictoires mais combinables pour trouver un consensus. </w:t>
      </w:r>
    </w:p>
    <w:p w14:paraId="5C17A3B3" w14:textId="77777777" w:rsidR="00FB6EF5" w:rsidRPr="00C46716" w:rsidRDefault="00000000">
      <w:pPr>
        <w:pStyle w:val="Titre2"/>
        <w:rPr>
          <w:color w:val="000000" w:themeColor="text1"/>
          <w:sz w:val="24"/>
          <w:szCs w:val="24"/>
          <w:lang w:val="fr-FR"/>
        </w:rPr>
      </w:pPr>
      <w:bookmarkStart w:id="4" w:name="principe-i-acceptabilité-le-nécessaire"/>
      <w:r>
        <w:rPr>
          <w:color w:val="000000" w:themeColor="text1"/>
          <w:sz w:val="24"/>
          <w:szCs w:val="24"/>
          <w:lang w:val="fr-FR"/>
        </w:rPr>
        <w:t>Principe I — Acceptabilité (le nécessaire)</w:t>
      </w:r>
    </w:p>
    <w:p w14:paraId="11EFEC09" w14:textId="530C3BCF" w:rsidR="00FB6EF5" w:rsidRPr="00C46716" w:rsidRDefault="00000000">
      <w:pPr>
        <w:pStyle w:val="FirstParagraph"/>
        <w:rPr>
          <w:lang w:val="fr-FR"/>
        </w:rPr>
      </w:pPr>
      <w:r>
        <w:rPr>
          <w:lang w:val="fr-FR"/>
        </w:rPr>
        <w:t>L’acceptabilité est une condition nécessaire, de nature de contrainte. Une opération est acceptable si et seulement si elle préserve l’équilibre des créances et des dettes dans les bornes de sécurité du Titre IV. Ce principe s’exerce transaction par transaction, à l’inscription, comme un veto : une opération inacceptable n’est jamais inscrite, quelle que soit sa valeur. Il protège le Membre qui a fourni — la minimisation du coût des minorités — et définit l’ensemble des opérations réalisables.</w:t>
      </w:r>
    </w:p>
    <w:p w14:paraId="3C3EDF39" w14:textId="77777777" w:rsidR="00FB6EF5" w:rsidRPr="00C46716" w:rsidRDefault="00000000">
      <w:pPr>
        <w:pStyle w:val="Titre2"/>
        <w:rPr>
          <w:color w:val="000000" w:themeColor="text1"/>
          <w:sz w:val="24"/>
          <w:szCs w:val="24"/>
          <w:lang w:val="fr-FR"/>
        </w:rPr>
      </w:pPr>
      <w:bookmarkStart w:id="5" w:name="principe-ii-préférence-le-souhaitable"/>
      <w:bookmarkEnd w:id="4"/>
      <w:r>
        <w:rPr>
          <w:color w:val="000000" w:themeColor="text1"/>
          <w:sz w:val="24"/>
          <w:szCs w:val="24"/>
          <w:lang w:val="fr-FR"/>
        </w:rPr>
        <w:t>Principe II — Préférence (le souhaitable)</w:t>
      </w:r>
    </w:p>
    <w:p w14:paraId="53067243" w14:textId="77777777" w:rsidR="00FB6EF5" w:rsidRPr="00C46716" w:rsidRDefault="00000000">
      <w:pPr>
        <w:pStyle w:val="FirstParagraph"/>
        <w:rPr>
          <w:lang w:val="fr-FR"/>
        </w:rPr>
      </w:pPr>
      <w:r>
        <w:rPr>
          <w:lang w:val="fr-FR"/>
        </w:rPr>
        <w:t>La préférence est une condition souhaitable, une fonction d’objectif. Elle exprime, de façon graduée, le bénéfice ODD attendu d’un Projet (Titre VII) et vise la maximisation du bien-être collectif. Elle s’exerce projet par projet, en amont, pour classer et prioriser, non pour autoriser. Elle n’a d’effet que dans le champ délimité par le Principe I.</w:t>
      </w:r>
    </w:p>
    <w:p w14:paraId="395A450A" w14:textId="77777777" w:rsidR="00FB6EF5" w:rsidRPr="00C46716" w:rsidRDefault="00000000">
      <w:pPr>
        <w:pStyle w:val="Titre2"/>
        <w:rPr>
          <w:color w:val="000000" w:themeColor="text1"/>
          <w:sz w:val="24"/>
          <w:szCs w:val="24"/>
          <w:lang w:val="fr-FR"/>
        </w:rPr>
      </w:pPr>
      <w:bookmarkStart w:id="6" w:name="X0d671bda9ed987be40c075933190c3f87cd128d"/>
      <w:bookmarkEnd w:id="5"/>
      <w:r>
        <w:rPr>
          <w:color w:val="000000" w:themeColor="text1"/>
          <w:sz w:val="24"/>
          <w:szCs w:val="24"/>
          <w:lang w:val="fr-FR"/>
        </w:rPr>
        <w:t>Principe III — Composition, primauté et cohérence</w:t>
      </w:r>
    </w:p>
    <w:p w14:paraId="57175C29" w14:textId="77777777" w:rsidR="00FB6EF5" w:rsidRPr="00C46716" w:rsidRDefault="00000000">
      <w:pPr>
        <w:pStyle w:val="FirstParagraph"/>
        <w:rPr>
          <w:lang w:val="fr-FR"/>
        </w:rPr>
      </w:pPr>
      <w:r>
        <w:rPr>
          <w:lang w:val="fr-FR"/>
        </w:rPr>
        <w:t>Les deux principes se composent selon un ordre non commutatif : le dispositif filtre d’abord les opérations par l’acceptabilité (Principe I), puis optimise les opérations par un ordre de préférence (Principe II) en effectuant un classement de préférence dans l’ensemble des seules opérations acceptables. L’acceptabilité est première au sens d’un portail : ceux qui ne la franchissent pas n’accèdent pas au champ où la préférence s’exerce. Aucune préférence, si forte soit-elle, ne peut rendre acceptable une opération qui léserait un Membre.</w:t>
      </w:r>
    </w:p>
    <w:p w14:paraId="36376E55" w14:textId="4AFF6A0F" w:rsidR="00FB6EF5" w:rsidRPr="00C46716" w:rsidRDefault="00000000">
      <w:pPr>
        <w:pStyle w:val="Corpsdetexte"/>
        <w:rPr>
          <w:lang w:val="fr-FR"/>
        </w:rPr>
      </w:pPr>
      <w:r>
        <w:rPr>
          <w:lang w:val="fr-FR"/>
        </w:rPr>
        <w:t>La composition de ces deux vecteurs — approbation (acceptabilité) et plébiscite (préférence) — produit la décision collective par la règle de consensus (Art. 31). Le consensus représente la décision optimale qui cherche à minimiser le risque d’insolvabilité (lié au vecteur d’approbation) et à maximiser la performance économique, écologique et sociale (lié au vecteur de préférence). Le recours à deux vecteurs distincts, et non à un critère unique, est la condition de cohérence du dispositif au regard des résultats de la théorie du choix social ; la réduction à un critère unique est proscrite.</w:t>
      </w:r>
    </w:p>
    <w:p w14:paraId="079079C4" w14:textId="35EB4501" w:rsidR="00FB6EF5" w:rsidRDefault="00000000">
      <w:pPr>
        <w:pStyle w:val="Corpsdetexte"/>
        <w:rPr>
          <w:b/>
          <w:bCs/>
          <w:lang w:val="fr-FR"/>
        </w:rPr>
      </w:pPr>
      <w:r>
        <w:rPr>
          <w:b/>
          <w:bCs/>
          <w:lang w:val="fr-FR"/>
        </w:rPr>
        <w:t>Formellement : une opération est réalisable si et seulement si elle satisfait le Principe I ; parmi les opérations réalisables, la priorité d’affectation est déterminée par le Principe II, composé selon l’Article 31. Le Principe I borne le champ des possibles ; le Principe II l’oriente ; le consensus les compose.</w:t>
      </w:r>
    </w:p>
    <w:p w14:paraId="092ADA24" w14:textId="77777777" w:rsidR="0039502D" w:rsidRPr="0039502D" w:rsidRDefault="0039502D" w:rsidP="0039502D">
      <w:pPr>
        <w:pStyle w:val="Titre1"/>
        <w:rPr>
          <w:lang w:val="fr-FR"/>
        </w:rPr>
      </w:pPr>
      <w:r w:rsidRPr="0039502D">
        <w:rPr>
          <w:lang w:val="fr-FR"/>
        </w:rPr>
        <w:t>Définitions</w:t>
      </w:r>
    </w:p>
    <w:p w14:paraId="4BFF5A5D" w14:textId="77777777" w:rsidR="0039502D" w:rsidRPr="00C46716" w:rsidRDefault="0039502D" w:rsidP="0039502D">
      <w:pPr>
        <w:pStyle w:val="FirstParagraph"/>
        <w:rPr>
          <w:lang w:val="fr-FR"/>
        </w:rPr>
      </w:pPr>
      <w:r>
        <w:rPr>
          <w:b/>
          <w:bCs/>
          <w:lang w:val="fr-FR"/>
        </w:rPr>
        <w:t>« Capital d’Ancrage (K) » :</w:t>
      </w:r>
      <w:r>
        <w:rPr>
          <w:lang w:val="fr-FR"/>
        </w:rPr>
        <w:t xml:space="preserve"> capital financier démembré, décrit en Annexe 1, sur lequel le Propriétaire conserve la nue-propriété ; immobilisé (Art. 3), il constitue le plafond de l’exposition autorisée (Art. 18) et ses fruits restent attachés à la nue-propriété. </w:t>
      </w:r>
    </w:p>
    <w:p w14:paraId="1E3A7FF9" w14:textId="77777777" w:rsidR="0039502D" w:rsidRPr="00C46716" w:rsidRDefault="0039502D" w:rsidP="0039502D">
      <w:pPr>
        <w:pStyle w:val="Corpsdetexte"/>
        <w:rPr>
          <w:lang w:val="fr-FR"/>
        </w:rPr>
      </w:pPr>
      <w:r>
        <w:rPr>
          <w:b/>
          <w:bCs/>
          <w:lang w:val="fr-FR"/>
        </w:rPr>
        <w:t>« Graphe d’échange » :</w:t>
      </w:r>
      <w:r>
        <w:rPr>
          <w:lang w:val="fr-FR"/>
        </w:rPr>
        <w:t xml:space="preserve"> registre programmatique des engagements réciproques entre Membres, exprimés en unités internes, où toute écriture débitrice a pour miroir une écriture créditrice, de sorte que la somme algébrique des soldes est constamment nulle.</w:t>
      </w:r>
    </w:p>
    <w:p w14:paraId="454C334C" w14:textId="77777777" w:rsidR="0039502D" w:rsidRPr="00C46716" w:rsidRDefault="0039502D" w:rsidP="0039502D">
      <w:pPr>
        <w:pStyle w:val="Corpsdetexte"/>
        <w:rPr>
          <w:lang w:val="fr-FR"/>
        </w:rPr>
      </w:pPr>
      <w:r>
        <w:rPr>
          <w:b/>
          <w:bCs/>
          <w:lang w:val="fr-FR"/>
        </w:rPr>
        <w:t>« Unité interne » :</w:t>
      </w:r>
      <w:r>
        <w:rPr>
          <w:lang w:val="fr-FR"/>
        </w:rPr>
        <w:t xml:space="preserve"> mesure d’une créance ou d’une dette réciproque, s’éteignant à la fermeture du cycle. Elle n’est ni une monnaie, ni un moyen de paiement, ni un actif transférable.</w:t>
      </w:r>
    </w:p>
    <w:p w14:paraId="1758BB29" w14:textId="77777777" w:rsidR="0039502D" w:rsidRPr="00C46716" w:rsidRDefault="0039502D" w:rsidP="0039502D">
      <w:pPr>
        <w:pStyle w:val="Corpsdetexte"/>
        <w:rPr>
          <w:lang w:val="fr-FR"/>
        </w:rPr>
      </w:pPr>
      <w:r>
        <w:rPr>
          <w:b/>
          <w:bCs/>
          <w:lang w:val="fr-FR"/>
        </w:rPr>
        <w:t>« Solde (s</w:t>
      </w:r>
      <w:r>
        <w:rPr>
          <w:b/>
          <w:bCs/>
        </w:rPr>
        <w:t>ᵢ</w:t>
      </w:r>
      <w:r>
        <w:rPr>
          <w:b/>
          <w:bCs/>
          <w:lang w:val="fr-FR"/>
        </w:rPr>
        <w:t>) » :</w:t>
      </w:r>
      <w:r>
        <w:rPr>
          <w:lang w:val="fr-FR"/>
        </w:rPr>
        <w:t xml:space="preserve"> position nette d’un Membre dans le graphe, positive (créditrice) ou négative (débitrice), maintenue dans une fourchette individuelle [−</w:t>
      </w:r>
      <w:r>
        <w:t>δᵢ</w:t>
      </w:r>
      <w:r>
        <w:rPr>
          <w:lang w:val="fr-FR"/>
        </w:rPr>
        <w:t>, +</w:t>
      </w:r>
      <w:r>
        <w:t>δᵢ</w:t>
      </w:r>
      <w:r>
        <w:rPr>
          <w:lang w:val="fr-FR"/>
        </w:rPr>
        <w:t>] choisie par le Membre (Art. 18).</w:t>
      </w:r>
    </w:p>
    <w:p w14:paraId="4210D17C" w14:textId="77777777" w:rsidR="0039502D" w:rsidRDefault="0039502D" w:rsidP="0039502D">
      <w:pPr>
        <w:pStyle w:val="Corpsdetexte"/>
        <w:rPr>
          <w:lang w:val="fr-FR"/>
        </w:rPr>
      </w:pPr>
      <w:r>
        <w:rPr>
          <w:b/>
          <w:bCs/>
          <w:lang w:val="fr-FR"/>
        </w:rPr>
        <w:t>« Inscription » :</w:t>
      </w:r>
      <w:r>
        <w:rPr>
          <w:lang w:val="fr-FR"/>
        </w:rPr>
        <w:t xml:space="preserve"> enregistrement d’un engagement dans le graphe, modifiable à tout moment depuis l’ouverture de la période d’inscription jusqu’à son scellement. </w:t>
      </w:r>
    </w:p>
    <w:p w14:paraId="1A4167BA" w14:textId="77777777" w:rsidR="0039502D" w:rsidRPr="00C46716" w:rsidRDefault="0039502D" w:rsidP="0039502D">
      <w:pPr>
        <w:pStyle w:val="Corpsdetexte"/>
        <w:rPr>
          <w:lang w:val="fr-FR"/>
        </w:rPr>
      </w:pPr>
      <w:r>
        <w:rPr>
          <w:b/>
          <w:bCs/>
          <w:lang w:val="fr-FR"/>
        </w:rPr>
        <w:t>« Scellement » :</w:t>
      </w:r>
      <w:r>
        <w:rPr>
          <w:lang w:val="fr-FR"/>
        </w:rPr>
        <w:t xml:space="preserve"> moment où les inscriptions transactionnelles du graphe sont fixées collectivement et définitivement et sont enregistrées dans la mémoire du registre distribué pour devenir des obligations contractuelles.</w:t>
      </w:r>
    </w:p>
    <w:p w14:paraId="5A3510B4" w14:textId="77777777" w:rsidR="0039502D" w:rsidRPr="00C46716" w:rsidRDefault="0039502D" w:rsidP="0039502D">
      <w:pPr>
        <w:pStyle w:val="Corpsdetexte"/>
        <w:rPr>
          <w:lang w:val="fr-FR"/>
        </w:rPr>
      </w:pPr>
      <w:r>
        <w:rPr>
          <w:b/>
          <w:bCs/>
          <w:lang w:val="fr-FR"/>
        </w:rPr>
        <w:t>« Réalisation » :</w:t>
      </w:r>
      <w:r>
        <w:rPr>
          <w:lang w:val="fr-FR"/>
        </w:rPr>
        <w:t xml:space="preserve"> exécution effective d’une obligation contractuelle résultant d’un engagement inscrit sur le graphe.</w:t>
      </w:r>
    </w:p>
    <w:p w14:paraId="40CEA3D4" w14:textId="77777777" w:rsidR="0039502D" w:rsidRPr="00C46716" w:rsidRDefault="0039502D" w:rsidP="0039502D">
      <w:pPr>
        <w:pStyle w:val="Corpsdetexte"/>
        <w:rPr>
          <w:lang w:val="fr-FR"/>
        </w:rPr>
      </w:pPr>
      <w:r>
        <w:rPr>
          <w:b/>
          <w:bCs/>
          <w:lang w:val="fr-FR"/>
        </w:rPr>
        <w:t>« Préfinancement » :</w:t>
      </w:r>
      <w:r>
        <w:rPr>
          <w:lang w:val="fr-FR"/>
        </w:rPr>
        <w:t xml:space="preserve"> dépôt de garantie, en argent réel, couvrant la position débitrice qu’un Membre s’autorise (Art. 21).</w:t>
      </w:r>
    </w:p>
    <w:p w14:paraId="06896010" w14:textId="36FF215C" w:rsidR="0039502D" w:rsidRPr="00C46716" w:rsidRDefault="0039502D" w:rsidP="0039502D">
      <w:pPr>
        <w:pStyle w:val="Corpsdetexte"/>
        <w:spacing w:after="480"/>
        <w:rPr>
          <w:lang w:val="fr-FR"/>
        </w:rPr>
      </w:pPr>
      <w:r>
        <w:rPr>
          <w:b/>
          <w:bCs/>
          <w:lang w:val="fr-FR"/>
        </w:rPr>
        <w:t>« Projet ODD » :</w:t>
      </w:r>
      <w:r>
        <w:rPr>
          <w:lang w:val="fr-FR"/>
        </w:rPr>
        <w:t xml:space="preserve"> opération soumise au critère de bénéfice (Art. 30) et à la priorisation collective (Art. 31).</w:t>
      </w:r>
    </w:p>
    <w:p w14:paraId="4C9C013C" w14:textId="77777777" w:rsidR="00FB6EF5" w:rsidRPr="00C46716" w:rsidRDefault="00000000">
      <w:pPr>
        <w:pStyle w:val="Corpsdetexte"/>
        <w:rPr>
          <w:lang w:val="fr-FR"/>
        </w:rPr>
      </w:pPr>
      <w:r>
        <w:rPr>
          <w:i/>
          <w:iCs/>
          <w:lang w:val="fr-FR"/>
        </w:rPr>
        <w:t>Ceci exposé, il a été convenu ce qui suit.</w:t>
      </w:r>
    </w:p>
    <w:p w14:paraId="306158AA" w14:textId="77777777" w:rsidR="00EF27F1" w:rsidRDefault="00EF27F1" w:rsidP="00EF27F1">
      <w:pPr>
        <w:pStyle w:val="Titre1"/>
        <w:rPr>
          <w:lang w:val="fr-FR"/>
        </w:rPr>
      </w:pPr>
      <w:bookmarkStart w:id="7" w:name="article-1-définitions"/>
      <w:bookmarkEnd w:id="3"/>
      <w:bookmarkEnd w:id="6"/>
      <w:r>
        <w:rPr>
          <w:lang w:val="fr-FR"/>
        </w:rPr>
        <w:t>Titre I — Le Capital d’Ancrage : fondement patrimonial du commun</w:t>
      </w:r>
    </w:p>
    <w:p w14:paraId="2F4F037A" w14:textId="7C18F053" w:rsidR="0039502D" w:rsidRDefault="0039502D" w:rsidP="00EF27F1">
      <w:pPr>
        <w:pStyle w:val="Titre2"/>
        <w:rPr>
          <w:lang w:val="fr-FR"/>
        </w:rPr>
      </w:pPr>
      <w:r>
        <w:rPr>
          <w:lang w:val="fr-FR"/>
        </w:rPr>
        <w:t>Article 1 — Apport et libération du Capital d’Ancrage</w:t>
      </w:r>
    </w:p>
    <w:p w14:paraId="4D8D06C6" w14:textId="6E91D7C2" w:rsidR="0039502D" w:rsidRPr="0039502D" w:rsidRDefault="0039502D" w:rsidP="0039502D">
      <w:pPr>
        <w:pStyle w:val="Corpsdetexte"/>
        <w:rPr>
          <w:lang w:val="fr-FR"/>
        </w:rPr>
      </w:pPr>
      <w:r w:rsidRPr="0039502D">
        <w:rPr>
          <w:b/>
          <w:bCs/>
          <w:lang w:val="fr-FR"/>
        </w:rPr>
        <w:t>Constitution et apporteur</w:t>
      </w:r>
      <w:r w:rsidRPr="0039502D">
        <w:rPr>
          <w:i/>
          <w:iCs/>
          <w:lang w:val="fr-FR"/>
        </w:rPr>
        <w:t>.</w:t>
      </w:r>
      <w:r w:rsidRPr="0039502D">
        <w:rPr>
          <w:lang w:val="fr-FR"/>
        </w:rPr>
        <w:t xml:space="preserve"> Le Capital d'Ancrage est constitué par l'apport d</w:t>
      </w:r>
      <w:r>
        <w:rPr>
          <w:lang w:val="fr-FR"/>
        </w:rPr>
        <w:t>u Propriétaire</w:t>
      </w:r>
      <w:r w:rsidRPr="0039502D">
        <w:rPr>
          <w:lang w:val="fr-FR"/>
        </w:rPr>
        <w:t xml:space="preserve"> / le ou les Fondateurs</w:t>
      </w:r>
      <w:r>
        <w:rPr>
          <w:lang w:val="fr-FR"/>
        </w:rPr>
        <w:t xml:space="preserve"> du système d’Echange Coopératif</w:t>
      </w:r>
      <w:r w:rsidRPr="0039502D">
        <w:rPr>
          <w:lang w:val="fr-FR"/>
        </w:rPr>
        <w:t>, dont l'identité et la qualité sont précisées en Annexe 1. L</w:t>
      </w:r>
      <w:r w:rsidR="00F974E0">
        <w:rPr>
          <w:lang w:val="fr-FR"/>
        </w:rPr>
        <w:t>e Propriétaire</w:t>
      </w:r>
      <w:r w:rsidRPr="0039502D">
        <w:rPr>
          <w:lang w:val="fr-FR"/>
        </w:rPr>
        <w:t xml:space="preserve"> garantit qu'il a la libre disposition des sommes ou actifs apportés et que ceux-ci sont libres de tout gage, nantissement, saisie ou droit de tiers.</w:t>
      </w:r>
    </w:p>
    <w:p w14:paraId="3649B950" w14:textId="77777777" w:rsidR="0039502D" w:rsidRPr="0039502D" w:rsidRDefault="0039502D" w:rsidP="0039502D">
      <w:pPr>
        <w:pStyle w:val="Corpsdetexte"/>
        <w:rPr>
          <w:lang w:val="fr-FR"/>
        </w:rPr>
      </w:pPr>
      <w:r w:rsidRPr="0039502D">
        <w:rPr>
          <w:b/>
          <w:bCs/>
          <w:lang w:val="fr-FR"/>
        </w:rPr>
        <w:t>Montant</w:t>
      </w:r>
      <w:r w:rsidRPr="0039502D">
        <w:rPr>
          <w:i/>
          <w:iCs/>
          <w:lang w:val="fr-FR"/>
        </w:rPr>
        <w:t>.</w:t>
      </w:r>
      <w:r w:rsidRPr="0039502D">
        <w:rPr>
          <w:lang w:val="fr-FR"/>
        </w:rPr>
        <w:t xml:space="preserve"> Le montant du Capital d'Ancrage est fixé en Annexe 1. Il détermine, par application de la fonction de dimensionnement (Art. 4), le plafond d'exposition K du dispositif ; toute modification du montant emporte réajustement corrélatif de ce plafond.</w:t>
      </w:r>
    </w:p>
    <w:p w14:paraId="455714AB" w14:textId="77777777" w:rsidR="0039502D" w:rsidRPr="0039502D" w:rsidRDefault="0039502D" w:rsidP="0039502D">
      <w:pPr>
        <w:pStyle w:val="Corpsdetexte"/>
        <w:rPr>
          <w:lang w:val="fr-FR"/>
        </w:rPr>
      </w:pPr>
      <w:r w:rsidRPr="0039502D">
        <w:rPr>
          <w:b/>
          <w:bCs/>
          <w:lang w:val="fr-FR"/>
        </w:rPr>
        <w:t>Forme de l'apport</w:t>
      </w:r>
      <w:r w:rsidRPr="0039502D">
        <w:rPr>
          <w:i/>
          <w:iCs/>
          <w:lang w:val="fr-FR"/>
        </w:rPr>
        <w:t>.</w:t>
      </w:r>
      <w:r w:rsidRPr="0039502D">
        <w:rPr>
          <w:lang w:val="fr-FR"/>
        </w:rPr>
        <w:t xml:space="preserve"> L'apport est effectué en numéraire, en euros. [Variante : à titre subsidiaire, il peut être constitué d'actifs liquides, valorisables et immédiatement mobilisables, limitativement énumérés en Annexe 1 et retenus pour leur valeur de réalisation prudente.] Aucun apport en industrie n'est admis.</w:t>
      </w:r>
    </w:p>
    <w:p w14:paraId="38C0BF76" w14:textId="77777777" w:rsidR="0039502D" w:rsidRPr="0039502D" w:rsidRDefault="0039502D" w:rsidP="0039502D">
      <w:pPr>
        <w:pStyle w:val="Corpsdetexte"/>
        <w:rPr>
          <w:lang w:val="fr-FR"/>
        </w:rPr>
      </w:pPr>
      <w:r w:rsidRPr="0039502D">
        <w:rPr>
          <w:b/>
          <w:bCs/>
          <w:lang w:val="fr-FR"/>
        </w:rPr>
        <w:t>Libération</w:t>
      </w:r>
      <w:r w:rsidRPr="0039502D">
        <w:rPr>
          <w:i/>
          <w:iCs/>
          <w:lang w:val="fr-FR"/>
        </w:rPr>
        <w:t>.</w:t>
      </w:r>
      <w:r w:rsidRPr="0039502D">
        <w:rPr>
          <w:lang w:val="fr-FR"/>
        </w:rPr>
        <w:t xml:space="preserve"> Le Capital d'Ancrage est libéré intégralement à la date de constitution du dispositif, préalablement à toute inscription au graphe d'échange. [Variante : la libération peut être échelonnée selon le calendrier figurant en Annexe 1 ; le plafond d'exposition n'est alors ouvert qu'à concurrence de la fraction effectivement libérée et consignée.]</w:t>
      </w:r>
    </w:p>
    <w:p w14:paraId="557DD574" w14:textId="2304CBC6" w:rsidR="0039502D" w:rsidRPr="0039502D" w:rsidRDefault="0039502D" w:rsidP="0039502D">
      <w:pPr>
        <w:pStyle w:val="Corpsdetexte"/>
        <w:rPr>
          <w:lang w:val="fr-FR"/>
        </w:rPr>
      </w:pPr>
      <w:r w:rsidRPr="0039502D">
        <w:rPr>
          <w:b/>
          <w:bCs/>
          <w:lang w:val="fr-FR"/>
        </w:rPr>
        <w:t>Remise et consignation</w:t>
      </w:r>
      <w:r w:rsidRPr="0039502D">
        <w:rPr>
          <w:i/>
          <w:iCs/>
          <w:lang w:val="fr-FR"/>
        </w:rPr>
        <w:t>.</w:t>
      </w:r>
      <w:r w:rsidRPr="0039502D">
        <w:rPr>
          <w:lang w:val="fr-FR"/>
        </w:rPr>
        <w:t xml:space="preserve"> Les fonds ou actifs apportés sont remis entre les mains du [Dépositaire / </w:t>
      </w:r>
      <w:r>
        <w:rPr>
          <w:lang w:val="fr-FR"/>
        </w:rPr>
        <w:t>S</w:t>
      </w:r>
      <w:r w:rsidRPr="0039502D">
        <w:rPr>
          <w:lang w:val="fr-FR"/>
        </w:rPr>
        <w:t>équestre</w:t>
      </w:r>
      <w:r>
        <w:rPr>
          <w:lang w:val="fr-FR"/>
        </w:rPr>
        <w:t xml:space="preserve"> / Notaire</w:t>
      </w:r>
      <w:r w:rsidRPr="0039502D">
        <w:rPr>
          <w:lang w:val="fr-FR"/>
        </w:rPr>
        <w:t>] désigné en Annexe 1 et placés sous le régime d'indisponibilité prévu au présent Article. La consignation est constatée par une attestation datée du Dépositaire mentionnant le montant libéré et la date d'effet ; cette attestation fait foi de la réalité et de la quotité de l'apport.</w:t>
      </w:r>
    </w:p>
    <w:p w14:paraId="577296D6" w14:textId="77777777" w:rsidR="0039502D" w:rsidRPr="0039502D" w:rsidRDefault="0039502D" w:rsidP="0039502D">
      <w:pPr>
        <w:pStyle w:val="Corpsdetexte"/>
        <w:rPr>
          <w:lang w:val="fr-FR"/>
        </w:rPr>
      </w:pPr>
      <w:r w:rsidRPr="0039502D">
        <w:rPr>
          <w:b/>
          <w:bCs/>
          <w:lang w:val="fr-FR"/>
        </w:rPr>
        <w:t>Prise d'effet.</w:t>
      </w:r>
      <w:r w:rsidRPr="0039502D">
        <w:rPr>
          <w:lang w:val="fr-FR"/>
        </w:rPr>
        <w:t xml:space="preserve"> Le dispositif ne produit ses effets, et aucune position ne peut être inscrite au graphe, qu'à compter de la consignation effective du Capital d'Ancrage [ou de sa première fraction libérée] et de l'établissement de l'attestation correspondante.</w:t>
      </w:r>
    </w:p>
    <w:p w14:paraId="62116575" w14:textId="77777777" w:rsidR="0039502D" w:rsidRPr="0039502D" w:rsidRDefault="0039502D" w:rsidP="0039502D">
      <w:pPr>
        <w:pStyle w:val="Corpsdetexte"/>
        <w:rPr>
          <w:lang w:val="fr-FR"/>
        </w:rPr>
      </w:pPr>
      <w:r w:rsidRPr="0039502D">
        <w:rPr>
          <w:b/>
          <w:bCs/>
          <w:lang w:val="fr-FR"/>
        </w:rPr>
        <w:t>Variations.</w:t>
      </w:r>
      <w:r w:rsidRPr="0039502D">
        <w:rPr>
          <w:lang w:val="fr-FR"/>
        </w:rPr>
        <w:t xml:space="preserve"> Toute augmentation s'opère par apport complémentaire soumis aux mêmes modalités et emporte relèvement corrélatif du plafond. Toute réduction suppose que l'exposition en cours demeure, après réduction, inférieure au nouveau plafond ; elle est subordonnée à l'accord de l'Organe de Gouvernance (Art. 42) et à la mise à jour de l'Annexe 1. Aucune variation ne peut porter atteinte aux engagements déjà inscrits ni aux préfinancements constitués (Art. 21 et 22).</w:t>
      </w:r>
    </w:p>
    <w:p w14:paraId="506E31EA" w14:textId="77777777" w:rsidR="0039502D" w:rsidRPr="0039502D" w:rsidRDefault="0039502D" w:rsidP="0039502D">
      <w:pPr>
        <w:pStyle w:val="Corpsdetexte"/>
        <w:rPr>
          <w:lang w:val="fr-FR"/>
        </w:rPr>
      </w:pPr>
      <w:r w:rsidRPr="0039502D">
        <w:rPr>
          <w:b/>
          <w:bCs/>
          <w:lang w:val="fr-FR"/>
        </w:rPr>
        <w:t>Défaut de libération.</w:t>
      </w:r>
      <w:r w:rsidRPr="0039502D">
        <w:rPr>
          <w:lang w:val="fr-FR"/>
        </w:rPr>
        <w:t xml:space="preserve"> À défaut de libération intégrale à l'échéance convenue, le dispositif ne peut entrer en fonctionnement, ou voit son plafond d'exposition ramené à la fraction effectivement consignée, sans que les Membres puissent se prévaloir d'un droit à exposition au-delà de cette fraction.</w:t>
      </w:r>
    </w:p>
    <w:p w14:paraId="12058C1C" w14:textId="70D78A03" w:rsidR="0039502D" w:rsidRPr="0039502D" w:rsidRDefault="0039502D" w:rsidP="0039502D">
      <w:pPr>
        <w:pStyle w:val="Corpsdetexte"/>
        <w:rPr>
          <w:lang w:val="fr-FR"/>
        </w:rPr>
      </w:pPr>
      <w:r w:rsidRPr="0039502D">
        <w:rPr>
          <w:b/>
          <w:bCs/>
          <w:lang w:val="fr-FR"/>
        </w:rPr>
        <w:t>Restitution</w:t>
      </w:r>
      <w:r w:rsidRPr="0039502D">
        <w:rPr>
          <w:i/>
          <w:iCs/>
          <w:lang w:val="fr-FR"/>
        </w:rPr>
        <w:t>.</w:t>
      </w:r>
      <w:r w:rsidRPr="0039502D">
        <w:rPr>
          <w:lang w:val="fr-FR"/>
        </w:rPr>
        <w:t xml:space="preserve"> Le Capital d'Ancrage, demeuré immobilisé et jamais décaissé (Art. 3), est restitué </w:t>
      </w:r>
      <w:r w:rsidR="00ED7D65">
        <w:rPr>
          <w:lang w:val="fr-FR"/>
        </w:rPr>
        <w:t xml:space="preserve">au </w:t>
      </w:r>
      <w:r w:rsidR="00ED7D65" w:rsidRPr="00ED7D65">
        <w:rPr>
          <w:lang w:val="fr-FR"/>
        </w:rPr>
        <w:t>Propriétaire</w:t>
      </w:r>
      <w:r w:rsidR="00ED7D65" w:rsidRPr="0039502D">
        <w:rPr>
          <w:lang w:val="fr-FR"/>
        </w:rPr>
        <w:t xml:space="preserve"> / Fondateur</w:t>
      </w:r>
      <w:r w:rsidR="00ED7D65" w:rsidRPr="00ED7D65">
        <w:rPr>
          <w:lang w:val="fr-FR"/>
        </w:rPr>
        <w:t xml:space="preserve"> du système d’Echange Coopératif</w:t>
      </w:r>
      <w:r w:rsidRPr="0039502D">
        <w:rPr>
          <w:lang w:val="fr-FR"/>
        </w:rPr>
        <w:t xml:space="preserve"> à la dissolution du dispositif, après apurement des inscriptions et mainlevée des séquestres, ses fruits restant attachés à son </w:t>
      </w:r>
      <w:r w:rsidR="00ED7D65">
        <w:rPr>
          <w:lang w:val="fr-FR"/>
        </w:rPr>
        <w:t>P</w:t>
      </w:r>
      <w:r w:rsidRPr="0039502D">
        <w:rPr>
          <w:lang w:val="fr-FR"/>
        </w:rPr>
        <w:t>ropriétaire dans les conditions de l'Article 2.</w:t>
      </w:r>
    </w:p>
    <w:p w14:paraId="219334F8" w14:textId="429D8047" w:rsidR="00EF27F1" w:rsidRDefault="00EF27F1" w:rsidP="00EF27F1">
      <w:pPr>
        <w:pStyle w:val="Titre2"/>
        <w:rPr>
          <w:lang w:val="fr-FR"/>
        </w:rPr>
      </w:pPr>
      <w:r>
        <w:rPr>
          <w:lang w:val="fr-FR"/>
        </w:rPr>
        <w:t>Article 2 — Objet du Capital d’Ancrage</w:t>
      </w:r>
    </w:p>
    <w:p w14:paraId="2763E550" w14:textId="7982BBE9" w:rsidR="00EF27F1" w:rsidRDefault="00EF27F1" w:rsidP="00EF27F1">
      <w:pPr>
        <w:pStyle w:val="FirstParagraph"/>
        <w:rPr>
          <w:lang w:val="fr-FR"/>
        </w:rPr>
      </w:pPr>
      <w:r>
        <w:rPr>
          <w:lang w:val="fr-FR"/>
        </w:rPr>
        <w:t>Le Capital d’Ancrage constitue le fondement patrimonial du dispositif institué par le présent contrat. Il n’est ni un fonds d’échange, ni une réserve de paiement, ni un fonds de garantie : il est une grandeur de référence qui ancre le dispositif dans une réalité économique objectivable et en détermine la capacité maximale d’exposition</w:t>
      </w:r>
      <w:r w:rsidR="0039502D">
        <w:rPr>
          <w:lang w:val="fr-FR"/>
        </w:rPr>
        <w:t xml:space="preserve"> des Membres.</w:t>
      </w:r>
    </w:p>
    <w:p w14:paraId="3E60F206" w14:textId="77777777" w:rsidR="00EF27F1" w:rsidRDefault="00EF27F1" w:rsidP="00EF27F1">
      <w:pPr>
        <w:pStyle w:val="Corpsdetexte"/>
        <w:rPr>
          <w:lang w:val="fr-FR"/>
        </w:rPr>
      </w:pPr>
      <w:r>
        <w:rPr>
          <w:lang w:val="fr-FR"/>
        </w:rPr>
        <w:t>Le Capital d’Ancrage demeure constamment distinct des opérations réalisées au sein du graphe d’échange. Les échanges se dénouent par compensation d’engagements réciproques entre Membres, sans que le Capital d’Ancrage y participe ni ne soit mobilisé. Il établit le lien entre la capacité productive et transactionnelle autorisée du réseau et sa mesure patrimoniale, sans jamais se confondre avec la valeur qui circule entre les Membres.</w:t>
      </w:r>
    </w:p>
    <w:p w14:paraId="2831A05B" w14:textId="77777777" w:rsidR="00EF27F1" w:rsidRDefault="00EF27F1" w:rsidP="00EF27F1">
      <w:pPr>
        <w:pStyle w:val="Titre2"/>
        <w:rPr>
          <w:lang w:val="fr-FR"/>
        </w:rPr>
      </w:pPr>
      <w:r>
        <w:rPr>
          <w:lang w:val="fr-FR"/>
        </w:rPr>
        <w:t>Article 3 — Immobilisation du Capital d’Ancrage</w:t>
      </w:r>
    </w:p>
    <w:p w14:paraId="12E1842D" w14:textId="77777777" w:rsidR="00EF27F1" w:rsidRDefault="00EF27F1" w:rsidP="00EF27F1">
      <w:pPr>
        <w:pStyle w:val="FirstParagraph"/>
        <w:rPr>
          <w:lang w:val="fr-FR"/>
        </w:rPr>
      </w:pPr>
      <w:r>
        <w:rPr>
          <w:lang w:val="fr-FR"/>
        </w:rPr>
        <w:t>Le Capital d’Ancrage est intégralement immobilisé pendant toute la durée de fonctionnement du dispositif et n’est jamais décaissé pour ses opérations. Il est conservé sous séquestre, consignation ou tout autre mécanisme assurant son indisponibilité juridique et comptable, selon des modalités qui lui sont propres (Annexe 1), distinctes de celles du préfinancement (Art. 21).</w:t>
      </w:r>
    </w:p>
    <w:p w14:paraId="70985FE7" w14:textId="77777777" w:rsidR="00EF27F1" w:rsidRDefault="00EF27F1" w:rsidP="00EF27F1">
      <w:pPr>
        <w:pStyle w:val="Corpsdetexte"/>
        <w:rPr>
          <w:lang w:val="fr-FR"/>
        </w:rPr>
      </w:pPr>
      <w:r>
        <w:rPr>
          <w:lang w:val="fr-FR"/>
        </w:rPr>
        <w:t>L’immobilisation et le plafonnement sont deux propriétés distinctes et cumulatives : l’immobilisation signifie que le capital n’est pas dépensé ; le plafonnement, qu’il borne l’exposition autorisée du dispositif (Art. 4).</w:t>
      </w:r>
    </w:p>
    <w:p w14:paraId="20A40B8B" w14:textId="77777777" w:rsidR="00EF27F1" w:rsidRDefault="00EF27F1" w:rsidP="00EF27F1">
      <w:pPr>
        <w:pStyle w:val="Corpsdetexte"/>
        <w:rPr>
          <w:lang w:val="fr-FR"/>
        </w:rPr>
      </w:pPr>
      <w:r>
        <w:rPr>
          <w:lang w:val="fr-FR"/>
        </w:rPr>
        <w:t>Il résulte de cette immobilisation que le Capital d’Ancrage ne remplit aucune fonction de décaissement ni de garantie. Il ne finance aucune opération et ne couvre aucune défaillance de paiement des Membres : celles-ci sont intégralement couvertes, euro pour euro, par le préfinancement des positions débitrices (Art. 21), qui constitue une garantie distincte. Le Capital d’Ancrage n’est donc ni un fonds mobilisable, ni une sûreté, ni une réserve de paiement, ni un fonds de garantie ; il est un pur instrument de dimensionnement.</w:t>
      </w:r>
    </w:p>
    <w:p w14:paraId="505B9941" w14:textId="77777777" w:rsidR="00EF27F1" w:rsidRDefault="00EF27F1" w:rsidP="00EF27F1">
      <w:pPr>
        <w:pStyle w:val="Corpsdetexte"/>
        <w:rPr>
          <w:lang w:val="fr-FR"/>
        </w:rPr>
      </w:pPr>
      <w:r>
        <w:rPr>
          <w:lang w:val="fr-FR"/>
        </w:rPr>
        <w:t>La qualification de sûreté attachée au préfinancement (Art. 21 et 22) lui est propre et ne s’étend pas au Capital d’Ancrage ; les deux séquestres demeurent juridiquement et comptablement séparés. Les fruits éventuellement produits par le Capital d’Ancrage demeurent attachés à son propriétaire, sauf stipulation contraire.</w:t>
      </w:r>
    </w:p>
    <w:p w14:paraId="65133092" w14:textId="77777777" w:rsidR="00EF27F1" w:rsidRDefault="00EF27F1" w:rsidP="00EF27F1">
      <w:pPr>
        <w:pStyle w:val="Titre2"/>
        <w:rPr>
          <w:lang w:val="fr-FR"/>
        </w:rPr>
      </w:pPr>
      <w:r>
        <w:rPr>
          <w:lang w:val="fr-FR"/>
        </w:rPr>
        <w:t>Article 4 — Fonction de dimensionnement</w:t>
      </w:r>
    </w:p>
    <w:p w14:paraId="2C3B48B3" w14:textId="77777777" w:rsidR="00EF27F1" w:rsidRDefault="00EF27F1" w:rsidP="00EF27F1">
      <w:pPr>
        <w:pStyle w:val="FirstParagraph"/>
        <w:rPr>
          <w:lang w:val="fr-FR"/>
        </w:rPr>
      </w:pPr>
      <w:r>
        <w:rPr>
          <w:lang w:val="fr-FR"/>
        </w:rPr>
        <w:t>Le Capital d’Ancrage détermine exclusivement la capacité maximale d’exposition du dispositif. Il ne mesure pas la richesse des Membres, mais la limite prudentielle dans laquelle les positions débitrices peuvent être autorisées.</w:t>
      </w:r>
    </w:p>
    <w:p w14:paraId="7960D7EF" w14:textId="77777777" w:rsidR="00EF27F1" w:rsidRDefault="00EF27F1" w:rsidP="00EF27F1">
      <w:pPr>
        <w:pStyle w:val="Corpsdetexte"/>
        <w:rPr>
          <w:lang w:val="fr-FR"/>
        </w:rPr>
      </w:pPr>
      <w:r>
        <w:rPr>
          <w:lang w:val="fr-FR"/>
        </w:rPr>
        <w:t>Le plafond global des positions débitrices autorisées demeure soumis à la relation ∑ δᵢ ≤ K, où K représente le montant du Capital d’Ancrage effectivement immobilisé. Cette relation constitue un invariant structurel du dispositif, énoncé au Titre IV (Art. 18).</w:t>
      </w:r>
    </w:p>
    <w:p w14:paraId="1348F505" w14:textId="77777777" w:rsidR="00EF27F1" w:rsidRDefault="00EF27F1" w:rsidP="00EF27F1">
      <w:pPr>
        <w:pStyle w:val="Corpsdetexte"/>
        <w:rPr>
          <w:lang w:val="fr-FR"/>
        </w:rPr>
      </w:pPr>
      <w:r>
        <w:rPr>
          <w:lang w:val="fr-FR"/>
        </w:rPr>
        <w:t>L’accroissement du Capital d’Ancrage augmente la capacité maximale du réseau sans modifier la nature des échanges ; inversement, une réduction du Capital d’Ancrage entraîne une réduction corrélative de l’exposition maximale autorisée. La grandeur du Capital d’Ancrage met ainsi la capacité productive et transactionnelle autorisée du réseau en phase avec la réalité socio-économique dans laquelle il s’inscrit.</w:t>
      </w:r>
    </w:p>
    <w:p w14:paraId="70EC8AC5" w14:textId="77777777" w:rsidR="00EF27F1" w:rsidRDefault="00EF27F1" w:rsidP="00EF27F1">
      <w:pPr>
        <w:pStyle w:val="Titre2"/>
        <w:rPr>
          <w:lang w:val="fr-FR"/>
        </w:rPr>
      </w:pPr>
      <w:r>
        <w:rPr>
          <w:lang w:val="fr-FR"/>
        </w:rPr>
        <w:t>Article 5 — Régime juridique du Capital d’Ancrage</w:t>
      </w:r>
    </w:p>
    <w:p w14:paraId="797C9CF3" w14:textId="77777777" w:rsidR="00735D4C" w:rsidRDefault="00735D4C" w:rsidP="00735D4C">
      <w:pPr>
        <w:pStyle w:val="FirstParagraph"/>
        <w:rPr>
          <w:lang w:val="fr-FR"/>
        </w:rPr>
      </w:pPr>
      <w:r w:rsidRPr="00735D4C">
        <w:rPr>
          <w:lang w:val="fr-FR"/>
        </w:rPr>
        <w:t>Le Capital d'Ancrage peut être détenu en pleine propriété ou faire l'objet d'un démembrement volontaire, sans que cette circonstance n'affecte l'économie du système d'échange. La pleine propriété, qui suffit à produire la fonction de Capital d'Ancrage, constitue la configuration retenue par principe ; les Parties peuvent toutefois y renoncer et procéder au démembrement du capital si elles le jugent nécessaire et opportun.</w:t>
      </w:r>
      <w:r>
        <w:rPr>
          <w:lang w:val="fr-FR"/>
        </w:rPr>
        <w:t xml:space="preserve"> </w:t>
      </w:r>
    </w:p>
    <w:p w14:paraId="0E835C06" w14:textId="606E1085" w:rsidR="00735D4C" w:rsidRDefault="00735D4C" w:rsidP="00735D4C">
      <w:pPr>
        <w:pStyle w:val="FirstParagraph"/>
        <w:rPr>
          <w:lang w:val="fr-FR"/>
        </w:rPr>
      </w:pPr>
      <w:r w:rsidRPr="00735D4C">
        <w:rPr>
          <w:lang w:val="fr-FR"/>
        </w:rPr>
        <w:t>Lorsque le démembrement est retenu, le Propriétaire conserve la nue-propriété financière — entendue comme la restitution du capital, ses fruits et son prix de cession — et constitue au profit des Membres un droit d'usage collectif portant sur la seule utilité de mesure, d'inscription, de coordination et de compensation attachée au capital. La nature et la qualification juridiques de ce droit d'usage sont exclusivement régies par l'Article 8.</w:t>
      </w:r>
      <w:r>
        <w:rPr>
          <w:lang w:val="fr-FR"/>
        </w:rPr>
        <w:t xml:space="preserve"> </w:t>
      </w:r>
    </w:p>
    <w:p w14:paraId="2907990D" w14:textId="06D75924" w:rsidR="00735D4C" w:rsidRPr="00735D4C" w:rsidRDefault="00735D4C" w:rsidP="00735D4C">
      <w:pPr>
        <w:pStyle w:val="FirstParagraph"/>
        <w:rPr>
          <w:lang w:val="fr-FR"/>
        </w:rPr>
      </w:pPr>
      <w:r w:rsidRPr="00735D4C">
        <w:rPr>
          <w:lang w:val="fr-FR"/>
        </w:rPr>
        <w:t>Pendant toute la durée du dispositif, le Capital d'Ancrage est affecté à sa fonction de dimensionnement (Art. 4) et placé sous le régime d'indisponibilité de l'Article 3. Le Propriétaire s'interdit tout acte de disposition, de constitution de sûreté ou de mise à disposition de tiers portant sur le capital ou ses éléments, hors les cas de substitution d'actifs équivalents prévus en Annexe 1.</w:t>
      </w:r>
    </w:p>
    <w:p w14:paraId="3078F78C" w14:textId="741CD3A4" w:rsidR="00710933" w:rsidRPr="00710933" w:rsidRDefault="00710933" w:rsidP="00710933">
      <w:pPr>
        <w:pStyle w:val="FirstParagraph"/>
        <w:rPr>
          <w:lang w:val="fr-FR"/>
        </w:rPr>
      </w:pPr>
      <w:r w:rsidRPr="00710933">
        <w:rPr>
          <w:lang w:val="fr-FR"/>
        </w:rPr>
        <w:t>Le Propriétaire peut, avec l'accord de l'Organe de Gouvernance et sous le contrôle du Dépositaire, substituer aux actifs immobilisés des actifs de valeur et de liquidité au moins équivalentes, retenus selon les critères de l'Annexe 1. Les actifs substitués sont subrogés de plein droit dans l'affectation et l'indisponibilité des actifs remplacés, sans interruption ni réduction du plafond d'exposition.</w:t>
      </w:r>
    </w:p>
    <w:p w14:paraId="2BBD886F" w14:textId="49D9C56F" w:rsidR="00710933" w:rsidRPr="00710933" w:rsidRDefault="00710933" w:rsidP="00710933">
      <w:pPr>
        <w:pStyle w:val="FirstParagraph"/>
        <w:rPr>
          <w:lang w:val="fr-FR"/>
        </w:rPr>
      </w:pPr>
      <w:r w:rsidRPr="00710933">
        <w:rPr>
          <w:lang w:val="fr-FR"/>
        </w:rPr>
        <w:t>En cas de cession du capital, de transmission à cause de mort, de fusion, de scission ou de toute autre mutation, le Capital d'Ancrage demeure grevé de son affectation. Le Propriétaire se porte fort de la reprise, par tout ayant cause ou repreneur, de l'intégralité de ses engagements au titre du présent contrat ; lorsque la qualification réelle prévue à l'Article 8 est retenue, le droit d'usage collectif est en outre opposable au repreneur par l'effet du droit de suite. Toute mutation est notifiée sans délai à l'Organe de Gouvernance.</w:t>
      </w:r>
    </w:p>
    <w:p w14:paraId="4C12A368" w14:textId="537183AD" w:rsidR="00EF27F1" w:rsidRDefault="00710933" w:rsidP="00710933">
      <w:pPr>
        <w:pStyle w:val="FirstParagraph"/>
        <w:rPr>
          <w:lang w:val="fr-FR"/>
        </w:rPr>
      </w:pPr>
      <w:r w:rsidRPr="00710933">
        <w:rPr>
          <w:lang w:val="fr-FR"/>
        </w:rPr>
        <w:t>Si le Capital d'Ancrage vient à être réduit, réalisé ou repris, notamment par l'effet d'une procédure collective ouverte contre le Propriétaire, le plafond d'exposition est réduit à due concurrence dans les conditions de l'Article 4, sans effet rétroactif sur les engagements déjà scellés, lesquels demeurent couverts par le préfinancement (Art. 21). L'Organe de Gouvernance en informe les Membres et organise, le cas échéant, la reconstitution du capital, sa reprise par un nouveau Propriétaire ou la liquidation ordonnée du dispositif.</w:t>
      </w:r>
    </w:p>
    <w:p w14:paraId="0213BAC8" w14:textId="77777777" w:rsidR="00EF27F1" w:rsidRDefault="00EF27F1" w:rsidP="00EF27F1">
      <w:pPr>
        <w:pStyle w:val="Titre1"/>
        <w:rPr>
          <w:lang w:val="fr-FR"/>
        </w:rPr>
      </w:pPr>
      <w:r>
        <w:rPr>
          <w:lang w:val="fr-FR"/>
        </w:rPr>
        <w:t>Titre II — Le droit d’usage collectif et le commun informationnel</w:t>
      </w:r>
    </w:p>
    <w:p w14:paraId="49F13C1C" w14:textId="77777777" w:rsidR="00EF27F1" w:rsidRDefault="00EF27F1" w:rsidP="00EF27F1">
      <w:pPr>
        <w:pStyle w:val="Titre2"/>
        <w:rPr>
          <w:lang w:val="fr-FR"/>
        </w:rPr>
      </w:pPr>
      <w:r>
        <w:rPr>
          <w:lang w:val="fr-FR"/>
        </w:rPr>
        <w:t>Article 6 — Objet du droit d’usage collectif</w:t>
      </w:r>
    </w:p>
    <w:p w14:paraId="469BD384" w14:textId="77777777" w:rsidR="00EF27F1" w:rsidRDefault="00EF27F1" w:rsidP="00EF27F1">
      <w:pPr>
        <w:pStyle w:val="FirstParagraph"/>
        <w:rPr>
          <w:lang w:val="fr-FR"/>
        </w:rPr>
      </w:pPr>
      <w:r>
        <w:rPr>
          <w:lang w:val="fr-FR"/>
        </w:rPr>
        <w:t>Le présent contrat confère à chaque Membre un droit d’usage collectif lui permettant de participer au fonctionnement du commun institué par le présent contrat. Ce droit d’usage ne porte ni sur une somme d’argent, ni sur une créance monétaire, ni sur une quote-part du Capital d’Ancrage. Il porte exclusivement sur la faculté de participer à une fonction commune de mesure, d’inscription, de coordination et de compensation des échanges.</w:t>
      </w:r>
    </w:p>
    <w:p w14:paraId="630E5B86" w14:textId="77777777" w:rsidR="00EF27F1" w:rsidRDefault="00EF27F1" w:rsidP="00EF27F1">
      <w:pPr>
        <w:pStyle w:val="Corpsdetexte"/>
        <w:rPr>
          <w:lang w:val="fr-FR"/>
        </w:rPr>
      </w:pPr>
      <w:r>
        <w:rPr>
          <w:lang w:val="fr-FR"/>
        </w:rPr>
        <w:t>Cette fonction constitue un bien commun informationnel dont l’utilité résulte de son exercice collectif. Le droit d’usage est identique pour tous les Membres ; il ne peut être approprié, fragmenté, accumulé ou exercé au détriment des autres Membres.</w:t>
      </w:r>
    </w:p>
    <w:p w14:paraId="38DA0516" w14:textId="77777777" w:rsidR="00EF27F1" w:rsidRDefault="00EF27F1" w:rsidP="00EF27F1">
      <w:pPr>
        <w:pStyle w:val="Titre2"/>
        <w:rPr>
          <w:lang w:val="fr-FR"/>
        </w:rPr>
      </w:pPr>
      <w:r>
        <w:rPr>
          <w:lang w:val="fr-FR"/>
        </w:rPr>
        <w:t>Article 7 — Caractères du droit d’usage</w:t>
      </w:r>
    </w:p>
    <w:p w14:paraId="1F01FBEE" w14:textId="77777777" w:rsidR="00EF27F1" w:rsidRDefault="00EF27F1" w:rsidP="00EF27F1">
      <w:pPr>
        <w:pStyle w:val="FirstParagraph"/>
        <w:rPr>
          <w:lang w:val="fr-FR"/>
        </w:rPr>
      </w:pPr>
      <w:r>
        <w:rPr>
          <w:lang w:val="fr-FR"/>
        </w:rPr>
        <w:t>Le droit d’usage collectif présente les caractères suivants :</w:t>
      </w:r>
    </w:p>
    <w:p w14:paraId="2A2A9242" w14:textId="77777777" w:rsidR="00EF27F1" w:rsidRDefault="00EF27F1" w:rsidP="00EF27F1">
      <w:pPr>
        <w:pStyle w:val="Corpsdetexte"/>
        <w:rPr>
          <w:lang w:val="fr-FR"/>
        </w:rPr>
      </w:pPr>
      <w:r>
        <w:rPr>
          <w:b/>
          <w:bCs/>
          <w:lang w:val="fr-FR"/>
        </w:rPr>
        <w:t>Il est non rival :</w:t>
      </w:r>
      <w:r>
        <w:rPr>
          <w:lang w:val="fr-FR"/>
        </w:rPr>
        <w:t xml:space="preserve"> son exercice par un Membre ne diminue en rien la faculté des autres Membres de l’exercer simultanément.</w:t>
      </w:r>
    </w:p>
    <w:p w14:paraId="3E39BBAD" w14:textId="77777777" w:rsidR="00EF27F1" w:rsidRDefault="00EF27F1" w:rsidP="00EF27F1">
      <w:pPr>
        <w:pStyle w:val="Corpsdetexte"/>
        <w:rPr>
          <w:lang w:val="fr-FR"/>
        </w:rPr>
      </w:pPr>
      <w:r>
        <w:rPr>
          <w:b/>
          <w:bCs/>
          <w:lang w:val="fr-FR"/>
        </w:rPr>
        <w:t>Il est non exclusif :</w:t>
      </w:r>
      <w:r>
        <w:rPr>
          <w:lang w:val="fr-FR"/>
        </w:rPr>
        <w:t xml:space="preserve"> tout Membre remplissant les conditions d’admission (Art. 11) bénéficie des mêmes prérogatives d’usage.</w:t>
      </w:r>
    </w:p>
    <w:p w14:paraId="47E1C38C" w14:textId="77777777" w:rsidR="00EF27F1" w:rsidRDefault="00EF27F1" w:rsidP="00EF27F1">
      <w:pPr>
        <w:pStyle w:val="Corpsdetexte"/>
        <w:rPr>
          <w:lang w:val="fr-FR"/>
        </w:rPr>
      </w:pPr>
      <w:r>
        <w:rPr>
          <w:b/>
          <w:bCs/>
          <w:lang w:val="fr-FR"/>
        </w:rPr>
        <w:t>Il est incessible :</w:t>
      </w:r>
      <w:r>
        <w:rPr>
          <w:lang w:val="fr-FR"/>
        </w:rPr>
        <w:t xml:space="preserve"> il ne peut être vendu, donné, nanti ou transmis indépendamment de la qualité de Membre.</w:t>
      </w:r>
    </w:p>
    <w:p w14:paraId="3B17BAAF" w14:textId="77777777" w:rsidR="00EF27F1" w:rsidRDefault="00EF27F1" w:rsidP="00EF27F1">
      <w:pPr>
        <w:pStyle w:val="Corpsdetexte"/>
        <w:rPr>
          <w:lang w:val="fr-FR"/>
        </w:rPr>
      </w:pPr>
      <w:r>
        <w:rPr>
          <w:b/>
          <w:bCs/>
          <w:lang w:val="fr-FR"/>
        </w:rPr>
        <w:t>Il est personnel :</w:t>
      </w:r>
      <w:r>
        <w:rPr>
          <w:lang w:val="fr-FR"/>
        </w:rPr>
        <w:t xml:space="preserve"> il ne confère aucun droit de propriété sur le Capital d’Ancrage ni sur les positions des autres Membres.</w:t>
      </w:r>
    </w:p>
    <w:p w14:paraId="1861A9D6" w14:textId="77777777" w:rsidR="00EF27F1" w:rsidRDefault="00EF27F1" w:rsidP="00EF27F1">
      <w:pPr>
        <w:pStyle w:val="Corpsdetexte"/>
        <w:rPr>
          <w:lang w:val="fr-FR"/>
        </w:rPr>
      </w:pPr>
      <w:r>
        <w:rPr>
          <w:b/>
          <w:bCs/>
          <w:lang w:val="fr-FR"/>
        </w:rPr>
        <w:t>Il est fonctionnel :</w:t>
      </w:r>
      <w:r>
        <w:rPr>
          <w:lang w:val="fr-FR"/>
        </w:rPr>
        <w:t xml:space="preserve"> il existe uniquement afin de permettre le fonctionnement du commun institué par le présent contrat.</w:t>
      </w:r>
    </w:p>
    <w:p w14:paraId="75BD3D8C" w14:textId="77777777" w:rsidR="00EF27F1" w:rsidRDefault="00EF27F1" w:rsidP="00EF27F1">
      <w:pPr>
        <w:pStyle w:val="Corpsdetexte"/>
        <w:rPr>
          <w:lang w:val="fr-FR"/>
        </w:rPr>
      </w:pPr>
      <w:r>
        <w:rPr>
          <w:lang w:val="fr-FR"/>
        </w:rPr>
        <w:t>Le droit d’usage constitue ainsi une prérogative d’accès à une fonction commune — une res communis informationnelle — et non un droit d’appropriation.</w:t>
      </w:r>
    </w:p>
    <w:p w14:paraId="77EF16A5" w14:textId="77777777" w:rsidR="00EF27F1" w:rsidRDefault="00EF27F1" w:rsidP="00EF27F1">
      <w:pPr>
        <w:pStyle w:val="Titre2"/>
        <w:rPr>
          <w:lang w:val="fr-FR"/>
        </w:rPr>
      </w:pPr>
      <w:r>
        <w:rPr>
          <w:lang w:val="fr-FR"/>
        </w:rPr>
        <w:t>Article 8 — Nature juridique</w:t>
      </w:r>
    </w:p>
    <w:p w14:paraId="2A44C2A3" w14:textId="77777777" w:rsidR="00EF27F1" w:rsidRDefault="00EF27F1" w:rsidP="00EF27F1">
      <w:pPr>
        <w:pStyle w:val="FirstParagraph"/>
        <w:rPr>
          <w:lang w:val="fr-FR"/>
        </w:rPr>
      </w:pPr>
      <w:r>
        <w:rPr>
          <w:lang w:val="fr-FR"/>
        </w:rPr>
        <w:t>Le droit d’usage collectif trouve son fondement principal dans le présent contrat. À titre principal, il s’analyse en une prérogative contractuelle d’usage collectif, librement stipulée (art. 1102 du Code civil) et dotée de force obligatoire entre les Parties (art. 1103), opposable à leurs ayants cause ayant accepté les termes. Il organise entre les Membres une faculté commune de mesure, de compensation et d’inscription des engagements, indépendamment de toute qualification réelle : cette qualification contractuelle est le socle du dispositif et suffit à son fonctionnement.</w:t>
      </w:r>
    </w:p>
    <w:p w14:paraId="2AEBA316" w14:textId="77777777" w:rsidR="00EF27F1" w:rsidRDefault="00EF27F1" w:rsidP="00EF27F1">
      <w:pPr>
        <w:pStyle w:val="Corpsdetexte"/>
        <w:rPr>
          <w:lang w:val="fr-FR"/>
        </w:rPr>
      </w:pPr>
      <w:r>
        <w:rPr>
          <w:lang w:val="fr-FR"/>
        </w:rPr>
        <w:t>À titre complémentaire, et lorsque le Capital d’Ancrage fait l’objet d’un démembrement volontaire (Art. 5), les Parties conviennent que ce même droit d’usage est susceptible de recevoir la qualification de droit réel de jouissance spéciale portant sur une utilité déterminée du capital, dans les limites admises par la jurisprudence (Cass. 3e civ., 31 octobre 2012, n° 11-16.304) et pour une durée déterminée (Art. 56). Lorsqu’elle est retenue, cette qualification confère au droit d’usage une opposabilité erga omnes — notamment un droit de suite opposable au Propriétaire, à ses ayants cause et à tout repreneur du capital — garantissant la continuité du commun indépendamment des mutations patrimoniales ultérieures. Cette qualification n’est toutefois ni une condition de validité, ni une condition de fonctionnement du dispositif.</w:t>
      </w:r>
    </w:p>
    <w:p w14:paraId="2CDC3B7D" w14:textId="77777777" w:rsidR="00EF27F1" w:rsidRDefault="00EF27F1" w:rsidP="00EF27F1">
      <w:pPr>
        <w:pStyle w:val="Corpsdetexte"/>
        <w:rPr>
          <w:lang w:val="fr-FR"/>
        </w:rPr>
      </w:pPr>
      <w:r>
        <w:rPr>
          <w:lang w:val="fr-FR"/>
        </w:rPr>
        <w:t>Le droit d’usage se distingue des opérations qu’il autorise : simple faculté, il n’emporte aucune dette au repos ; son exercice, en revanche, engendre entre les Membres des créances réciproques que le dispositif éteint par compensation conventionnelle (art. 1348-2 du Code civil) sans transfert de fonds pour la part compensée, conformément au régime des échanges du noyau (Titre VI).</w:t>
      </w:r>
    </w:p>
    <w:p w14:paraId="17E3029B" w14:textId="77777777" w:rsidR="00EF27F1" w:rsidRDefault="00EF27F1" w:rsidP="00EF27F1">
      <w:pPr>
        <w:pStyle w:val="Titre2"/>
        <w:rPr>
          <w:lang w:val="fr-FR"/>
        </w:rPr>
      </w:pPr>
      <w:r>
        <w:rPr>
          <w:lang w:val="fr-FR"/>
        </w:rPr>
        <w:t>Article 9 — Les unités internes</w:t>
      </w:r>
    </w:p>
    <w:p w14:paraId="7AE79FC4" w14:textId="77777777" w:rsidR="00EF27F1" w:rsidRDefault="00EF27F1" w:rsidP="00EF27F1">
      <w:pPr>
        <w:pStyle w:val="FirstParagraph"/>
        <w:rPr>
          <w:lang w:val="fr-FR"/>
        </w:rPr>
      </w:pPr>
      <w:r>
        <w:rPr>
          <w:lang w:val="fr-FR"/>
        </w:rPr>
        <w:t>L’exercice du droit d’usage collectif conduit à l’inscription d’unités internes dans le registre du dispositif. Ces unités ne constituent que la mesure temporaire d’obligations réciproques compensables entre Membres identifiés, au sein d’un cercle fermé : elles naissent de l’inscription d’engagements réciproques, évoluent avec les échanges et disparaissent par compensation lorsque les cycles se referment. Elles ne procurent aucun rendement par leur seule détention et ne sont pas destinées à circuler indépendamment des relations qu’elles mesurent.</w:t>
      </w:r>
    </w:p>
    <w:p w14:paraId="22E90988" w14:textId="77777777" w:rsidR="00EF27F1" w:rsidRDefault="00EF27F1" w:rsidP="00EF27F1">
      <w:pPr>
        <w:pStyle w:val="Corpsdetexte"/>
        <w:rPr>
          <w:lang w:val="fr-FR"/>
        </w:rPr>
      </w:pPr>
      <w:r>
        <w:rPr>
          <w:lang w:val="fr-FR"/>
        </w:rPr>
        <w:t>Le dispositif ne reçoit, ne détient ni ne transfère aucun fonds pour le compte de tiers (Art. 27), de sorte qu’il ne fournit aucun service de paiement au sens des articles L. 314-1 et L. 521-1 du Code monétaire et financier. Les unités n’étant acceptées qu’entre Membres, pour un éventail déterminé de biens et de services relevant des Objectifs de Développement Durable, le dispositif s’inscrit dans la logique des instruments à réseau limité exclus du champ des services de paiement (art. L. 521-3 du même code) et, le cas échéant, dans celle des titres de monnaie locale complémentaire (Art. 57).</w:t>
      </w:r>
    </w:p>
    <w:p w14:paraId="611F6C76" w14:textId="77777777" w:rsidR="00EF27F1" w:rsidRDefault="00EF27F1" w:rsidP="00EF27F1">
      <w:pPr>
        <w:pStyle w:val="Corpsdetexte"/>
        <w:rPr>
          <w:lang w:val="fr-FR"/>
        </w:rPr>
      </w:pPr>
      <w:r>
        <w:rPr>
          <w:lang w:val="fr-FR"/>
        </w:rPr>
        <w:t>Les unités ne portent aucun intérêt et ne sont pas cessibles à titre onéreux. Elles ne constituent ni un instrument financier au sens de l’article L. 211-1 du Code monétaire et financier, ni un titre de créance négociable.</w:t>
      </w:r>
    </w:p>
    <w:p w14:paraId="0D90E4B4" w14:textId="77777777" w:rsidR="00EF27F1" w:rsidRDefault="00EF27F1" w:rsidP="00EF27F1">
      <w:pPr>
        <w:pStyle w:val="Titre2"/>
        <w:rPr>
          <w:lang w:val="fr-FR"/>
        </w:rPr>
      </w:pPr>
      <w:r>
        <w:rPr>
          <w:lang w:val="fr-FR"/>
        </w:rPr>
        <w:t>Article 10 — Conséquences juridiques</w:t>
      </w:r>
    </w:p>
    <w:p w14:paraId="0AA28E35" w14:textId="77777777" w:rsidR="00EF27F1" w:rsidRDefault="00EF27F1" w:rsidP="00EF27F1">
      <w:pPr>
        <w:pStyle w:val="FirstParagraph"/>
        <w:rPr>
          <w:lang w:val="fr-FR"/>
        </w:rPr>
      </w:pPr>
      <w:r>
        <w:rPr>
          <w:lang w:val="fr-FR"/>
        </w:rPr>
        <w:t>Il résulte des articles précédents que le droit d’usage collectif constitue exclusivement un droit de participation à une fonction commune, et que les unités internes n’en sont que les écritures nécessaires. Elles ne sont ni des sommes d’argent, ni des dépôts, ni des créances exigibles sur un émetteur. La valeur économique réside dans les opérations réelles réalisées entre les Membres, et non dans les unités elles-mêmes.</w:t>
      </w:r>
    </w:p>
    <w:p w14:paraId="19363F4E" w14:textId="77777777" w:rsidR="00EF27F1" w:rsidRDefault="00EF27F1" w:rsidP="00EF27F1">
      <w:pPr>
        <w:pStyle w:val="Corpsdetexte"/>
        <w:rPr>
          <w:lang w:val="fr-FR"/>
        </w:rPr>
      </w:pPr>
      <w:r>
        <w:rPr>
          <w:lang w:val="fr-FR"/>
        </w:rPr>
        <w:t>Le dispositif ne crée donc aucun actif monétaire autonome : il n’organise que l’inscription, la coordination et la compensation conventionnelle (art. 1348-2 du Code civil) d’obligations réciproques librement consenties entre les Membres. Les qualifications réglementaires négatives qui découlent de ces caractéristiques — absence de service de paiement, de monnaie électronique, d’instrument financier et de crypto-actif — sont énoncées, article par article et avec leurs fondements, au Titre X. Toute qualification juridique applicable au dispositif s’interprète à la lumière des caractéristiques essentielles établies au présent Titre.</w:t>
      </w:r>
    </w:p>
    <w:p w14:paraId="512741B7" w14:textId="77777777" w:rsidR="00EF27F1" w:rsidRDefault="00EF27F1" w:rsidP="00EF27F1">
      <w:pPr>
        <w:pStyle w:val="Titre2"/>
        <w:rPr>
          <w:lang w:val="fr-FR"/>
        </w:rPr>
      </w:pPr>
      <w:r>
        <w:rPr>
          <w:lang w:val="fr-FR"/>
        </w:rPr>
        <w:t>Article 11 — Admission au commun</w:t>
      </w:r>
    </w:p>
    <w:p w14:paraId="6A10F407" w14:textId="77777777" w:rsidR="00EF27F1" w:rsidRDefault="00EF27F1" w:rsidP="00EF27F1">
      <w:pPr>
        <w:pStyle w:val="FirstParagraph"/>
        <w:rPr>
          <w:lang w:val="fr-FR"/>
        </w:rPr>
      </w:pPr>
      <w:r>
        <w:rPr>
          <w:lang w:val="fr-FR"/>
        </w:rPr>
        <w:t>L’admission au dispositif repose sur des critères objectifs, publics, préalablement définis et non discriminatoires, conformes à l’ordre public. Nul remplissant ces critères et acceptant le présent contrat ne peut être arbitrairement exclu ; tout refus d’admission est motivé et susceptible de réexamen. La qualité de Membre ne peut être retirée que pour un manquement caractérisé au présent contrat, selon une procédure contradictoire.</w:t>
      </w:r>
    </w:p>
    <w:p w14:paraId="276E95A0" w14:textId="77777777" w:rsidR="00EF27F1" w:rsidRDefault="00EF27F1" w:rsidP="00EF27F1">
      <w:pPr>
        <w:pStyle w:val="Corpsdetexte"/>
        <w:rPr>
          <w:lang w:val="fr-FR"/>
        </w:rPr>
      </w:pPr>
      <w:r>
        <w:rPr>
          <w:lang w:val="fr-FR"/>
        </w:rPr>
        <w:t>Chaque Membre déclare, de bonne foi (art. 1104 du Code civil) et à jour continu, son offre et sa demande, qui alimentent le graphe d’échange. Il conserve à tout instant la faculté de se retirer dans les conditions de l’Article 25, sans autre charge que le solde de ses positions résiduelles. L’admission emporte adhésion au commun institué par le présent contrat et acceptation de ses règles de fonctionnement.</w:t>
      </w:r>
    </w:p>
    <w:bookmarkEnd w:id="7"/>
    <w:p w14:paraId="28A9C7E8" w14:textId="77777777" w:rsidR="00E95B2B" w:rsidRDefault="00000000">
      <w:pPr>
        <w:pStyle w:val="Titre1"/>
        <w:rPr>
          <w:lang w:val="fr-FR"/>
        </w:rPr>
      </w:pPr>
      <w:r>
        <w:rPr>
          <w:lang w:val="fr-FR"/>
        </w:rPr>
        <w:t>Titre III — Le graphe d'échange : structure, compensation et conséquences</w:t>
      </w:r>
    </w:p>
    <w:p w14:paraId="1466E1C8" w14:textId="77777777" w:rsidR="00E95B2B" w:rsidRDefault="00000000">
      <w:pPr>
        <w:pStyle w:val="FirstParagraph"/>
        <w:rPr>
          <w:lang w:val="fr-FR"/>
        </w:rPr>
      </w:pPr>
      <w:r>
        <w:rPr>
          <w:lang w:val="fr-FR"/>
        </w:rPr>
        <w:t>Le présent Titre définit l'objet même du dispositif — le graphe d'échange —, puis les mécanismes par lesquels les engagements des Membres s'y compensent, et enfin les conséquences juridiques qui découlent de cette structure. Les propriétés de sécurité qui en résultent sont rassemblées, sous la forme d'invariants, au Titre IV.</w:t>
      </w:r>
    </w:p>
    <w:p w14:paraId="49F0689B" w14:textId="6B9D212E" w:rsidR="00E95B2B" w:rsidRDefault="00000000">
      <w:pPr>
        <w:pStyle w:val="Titre2"/>
        <w:rPr>
          <w:lang w:val="fr-FR"/>
        </w:rPr>
      </w:pPr>
      <w:r>
        <w:rPr>
          <w:lang w:val="fr-FR"/>
        </w:rPr>
        <w:t>Article 12 — Structure du graphe : nœuds, arcs, pondération</w:t>
      </w:r>
    </w:p>
    <w:p w14:paraId="26E9EFEE" w14:textId="77777777" w:rsidR="00E95B2B" w:rsidRDefault="00000000">
      <w:pPr>
        <w:pStyle w:val="FirstParagraph"/>
        <w:rPr>
          <w:lang w:val="fr-FR"/>
        </w:rPr>
      </w:pPr>
      <w:r>
        <w:rPr>
          <w:lang w:val="fr-FR"/>
        </w:rPr>
        <w:t>Le dispositif tient un registre dont la forme mathématique est celle d'un graphe orienté et pondéré. Ce registre est le support matériel du commun : il rend visibles les engagements réciproques des Membres et les chemins par lesquels ces engagements se compensent.</w:t>
      </w:r>
    </w:p>
    <w:p w14:paraId="77A64D55" w14:textId="77777777" w:rsidR="00E95B2B" w:rsidRDefault="00000000">
      <w:pPr>
        <w:pStyle w:val="Corpsdetexte"/>
        <w:rPr>
          <w:lang w:val="fr-FR"/>
        </w:rPr>
      </w:pPr>
      <w:r>
        <w:rPr>
          <w:lang w:val="fr-FR"/>
        </w:rPr>
        <w:t>Chaque Membre est un nœud. Chaque engagement d'échange est un arc orienté reliant deux nœuds, dirigé du fournisseur vers le bénéficiaire, et pondéré par la valeur de l'engagement, exprimée en unités internes. Le solde d'un Membre (sᵢ) est la somme algébrique des poids des arcs entrants et sortants qui le concernent : positif s'il a fourni plus qu'il n'a reçu, négatif dans le cas inverse.</w:t>
      </w:r>
    </w:p>
    <w:p w14:paraId="41F1A7D8" w14:textId="77777777" w:rsidR="00E95B2B" w:rsidRDefault="00000000">
      <w:pPr>
        <w:pStyle w:val="Corpsdetexte"/>
        <w:rPr>
          <w:lang w:val="fr-FR"/>
        </w:rPr>
      </w:pPr>
      <w:r>
        <w:rPr>
          <w:lang w:val="fr-FR"/>
        </w:rPr>
        <w:t>Toute valeur portée au crédit d'un Membre est portée au débit d'un autre, de sorte que la somme algébrique de tous les soldes demeure constamment nulle (∑ sᵢ = 0). Cette identité traduit, à l'échelle du graphe entier, une loi de conservation des flux : en chaque nœud comme sur l'ensemble, ce qui entre égale ce qui sort. Elle correspond à la première loi de Kirchhoff appliquée à un réseau de flux et fonde la partie double du registre. Rien ne s'y accumule : la valeur y circule sans jamais se concentrer, ce qui fait de ce registre un commun non accumulable.</w:t>
      </w:r>
    </w:p>
    <w:p w14:paraId="6EC0EDF2" w14:textId="77777777" w:rsidR="00E95B2B" w:rsidRDefault="00000000">
      <w:pPr>
        <w:pStyle w:val="Titre2"/>
        <w:rPr>
          <w:lang w:val="fr-FR"/>
        </w:rPr>
      </w:pPr>
      <w:r>
        <w:rPr>
          <w:lang w:val="fr-FR"/>
        </w:rPr>
        <w:t>Article 13 — Cycles, compensation et richesse compensatoire</w:t>
      </w:r>
    </w:p>
    <w:p w14:paraId="7A754D01" w14:textId="77777777" w:rsidR="00E95B2B" w:rsidRDefault="00000000">
      <w:pPr>
        <w:pStyle w:val="FirstParagraph"/>
        <w:rPr>
          <w:lang w:val="fr-FR"/>
        </w:rPr>
      </w:pPr>
      <w:r>
        <w:rPr>
          <w:lang w:val="fr-FR"/>
        </w:rPr>
        <w:t>Un cycle est une suite d'arcs qui, partant d'un nœud, y revient en suivant le sens des engagements. La fermeture d'un cycle annule les obligations réciproques qui le composent : autour de la boucle, chaque dette trouve sa créance, les soldes des Membres concernés reviennent vers zéro, et les unités internes correspondantes s'éteignent. La compensation n'est donc pas la circulation d'un jeton d'un nœud à l'autre, mais l'annulation simultanée d'un ensemble d'obligations refermées en boucle — ce qui distingue le dispositif, par nature, des systèmes à jeton.</w:t>
      </w:r>
    </w:p>
    <w:p w14:paraId="01181561" w14:textId="77777777" w:rsidR="00E95B2B" w:rsidRDefault="00000000">
      <w:pPr>
        <w:pStyle w:val="Corpsdetexte"/>
        <w:rPr>
          <w:lang w:val="fr-FR"/>
        </w:rPr>
      </w:pPr>
      <w:r>
        <w:rPr>
          <w:lang w:val="fr-FR"/>
        </w:rPr>
        <w:t>La richesse compensatoire d'un tel graphe se mesure par son nombre cyclomatique, μ = m − n + c, où m est le nombre d'arcs, n le nombre de nœuds et c le nombre de composantes connexes. Ce nombre compte les cycles indépendants du réseau, dont toute compensation possible est une combinaison. Il croît avec l'excès d'arcs sur les nœuds : chaque relation d'échange nouvelle, entre des Membres non encore reliés, ajoute une possibilité de compensation. La capacité du dispositif à financer par compensation est ainsi fonction de la densité et de la diversité des relations, non du montant du capital.</w:t>
      </w:r>
    </w:p>
    <w:p w14:paraId="13F8E104" w14:textId="77777777" w:rsidR="00E95B2B" w:rsidRDefault="00000000">
      <w:pPr>
        <w:pStyle w:val="Corpsdetexte"/>
        <w:rPr>
          <w:lang w:val="fr-FR"/>
        </w:rPr>
      </w:pPr>
      <w:r>
        <w:rPr>
          <w:lang w:val="fr-FR"/>
        </w:rPr>
        <w:t>Ces compensations n'emportent pas extinction de créances monétaires opposables au sens de l'article L. 211-36 du Code monétaire et financier ; elles constituent une réallocation de droits d'usage au sein d'un commun informationnel.</w:t>
      </w:r>
    </w:p>
    <w:p w14:paraId="4DDD0176" w14:textId="77777777" w:rsidR="00E95B2B" w:rsidRDefault="00000000">
      <w:pPr>
        <w:pStyle w:val="Titre2"/>
        <w:rPr>
          <w:lang w:val="fr-FR"/>
        </w:rPr>
      </w:pPr>
      <w:r>
        <w:rPr>
          <w:lang w:val="fr-FR"/>
        </w:rPr>
        <w:t>Article 14 — Inscription, scellement et réalisation</w:t>
      </w:r>
    </w:p>
    <w:p w14:paraId="328DFB40" w14:textId="3D202DDA" w:rsidR="00E95B2B" w:rsidRDefault="00000000">
      <w:pPr>
        <w:pStyle w:val="FirstParagraph"/>
        <w:rPr>
          <w:lang w:val="fr-FR"/>
        </w:rPr>
      </w:pPr>
      <w:r>
        <w:rPr>
          <w:lang w:val="fr-FR"/>
        </w:rPr>
        <w:t>Le graphe est programmatique : les arcs y sont d'abord inscrits, à titre d'engagements réciproques, avant d'être réalisés, c'est-à-dire exécutés. L'inscription vaut engagement contractuel opposable, dans les conditions fixées au Titre relatif à la force et à l'opposabilité de l'inscription ; la réalisation en est l'exécution effective. Un Membre ne peut inscrire un arc dont il bénéficie qu'en inscrivant simultanément le ou les arcs de contrepartie qui maintiennent son solde dans sa fourchette autorisée (Art. 18), même si ces contreparties se réalisent ultérieurement. L'équilibre requis porte donc sur le graphe des engagements potentiels inscrits, en amont de leur exécution effective.</w:t>
      </w:r>
    </w:p>
    <w:p w14:paraId="0BEC8D49" w14:textId="4CAE840E" w:rsidR="00E95B2B" w:rsidRDefault="00000000">
      <w:pPr>
        <w:pStyle w:val="Corpsdetexte"/>
        <w:rPr>
          <w:lang w:val="fr-FR"/>
        </w:rPr>
      </w:pPr>
      <w:r>
        <w:rPr>
          <w:lang w:val="fr-FR"/>
        </w:rPr>
        <w:t>Le scellement fixe collectivement et définitivement les inscriptions transactionnelles du graphe et les enregistre dans la mémoire du registre : à cet instant, les engagements deviennent des obligations contractuelles et les positions débitrices non régularisées sont réputées définitives. L'état du graphe scellé fait foi pour la constatation du non-respect des engagements contractuels pris par les différents Membres (Art. 26).</w:t>
      </w:r>
    </w:p>
    <w:p w14:paraId="0CF4E47E" w14:textId="77777777" w:rsidR="00E95B2B" w:rsidRDefault="00000000">
      <w:pPr>
        <w:pStyle w:val="Titre2"/>
        <w:rPr>
          <w:lang w:val="fr-FR"/>
        </w:rPr>
      </w:pPr>
      <w:r>
        <w:rPr>
          <w:lang w:val="fr-FR"/>
        </w:rPr>
        <w:t>Article 15 — Conséquences juridiques de la structure</w:t>
      </w:r>
    </w:p>
    <w:p w14:paraId="29EE6761" w14:textId="77777777" w:rsidR="00E95B2B" w:rsidRDefault="00000000">
      <w:pPr>
        <w:pStyle w:val="FirstParagraph"/>
        <w:rPr>
          <w:lang w:val="fr-FR"/>
        </w:rPr>
      </w:pPr>
      <w:r>
        <w:rPr>
          <w:lang w:val="fr-FR"/>
        </w:rPr>
        <w:t>Il résulte de la structure définie aux articles précédents que les unités internes mesurent exclusivement des obligations réciproques compensables entre Membres identifiés, au sein d'un cercle fermé : elles naissent de l'inscription d'un engagement, évoluent avec les échanges et s'éteignent à la fermeture des cycles de compensation. Elles ne sont ni appropriables, ni transférables indépendamment de la relation qu'elles mesurent, et ne procurent aucun rendement par leur seule détention. La valeur économique réside dans les opérations réelles réalisées entre les Membres, non dans les unités elles-mêmes.</w:t>
      </w:r>
    </w:p>
    <w:p w14:paraId="3A00B128" w14:textId="77777777" w:rsidR="00E95B2B" w:rsidRDefault="00000000">
      <w:pPr>
        <w:pStyle w:val="Corpsdetexte"/>
        <w:rPr>
          <w:lang w:val="fr-FR"/>
        </w:rPr>
      </w:pPr>
      <w:r>
        <w:rPr>
          <w:lang w:val="fr-FR"/>
        </w:rPr>
        <w:t>Il s'en déduit, à titre de conséquence et non de postulat, que le graphe ne constitue ni une monnaie, ni un compte de dépôt, ni un actif autonome, et que les unités internes ne sont ni des sommes d'argent, ni des dépôts, ni des créances exigibles sur un émetteur. Le dispositif ne crée aucun actif monétaire autonome : il n'organise que l'inscription, la coordination et la compensation conventionnelle (art. 1348-2 du Code civil) d'obligations réciproques librement consenties entre les Membres.</w:t>
      </w:r>
    </w:p>
    <w:p w14:paraId="479918DB" w14:textId="77777777" w:rsidR="00E95B2B" w:rsidRDefault="00000000">
      <w:pPr>
        <w:pStyle w:val="Corpsdetexte"/>
        <w:rPr>
          <w:lang w:val="fr-FR"/>
        </w:rPr>
      </w:pPr>
      <w:r>
        <w:rPr>
          <w:lang w:val="fr-FR"/>
        </w:rPr>
        <w:t>Les qualifications réglementaires négatives qui découlent de ces caractéristiques — absence de service de paiement, de monnaie électronique, d'instrument financier et de crypto-actif — sont énoncées, article par article et avec leurs fondements dans le Code monétaire et financier, au Titre X. Toute qualification juridique applicable au dispositif s'interprète à la lumière des caractéristiques essentielles établies au présent Titre.</w:t>
      </w:r>
    </w:p>
    <w:p w14:paraId="575B74C8" w14:textId="77777777" w:rsidR="00E95B2B" w:rsidRDefault="00000000">
      <w:pPr>
        <w:pStyle w:val="Titre2"/>
        <w:rPr>
          <w:lang w:val="fr-FR"/>
        </w:rPr>
      </w:pPr>
      <w:r>
        <w:rPr>
          <w:lang w:val="fr-FR"/>
        </w:rPr>
        <w:t>Article 16 — Les avantages économiques du dispositif</w:t>
      </w:r>
    </w:p>
    <w:p w14:paraId="6A9BF3B8" w14:textId="77777777" w:rsidR="00E95B2B" w:rsidRDefault="00000000">
      <w:pPr>
        <w:pStyle w:val="FirstParagraph"/>
        <w:rPr>
          <w:lang w:val="fr-FR"/>
        </w:rPr>
      </w:pPr>
      <w:r>
        <w:rPr>
          <w:b/>
          <w:bCs/>
          <w:lang w:val="fr-FR"/>
        </w:rPr>
        <w:t xml:space="preserve">Puissance de financement. </w:t>
      </w:r>
      <w:r>
        <w:rPr>
          <w:lang w:val="fr-FR"/>
        </w:rPr>
        <w:t xml:space="preserve"> Ce principe procure aux Membres une capacité de financement sans détention préalable de monnaie : un Membre peut recevoir la valeur produite par d’autres avant d’avoir lui-même fourni, la contrepartie étant assurée par ses engagements inscrits (Art. 14) ou par son préfinancement (Art. 21). Chaque Membre n’apporte en fonds propres que la part de ses opérations qui échappe au cercle ; la part qui boucle entre Membres est financée par leur production réciproque, à valeur constante et sans création de dette. Un apport propre modeste mobilise ainsi une valeur réelle très supérieure — non par multiplication de la monnaie, mais par la coordination de la production des Membres.</w:t>
      </w:r>
    </w:p>
    <w:p w14:paraId="7BE1DC97" w14:textId="77777777" w:rsidR="00E95B2B" w:rsidRDefault="00000000">
      <w:pPr>
        <w:pStyle w:val="Corpsdetexte"/>
        <w:rPr>
          <w:lang w:val="fr-FR"/>
        </w:rPr>
      </w:pPr>
      <w:r>
        <w:rPr>
          <w:b/>
          <w:bCs/>
          <w:lang w:val="fr-FR"/>
        </w:rPr>
        <w:t xml:space="preserve">Réconciliation de la sécurité et de la performance. </w:t>
      </w:r>
      <w:r>
        <w:rPr>
          <w:lang w:val="fr-FR"/>
        </w:rPr>
        <w:t xml:space="preserve"> La contrainte de sécurité portant sur l’écart de chaque solde, et non sur le volume des échanges, elle borne l’exposition sans borner le flux : le dispositif peut porter un volume d’échange considérable, et donc une forte vélocité de la valeur, tout en maintenant chaque solde dans des limites sûres. La sécurité encadre les positions ; la performance se déploie dans les flux ; elles ne s’opposent pas.</w:t>
      </w:r>
    </w:p>
    <w:p w14:paraId="22D88BA3" w14:textId="77777777" w:rsidR="00E95B2B" w:rsidRDefault="00000000">
      <w:pPr>
        <w:pStyle w:val="Corpsdetexte"/>
        <w:rPr>
          <w:lang w:val="fr-FR"/>
        </w:rPr>
      </w:pPr>
      <w:r>
        <w:rPr>
          <w:b/>
          <w:bCs/>
          <w:lang w:val="fr-FR"/>
        </w:rPr>
        <w:t xml:space="preserve">Réconciliation de l’utilité et de l’équité. </w:t>
      </w:r>
      <w:r>
        <w:rPr>
          <w:lang w:val="fr-FR"/>
        </w:rPr>
        <w:t xml:space="preserve"> Un même mécanisme de bornage symétrique produit simultanément l’utilité et l’équité : en décourageant la thésaurisation par le plafond créditeur, il entretient la circulation de la valeur, source d’utilité ; en interdisant la concentration par la symétrie et le plafond débiteur, il préserve l’équité. Ce qui, dans les systèmes fondés sur l’accumulation, constitue un arbitrage entre efficacité et justice se trouve ici réconcilié, à l’intérieur du cercle, par une seule et même règle.</w:t>
      </w:r>
    </w:p>
    <w:p w14:paraId="6871AC93" w14:textId="77777777" w:rsidR="00E95B2B" w:rsidRDefault="00000000">
      <w:pPr>
        <w:pStyle w:val="Corpsdetexte"/>
        <w:rPr>
          <w:lang w:val="fr-FR"/>
        </w:rPr>
      </w:pPr>
      <w:r>
        <w:rPr>
          <w:b/>
          <w:bCs/>
          <w:lang w:val="fr-FR"/>
        </w:rPr>
        <w:t xml:space="preserve">Réconciliation de l’économie par la valeur et de l’économie durable. </w:t>
      </w:r>
      <w:r>
        <w:rPr>
          <w:lang w:val="fr-FR"/>
        </w:rPr>
        <w:t xml:space="preserve"> La vélocité élevée de la valeur — l’économie dynamique — est obtenue sans croissance de la masse échangée ni endettement productif d’intérêts : la valeur circule intensément tandis que le capital demeure constant et préservé — l’économie durable. Le dispositif dissocie ainsi le dynamisme des échanges de l’impératif de croissance monétaire propre aux systèmes à jeton et à dette, conciliant l’intensité de l’activité avec la stabilité des grandeurs.</w:t>
      </w:r>
    </w:p>
    <w:p w14:paraId="6BF684BA" w14:textId="77777777" w:rsidR="00E95B2B" w:rsidRDefault="00000000">
      <w:pPr>
        <w:pStyle w:val="Titre1"/>
        <w:rPr>
          <w:lang w:val="fr-FR"/>
        </w:rPr>
      </w:pPr>
      <w:r>
        <w:rPr>
          <w:lang w:val="fr-FR"/>
        </w:rPr>
        <w:t>Titre IV — Les invariants prudentiels du commun</w:t>
      </w:r>
    </w:p>
    <w:p w14:paraId="6B4EC10A" w14:textId="77777777" w:rsidR="00E95B2B" w:rsidRDefault="00000000">
      <w:pPr>
        <w:pStyle w:val="FirstParagraph"/>
        <w:rPr>
          <w:lang w:val="fr-FR"/>
        </w:rPr>
      </w:pPr>
      <w:r>
        <w:rPr>
          <w:lang w:val="fr-FR"/>
        </w:rPr>
        <w:t>Le présent Titre énonce les invariants structurels dont procède la sécurité du dispositif. Contrairement aux systèmes financiers dont la stabilité repose sur la confiance, sur la solvabilité d'un intermédiaire ou sur l'accumulation de réserves, le présent dispositif fait découler sa stabilité de propriétés mathématiques permanentes du graphe d'échange. La sécurité n'y constitue pas une fonction de gestion ; elle résulte directement de l'architecture du système. Les invariants énoncés ci-après gouvernent toute inscription et toute affectation ; l'Organe de Gouvernance ne peut ni les modifier, ni y déroger. Ils constituent les lois fondamentales du commun institué par le présent contrat.</w:t>
      </w:r>
    </w:p>
    <w:p w14:paraId="47508502" w14:textId="77777777" w:rsidR="00E95B2B" w:rsidRDefault="00000000">
      <w:pPr>
        <w:pStyle w:val="Titre2"/>
        <w:rPr>
          <w:lang w:val="fr-FR"/>
        </w:rPr>
      </w:pPr>
      <w:r>
        <w:rPr>
          <w:lang w:val="fr-FR"/>
        </w:rPr>
        <w:t>Article 17 — Premier invariant : conservation de la valeur (∑ sᵢ = 0)</w:t>
      </w:r>
    </w:p>
    <w:p w14:paraId="770B789D" w14:textId="77777777" w:rsidR="00E95B2B" w:rsidRDefault="00000000">
      <w:pPr>
        <w:pStyle w:val="FirstParagraph"/>
        <w:rPr>
          <w:lang w:val="fr-FR"/>
        </w:rPr>
      </w:pPr>
      <w:r>
        <w:rPr>
          <w:lang w:val="fr-FR"/>
        </w:rPr>
        <w:t>Toute inscription dans le graphe crée simultanément une position créditrice et une position débitrice de même montant. La somme algébrique des soldes demeure ainsi constamment nulle (∑ sᵢ = 0), ainsi qu'il est établi, à titre structurel, à l'article 12. Aucune écriture ne peut créer ni détruire un excédent de valeur : la valeur ne fait que changer de position à l'intérieur du graphe jusqu'à son extinction par compensation mutuelle. La sécurité du dispositif ne repose donc ni sur l'accumulation des réserves, ni sur l’accumulation des déficits, mais sur la conservation de la symétrie structurelle entre créances et dettes.</w:t>
      </w:r>
    </w:p>
    <w:p w14:paraId="0E1F058A" w14:textId="77777777" w:rsidR="00E95B2B" w:rsidRDefault="00000000">
      <w:pPr>
        <w:pStyle w:val="Titre2"/>
        <w:rPr>
          <w:lang w:val="fr-FR"/>
        </w:rPr>
      </w:pPr>
      <w:r>
        <w:rPr>
          <w:lang w:val="fr-FR"/>
        </w:rPr>
        <w:t>Article 18 — Deuxième invariant : limitation de l'exposition (∑ δᵢ ≤ K)</w:t>
      </w:r>
    </w:p>
    <w:p w14:paraId="57244531" w14:textId="77777777" w:rsidR="00E95B2B" w:rsidRDefault="00000000">
      <w:pPr>
        <w:pStyle w:val="FirstParagraph"/>
        <w:rPr>
          <w:lang w:val="fr-FR"/>
        </w:rPr>
      </w:pPr>
      <w:r>
        <w:rPr>
          <w:lang w:val="fr-FR"/>
        </w:rPr>
        <w:t>La contrainte de sécurité porte sur les soldes individuels, non sur le volume des opérations : le volume échangé est libre, seul l'écart de chaque solde autour de zéro est borné. Chaque Membre choisit librement sa fourchette [−δᵢ, +δᵢ], le choix δᵢ = 0 signifiant qu'il n'inscrit que des engagements équilibrés. Le montant des opérations finançables n'a ainsi aucune limite de volume, dès lors qu'il demeure équilibré, car toute la valeur se conserve du seul fait de la symétrie créance / dette.</w:t>
      </w:r>
    </w:p>
    <w:p w14:paraId="257F3C46" w14:textId="77777777" w:rsidR="00E95B2B" w:rsidRDefault="00000000">
      <w:pPr>
        <w:pStyle w:val="Corpsdetexte"/>
        <w:rPr>
          <w:lang w:val="fr-FR"/>
        </w:rPr>
      </w:pPr>
      <w:r>
        <w:rPr>
          <w:lang w:val="fr-FR"/>
        </w:rPr>
        <w:t>La somme des positions débitrices autorisées de l'ensemble des Membres ne peut excéder le Capital d'Ancrage immobilisé : ∑ δᵢ ≤ K. Cette borne constitue la limite prudentielle fondamentale du dispositif. Elle ne limite jamais le volume des échanges ; elle borne uniquement l'exposition simultanée maximale du réseau. Le Capital d'Ancrage, dont la fonction de dimensionnement est définie au Titre I, est ainsi le plafond de l'exposition autorisée — et non un fonds mobilisable ni une sûreté. Sa grandeur met la capacité productive et transactionnelle autorisée du réseau en phase avec la réalité socio-économique dans laquelle il s'inscrit.</w:t>
      </w:r>
    </w:p>
    <w:p w14:paraId="1D380A3F" w14:textId="77777777" w:rsidR="00E95B2B" w:rsidRDefault="00000000">
      <w:pPr>
        <w:pStyle w:val="Titre2"/>
        <w:rPr>
          <w:lang w:val="fr-FR"/>
        </w:rPr>
      </w:pPr>
      <w:r>
        <w:rPr>
          <w:lang w:val="fr-FR"/>
        </w:rPr>
        <w:t>Article 19 — Troisième invariant : absence de concentration</w:t>
      </w:r>
    </w:p>
    <w:p w14:paraId="764BDF4E" w14:textId="77777777" w:rsidR="007F13A5" w:rsidRDefault="00000000">
      <w:pPr>
        <w:pStyle w:val="FirstParagraph"/>
        <w:rPr>
          <w:lang w:val="fr-FR"/>
        </w:rPr>
      </w:pPr>
      <w:r>
        <w:rPr>
          <w:lang w:val="fr-FR"/>
        </w:rPr>
        <w:t xml:space="preserve">La puissance économique d’un Membre ne dépend jamais de l’accumulation d’unités internes, mais de l’équilibre de sa balance des engagements. </w:t>
      </w:r>
    </w:p>
    <w:p w14:paraId="09EDCAF0" w14:textId="4338D4E3" w:rsidR="00E95B2B" w:rsidRDefault="00000000">
      <w:pPr>
        <w:pStyle w:val="FirstParagraph"/>
        <w:rPr>
          <w:lang w:val="fr-FR"/>
        </w:rPr>
      </w:pPr>
      <w:r>
        <w:rPr>
          <w:lang w:val="fr-FR"/>
        </w:rPr>
        <w:t>Cet équilibre peut être mesuré par l’indice :</w:t>
      </w:r>
    </w:p>
    <w:p w14:paraId="028F0792" w14:textId="77777777" w:rsidR="00E95B2B" w:rsidRDefault="00000000">
      <w:pPr>
        <w:pStyle w:val="Corpsdetexte"/>
        <w:jc w:val="center"/>
        <w:rPr>
          <w:lang w:val="fr-FR"/>
        </w:rPr>
      </w:pPr>
      <w:r>
        <w:rPr>
          <w:lang w:val="fr-FR"/>
        </w:rPr>
        <w:t>eᵢ = δᵢ − |sᵢ| ,   0 ≤ eᵢ ≤ δᵢ</w:t>
      </w:r>
    </w:p>
    <w:p w14:paraId="44223039" w14:textId="77777777" w:rsidR="00E95B2B" w:rsidRDefault="00000000">
      <w:pPr>
        <w:pStyle w:val="Corpsdetexte"/>
        <w:rPr>
          <w:lang w:val="fr-FR"/>
        </w:rPr>
      </w:pPr>
      <w:r>
        <w:rPr>
          <w:lang w:val="fr-FR"/>
        </w:rPr>
        <w:t>Cet indice exprime la proximité du Membre avec son point d’équilibre. Il est maximal lorsque son solde est nul (sᵢ = 0), c’est-à-dire lorsque les engagements qu’il a reçus et ceux qu’il a fournis demeurent parfaitement équilibrés. Il décroît symétriquement à mesure que le Membre s’éloigne de cet équilibre, qu’il devienne durablement créditeur ou durablement débiteur, et s’annule lorsque la limite autorisée de sa balance des engagements est atteinte.</w:t>
      </w:r>
    </w:p>
    <w:p w14:paraId="6EA0DFC9" w14:textId="77777777" w:rsidR="00E95B2B" w:rsidRDefault="00000000">
      <w:pPr>
        <w:pStyle w:val="Corpsdetexte"/>
        <w:rPr>
          <w:lang w:val="fr-FR"/>
        </w:rPr>
      </w:pPr>
      <w:r>
        <w:rPr>
          <w:lang w:val="fr-FR"/>
        </w:rPr>
        <w:t>Il en résulte qu'aucune accumulation durable de positions créditrices ne peut accroître le pouvoir économique ou politique d'un Membre. Contrairement aux systèmes monétaires fondés sur l'accumulation d'un stock de richesse, le présent dispositif fait dépendre la capacité d'action de l'équilibre des engagements réciproques. Plus un Membre accumule une position déséquilibrée, moins il dispose de latitude pour participer à de nouveaux échanges. Le pouvoir économique cesse ainsi d'être une fonction croissante du stock détenu pour devenir une fonction décroissante du déséquilibre de la balance des engagements.</w:t>
      </w:r>
    </w:p>
    <w:p w14:paraId="2CB61423" w14:textId="77777777" w:rsidR="00E95B2B" w:rsidRDefault="00000000">
      <w:pPr>
        <w:pStyle w:val="Corpsdetexte"/>
        <w:rPr>
          <w:lang w:val="fr-FR"/>
        </w:rPr>
      </w:pPr>
      <w:r>
        <w:rPr>
          <w:lang w:val="fr-FR"/>
        </w:rPr>
        <w:t>Plus profondément, la richesse cesse d'être l'état d'un nœud pour devenir une propriété du graphe. La capacité de création de valeur ne résulte plus de la détention d'unités internes, mais de l'aptitude du réseau à former des cycles de compensation entre des Membres dont les balances d'engagements demeurent proches de l'équilibre. La puissance économique suit ainsi la connectivité du graphe — notamment son nombre cyclomatique (Art. 13) — et non la masse d'unités détenues. Le dispositif dissocie la création de valeur de l'accumulation de pouvoir et substitue à une économie de stocks une économie de relations.</w:t>
      </w:r>
    </w:p>
    <w:p w14:paraId="602F4EC4" w14:textId="77777777" w:rsidR="00E95B2B" w:rsidRDefault="00000000">
      <w:pPr>
        <w:pStyle w:val="Titre2"/>
        <w:rPr>
          <w:lang w:val="fr-FR"/>
        </w:rPr>
      </w:pPr>
      <w:r>
        <w:rPr>
          <w:lang w:val="fr-FR"/>
        </w:rPr>
        <w:t>Article 20 — Quatrième invariant : localité des perturbations</w:t>
      </w:r>
    </w:p>
    <w:p w14:paraId="11ED9D0F" w14:textId="77777777" w:rsidR="00E95B2B" w:rsidRDefault="00000000">
      <w:pPr>
        <w:pStyle w:val="FirstParagraph"/>
        <w:rPr>
          <w:lang w:val="fr-FR"/>
        </w:rPr>
      </w:pPr>
      <w:r>
        <w:rPr>
          <w:lang w:val="fr-FR"/>
        </w:rPr>
        <w:t>Toute perturbation affectant un Membre demeure confinée au sous-graphe constitué par ce Membre et par les seuls arcs correspondant à ses propres engagements. Formellement, si G = (V, E) désigne le graphe d'échange et v ∈ V le Membre défaillant, la perturbation ne peut affecter que le sous-graphe induit G[N(v)], où N(v) désigne le voisinage de v. Les invariants structurels du graphe demeurent inchangés sur le complémentaire G ∖ G[N(v)]. Les soldes des Membres non concernés ne sont pas modifiés par la seule défaillance, les engagements contractuels déjà nés conservent leur validité, les cycles indépendants qui ne traversent pas le sommet défaillant continuent d'exister et de produire leurs effets compensatoires, et la connectivité générale du réseau demeure inchangée sous réserve des seules relations impliquant directement le Membre défaillant. La perturbation est ainsi locale par construction ; elle ne se propage pas spontanément à l'ensemble du graphe.</w:t>
      </w:r>
    </w:p>
    <w:p w14:paraId="63AEF27B" w14:textId="77777777" w:rsidR="00E95B2B" w:rsidRDefault="00000000">
      <w:pPr>
        <w:pStyle w:val="Corpsdetexte"/>
        <w:rPr>
          <w:lang w:val="fr-FR"/>
        </w:rPr>
      </w:pPr>
      <w:r>
        <w:rPr>
          <w:lang w:val="fr-FR"/>
        </w:rPr>
        <w:t>Cette propriété topologique est un invariant structurel du dispositif. Contrairement aux systèmes fondés sur un intermédiaire central, où la défaillance d'un acteur systémique peut contaminer l'ensemble du réseau, le présent dispositif ne connaît pas de mécanisme interne de propagation. La géométrie du graphe isole naturellement les perturbations dans leur voisinage immédiat. La résilience du dispositif n'est donc pas un principe posé par le contrat, mais la conséquence nécessaire de cette propriété de localité combinée aux autres invariants fondamentaux : conservation de la valeur (∑ sᵢ = 0), limitation de l'exposition (∑ δᵢ ≤ K), collatéralisation intégrale des positions débitrices et absence de concentration du pouvoir économique. Il en résulte le théorème prudentiel suivant : si un graphe vérifie simultanément ces quatre invariants ainsi que la localité des perturbations, alors toute défaillance demeure localisée et ne peut engendrer de propagation systémique. La résilience constitue ainsi une propriété émergente de l'architecture du système, et non un axiome ou une simple règle de gestion.</w:t>
      </w:r>
    </w:p>
    <w:p w14:paraId="49995510" w14:textId="77777777" w:rsidR="00E95B2B" w:rsidRDefault="00000000">
      <w:pPr>
        <w:pStyle w:val="Titre2"/>
        <w:rPr>
          <w:lang w:val="fr-FR"/>
        </w:rPr>
      </w:pPr>
      <w:r>
        <w:rPr>
          <w:lang w:val="fr-FR"/>
        </w:rPr>
        <w:t>Article 21 — Cinquième invariant : collatéralisation intégrale</w:t>
      </w:r>
    </w:p>
    <w:p w14:paraId="1A6134BC" w14:textId="77777777" w:rsidR="00E95B2B" w:rsidRDefault="00000000">
      <w:pPr>
        <w:pStyle w:val="FirstParagraph"/>
        <w:rPr>
          <w:lang w:val="fr-FR"/>
        </w:rPr>
      </w:pPr>
      <w:r>
        <w:rPr>
          <w:lang w:val="fr-FR"/>
        </w:rPr>
        <w:t>Tout Membre qui veut s'autoriser une position débitrice (δᵢ &gt; 0) la préfinance : il dépose, en argent réel, une garantie couvrant intégralement le montant de cette position. Cette garantie est constituée en sûreté affectée (Art. 22) et conservée sous séquestre ou sur compte bloqué propre au préfinancement (Annexe 2 ; Art. 22), distinct de l'immobilisation du Capital d'Ancrage (Art. 3) ; elle est restituée au Membre à sa sortie soldée (Titre V). Le préfinancement transforme le crédit en collatéral : là où un solde débiteur constitue, dans les systèmes de crédit mutuel classiques, un crédit non garanti reposant sur la seule confiance — et supporte donc le risque de contrepartie —, il est ici entièrement couvert.</w:t>
      </w:r>
    </w:p>
    <w:p w14:paraId="1E30D5AF" w14:textId="77777777" w:rsidR="00E95B2B" w:rsidRDefault="00000000">
      <w:pPr>
        <w:pStyle w:val="Corpsdetexte"/>
        <w:rPr>
          <w:lang w:val="fr-FR"/>
        </w:rPr>
      </w:pPr>
      <w:r>
        <w:rPr>
          <w:lang w:val="fr-FR"/>
        </w:rPr>
        <w:t>À chaque unité de découvert autorisé correspond, euro pour euro, une unité déposée sur un compte séquestre. Cette couverture totale est une spécificité architecturale du graphe, qui n’utilise pas la monnaie comme instrument d’échange, mais uniquement comme instrument de collatéralisation des positions débitrices autorisées. Les fonds ainsi immobilisés ne participent, en fonctionnement normal, à aucune circulation monétaire entre les Membres : ils constituent exclusivement une sûreté individuelle destinée à garantir l'exécution des engagements du Membre qui les a constitués et, en cas de défaillance, à couvrir les conséquences de cette inexécution selon les modalités prévues par le contrat (Art. 22).</w:t>
      </w:r>
    </w:p>
    <w:p w14:paraId="528255B1" w14:textId="77777777" w:rsidR="00E95B2B" w:rsidRDefault="00000000">
      <w:pPr>
        <w:pStyle w:val="Corpsdetexte"/>
        <w:rPr>
          <w:lang w:val="fr-FR"/>
        </w:rPr>
      </w:pPr>
      <w:r>
        <w:rPr>
          <w:lang w:val="fr-FR"/>
        </w:rPr>
        <w:t>Chaque position débitrice étant ainsi collatéralisée, le dispositif est intégralement provisionné. La position ouverte d'un Membre défaillant est couverte par sa propre garantie, sans qu'aucun autre Membre n'en supporte la charge (Art. 22 ; Titre V). Le Capital d'Ancrage n'est pas mobilisé pour couvrir les défaillances : il demeure immobilisé (Art. 3), simple plafond de l'exposition autorisée (Art. 18), ses fruits restant attachés à la nue-propriété (Art. 2). Il n'existe donc aucun risque de contrepartie — non qu'il serait assumé par la collectivité, mais parce qu'il n'existe pas de crédit à découvert non couvert : il n'y a que des positions déjà gagées. C'est le degré maximal de sécurité qu'un système d'échange puisse atteindre. Le dispositif réalise ainsi un crédit mutuel pleinement collatéralisé — chaque unité de découvert autorisé étant gagée, euro pour euro, par une unité déposée —, ce qu'aucun système à jeton, aucun système de crédit mutuel ou bancaire ne garantit.</w:t>
      </w:r>
    </w:p>
    <w:p w14:paraId="6D1E4D33" w14:textId="77777777" w:rsidR="00E95B2B" w:rsidRDefault="00000000">
      <w:pPr>
        <w:pStyle w:val="Titre2"/>
        <w:rPr>
          <w:lang w:val="fr-FR"/>
        </w:rPr>
      </w:pPr>
      <w:r>
        <w:rPr>
          <w:lang w:val="fr-FR"/>
        </w:rPr>
        <w:t>Article 22 — Constitution et réalisation du préfinancement en cas de défaillance</w:t>
      </w:r>
    </w:p>
    <w:p w14:paraId="3E849EEE" w14:textId="77777777" w:rsidR="00E95B2B" w:rsidRDefault="00000000">
      <w:pPr>
        <w:pStyle w:val="FirstParagraph"/>
        <w:rPr>
          <w:lang w:val="fr-FR"/>
        </w:rPr>
      </w:pPr>
      <w:r>
        <w:rPr>
          <w:b/>
          <w:bCs/>
          <w:lang w:val="fr-FR"/>
        </w:rPr>
        <w:t>Nature et constitution</w:t>
      </w:r>
      <w:r>
        <w:rPr>
          <w:lang w:val="fr-FR"/>
        </w:rPr>
        <w:t>. Le préfinancement constitué par un Membre au titre de l'article 21 est une garantie en espèces affectée à la seule couverture de sa position débitrice, constituée en nantissement de compte / gage-espèces au sens des articles 2355 et suivants du Code civil. Il est individualisé par Membre, indisponible, et déposé entre les mains d'un tiers dépositaire habilité — notaire assorti d'une consignation à la Caisse des dépôts et consignations, séquestre conventionnel (art. 1956 du Code civil), ou tout autre tiers légalement habilité à conserver des fonds affectés — sur un sous-compte distinct (Annexe 2). Ce séquestre est propre au préfinancement ; il ne se confond pas avec l'immobilisation du Capital d'Ancrage (Titre I), dont il demeure juridiquement et comptablement séparé.</w:t>
      </w:r>
    </w:p>
    <w:p w14:paraId="00D1DE9E" w14:textId="77777777" w:rsidR="00E95B2B" w:rsidRDefault="00000000">
      <w:pPr>
        <w:pStyle w:val="Corpsdetexte"/>
        <w:rPr>
          <w:lang w:val="fr-FR"/>
        </w:rPr>
      </w:pPr>
      <w:r>
        <w:rPr>
          <w:b/>
          <w:bCs/>
          <w:lang w:val="fr-FR"/>
        </w:rPr>
        <w:t>Fonction en situation normale</w:t>
      </w:r>
      <w:r>
        <w:rPr>
          <w:lang w:val="fr-FR"/>
        </w:rPr>
        <w:t>. Le préfinancement conditionne la latitude de découvert du Membre (Art. 18) : il plafonne l'ampleur de la position débitrice qu'il peut porter, sans être consommé ni versé. Tant que le Membre régularise ses positions, il lui est intégralement restitué à sa sortie soldée (Titre V).</w:t>
      </w:r>
    </w:p>
    <w:p w14:paraId="0E55F1D3" w14:textId="77777777" w:rsidR="00E95B2B" w:rsidRDefault="00000000">
      <w:pPr>
        <w:pStyle w:val="Corpsdetexte"/>
        <w:rPr>
          <w:lang w:val="fr-FR"/>
        </w:rPr>
      </w:pPr>
      <w:r>
        <w:rPr>
          <w:b/>
          <w:bCs/>
          <w:lang w:val="fr-FR"/>
        </w:rPr>
        <w:t>Fait générateur de la réalisation.</w:t>
      </w:r>
      <w:r>
        <w:rPr>
          <w:lang w:val="fr-FR"/>
        </w:rPr>
        <w:t xml:space="preserve"> La défaillance définitive est constatée lorsqu'un Membre, à la clôture d'un cycle ou à sa sortie, laisse une position débitrice scellée qu'il ne régularise pas. Cette constatation résulte de l'état du graphe scellé (Art. 14).</w:t>
      </w:r>
    </w:p>
    <w:p w14:paraId="122AD564" w14:textId="77777777" w:rsidR="00E95B2B" w:rsidRDefault="00000000">
      <w:pPr>
        <w:pStyle w:val="Corpsdetexte"/>
        <w:rPr>
          <w:lang w:val="fr-FR"/>
        </w:rPr>
      </w:pPr>
      <w:r>
        <w:rPr>
          <w:b/>
          <w:bCs/>
          <w:lang w:val="fr-FR"/>
        </w:rPr>
        <w:t>Réalisation et affectation du produit</w:t>
      </w:r>
      <w:r>
        <w:rPr>
          <w:lang w:val="fr-FR"/>
        </w:rPr>
        <w:t>. À la survenance de la défaillance, le tiers dépositaire réalise le préfinancement du Membre défaillant, à concurrence du montant de sa position débitrice, et en répartit le produit entre les Membres dont la position créditrice demeure inhonorée du fait de cette défaillance, au prorata de ces positions telles qu'établies par le registre à l'instant du scellement. Cette répartition constitue la réalisation d'une garantie en espèces affectée ; elle est opérée par le tiers dépositaire au titre de la sûreté, et non par l'entité qui exploite le dispositif.</w:t>
      </w:r>
    </w:p>
    <w:p w14:paraId="104922FA" w14:textId="77777777" w:rsidR="00E95B2B" w:rsidRDefault="00000000">
      <w:pPr>
        <w:pStyle w:val="Corpsdetexte"/>
        <w:rPr>
          <w:lang w:val="fr-FR"/>
        </w:rPr>
      </w:pPr>
      <w:r>
        <w:rPr>
          <w:b/>
          <w:bCs/>
          <w:lang w:val="fr-FR"/>
        </w:rPr>
        <w:t>Exclusions expresses.</w:t>
      </w:r>
      <w:r>
        <w:rPr>
          <w:lang w:val="fr-FR"/>
        </w:rPr>
        <w:t xml:space="preserve"> Il est expressément stipulé que : (i) aucun flux d'euros n'est opéré directement d'un Membre vers un autre, l'entité qui exploite le dispositif ne recevant, ne détenant ni ne transférant aucune somme en euros pour le compte des Membres (Titre X) ; (ii) le produit de la réalisation n'accroît en aucun cas le Capital d'Ancrage ni le patrimoine du Propriétaire, étant exclusivement affecté à l'apurement de la position débitrice du Membre défaillant ; (iii) le préfinancement n'est pas restitué au Membre défaillant à hauteur des sommes nécessaires à cet apurement, seul l'excédent éventuel lui étant restitué.</w:t>
      </w:r>
    </w:p>
    <w:p w14:paraId="60CF9125" w14:textId="77777777" w:rsidR="00E95B2B" w:rsidRDefault="00000000">
      <w:pPr>
        <w:pStyle w:val="Corpsdetexte"/>
        <w:rPr>
          <w:lang w:val="fr-FR"/>
        </w:rPr>
      </w:pPr>
      <w:r>
        <w:rPr>
          <w:b/>
          <w:bCs/>
          <w:lang w:val="fr-FR"/>
        </w:rPr>
        <w:t>Insuffisance.</w:t>
      </w:r>
      <w:r>
        <w:rPr>
          <w:lang w:val="fr-FR"/>
        </w:rPr>
        <w:t xml:space="preserve"> Si le préfinancement ne suffit pas à apurer la position débitrice, le solde demeure une créance de droit commun des Membres lésés à l'égard du Membre défaillant, régie par le Titre V et, le cas échéant, par les règles applicables aux procédures collectives. Le dispositif n'institue aucune garantie complémentaire à ce titre.</w:t>
      </w:r>
    </w:p>
    <w:p w14:paraId="1600231B" w14:textId="77777777" w:rsidR="00E95B2B" w:rsidRDefault="00000000">
      <w:pPr>
        <w:pStyle w:val="Titre2"/>
        <w:rPr>
          <w:lang w:val="fr-FR"/>
        </w:rPr>
      </w:pPr>
      <w:r>
        <w:rPr>
          <w:lang w:val="fr-FR"/>
        </w:rPr>
        <w:t>Article 23 — Conséquences économiques et prudentielles</w:t>
      </w:r>
    </w:p>
    <w:p w14:paraId="1E4F78C2" w14:textId="77777777" w:rsidR="00E95B2B" w:rsidRDefault="00000000">
      <w:pPr>
        <w:pStyle w:val="FirstParagraph"/>
        <w:rPr>
          <w:lang w:val="fr-FR"/>
        </w:rPr>
      </w:pPr>
      <w:r>
        <w:rPr>
          <w:lang w:val="fr-FR"/>
        </w:rPr>
        <w:t>Les invariants précédents produisent simultanément plusieurs propriétés émergentes : une capacité de financement sans détention préalable de monnaie, la contrepartie étant assurée par les engagements inscrits (Art. 14) ou le préfinancement (Art. 21) ; une puissance transactionnelle indépendante du volume de monnaie circulante ; la suppression du risque de concentration monétaire interne ; une séparation complète entre le financement des échanges et la détention de monnaie ; une stabilité reposant sur des contraintes structurelles plutôt que sur des décisions discrétionnaires ; et une capacité permanente de compensation des engagements réciproques.</w:t>
      </w:r>
    </w:p>
    <w:p w14:paraId="69D87BEC" w14:textId="77777777" w:rsidR="00E95B2B" w:rsidRDefault="00000000">
      <w:pPr>
        <w:pStyle w:val="Corpsdetexte"/>
        <w:rPr>
          <w:lang w:val="fr-FR"/>
        </w:rPr>
      </w:pPr>
      <w:r>
        <w:rPr>
          <w:lang w:val="fr-FR"/>
        </w:rPr>
        <w:t>En particulier, le dispositif possède deux degrés de liberté indépendants : la sécurité est fonction des soldes (∑ sᵢ = 0, ∑ δᵢ ≤ K), la performance fonction des flux. Là où, dans un système bancaire classique, sécurité et performance s'opposent le long d'une même variable, elles sont ici découplées : le dispositif peut porter un volume d'échange et une vélocité de la valeur considérables tout en maintenant chaque solde dans des limites sûres. La sécurité encadre les positions ; la performance se déploie dans les flux.</w:t>
      </w:r>
    </w:p>
    <w:p w14:paraId="3116F795" w14:textId="77777777" w:rsidR="00E95B2B" w:rsidRDefault="00000000">
      <w:pPr>
        <w:pStyle w:val="Corpsdetexte"/>
        <w:rPr>
          <w:lang w:val="fr-FR"/>
        </w:rPr>
      </w:pPr>
      <w:r>
        <w:rPr>
          <w:lang w:val="fr-FR"/>
        </w:rPr>
        <w:t>Ces propriétés ne résultent pas d'une politique économique décidée par un organe de gouvernance : elles découlent directement des invariants mathématiques du dispositif, que l'Organe de Gouvernance ne peut ni modifier ni suspendre. L'exposé démonstratif de ces propriétés — leur formulation comme propositions établies à partir des hypothèses ∑ sᵢ = 0, ∑ δᵢ ≤ K, collatéralisation intégrale et compensation cyclique — relève du mémoire doctrinal d'accompagnement, et non du présent contrat.</w:t>
      </w:r>
    </w:p>
    <w:p w14:paraId="5924E9B7" w14:textId="77777777" w:rsidR="00FB6EF5" w:rsidRPr="00C46716" w:rsidRDefault="00000000">
      <w:pPr>
        <w:pStyle w:val="Titre1"/>
        <w:rPr>
          <w:lang w:val="fr-FR"/>
        </w:rPr>
      </w:pPr>
      <w:bookmarkStart w:id="8" w:name="Xe7684f09d945796bbea70615a146156c19d8ee8"/>
      <w:r>
        <w:rPr>
          <w:lang w:val="fr-FR"/>
        </w:rPr>
        <w:t>Titre V — Entrée, sortie, gestion et défaillance</w:t>
      </w:r>
    </w:p>
    <w:p w14:paraId="78270278" w14:textId="77777777" w:rsidR="00FB6EF5" w:rsidRPr="00C46716" w:rsidRDefault="00000000">
      <w:pPr>
        <w:pStyle w:val="Titre2"/>
        <w:rPr>
          <w:lang w:val="fr-FR"/>
        </w:rPr>
      </w:pPr>
      <w:bookmarkStart w:id="9" w:name="X116462cdc8d1e624c64f0c7c098abe8a5995207"/>
      <w:r>
        <w:rPr>
          <w:lang w:val="fr-FR"/>
        </w:rPr>
        <w:t>Article 24 — Les modalités d’entrée dans le système</w:t>
      </w:r>
    </w:p>
    <w:p w14:paraId="0B96B281" w14:textId="77777777" w:rsidR="00FB6EF5" w:rsidRPr="00C46716" w:rsidRDefault="00000000">
      <w:pPr>
        <w:pStyle w:val="FirstParagraph"/>
        <w:rPr>
          <w:lang w:val="fr-FR"/>
        </w:rPr>
      </w:pPr>
      <w:r>
        <w:rPr>
          <w:lang w:val="fr-FR"/>
        </w:rPr>
        <w:t>Chaque Membre choisit librement entre deux modes, également constitutifs d’une participation pleine : (a) s’autoriser des positions débitrices, qu’il préfinance (Art. 21), accédant ainsi au décalage temporel de la compensation multilatérale ; ou (b) n’inscrire que des engagements équilibrés (</w:t>
      </w:r>
      <w:r>
        <w:t>δᵢ</w:t>
      </w:r>
      <w:r>
        <w:rPr>
          <w:lang w:val="fr-FR"/>
        </w:rPr>
        <w:t xml:space="preserve"> = 0), sans aucun préfinancement. Le second mode ne requiert aucun apport et n’exclut nullement le Membre.</w:t>
      </w:r>
    </w:p>
    <w:p w14:paraId="2F4AAA8C" w14:textId="77777777" w:rsidR="00FB6EF5" w:rsidRPr="00C46716" w:rsidRDefault="00000000">
      <w:pPr>
        <w:pStyle w:val="Corpsdetexte"/>
        <w:rPr>
          <w:lang w:val="fr-FR"/>
        </w:rPr>
      </w:pPr>
      <w:r>
        <w:rPr>
          <w:lang w:val="fr-FR"/>
        </w:rPr>
        <w:t>Le mode équilibré donne accès à la pleine puissance du dispositif. Grâce au caractère programmatique du graphe (Art. 14), un Membre sans préfinancement participe pleinement à la compensation multilatérale : il inscrit ses engagements de contrepartie en même temps qu’il reçoit, de sorte que ses soldes demeurent équilibrés. Il n’est donc nullement relégué à l’échange bilatéral ; il accède aux cycles qui brisent la double coïncidence des besoins, exactement comme le Membre qui préfinance.</w:t>
      </w:r>
    </w:p>
    <w:p w14:paraId="5E7D92BA" w14:textId="77777777" w:rsidR="00FB6EF5" w:rsidRPr="00C46716" w:rsidRDefault="00000000">
      <w:pPr>
        <w:pStyle w:val="Corpsdetexte"/>
        <w:rPr>
          <w:lang w:val="fr-FR"/>
        </w:rPr>
      </w:pPr>
      <w:r>
        <w:rPr>
          <w:lang w:val="fr-FR"/>
        </w:rPr>
        <w:t>Le préfinancement ne confère ni un accès supérieur au réseau ni une puissance de financement accrue : il confère seulement une liberté temporelle — la faculté de recevoir avant d’avoir inscrit la totalité de sa contrepartie, en portant une position débitrice ouverte. Cette souplesse de calendrier est un confort, non une condition d’accès. Elle est propre au mode de gestion transactionnelle de chacun.</w:t>
      </w:r>
    </w:p>
    <w:p w14:paraId="1272C98E" w14:textId="77777777" w:rsidR="00FB6EF5" w:rsidRPr="00C46716" w:rsidRDefault="00000000">
      <w:pPr>
        <w:pStyle w:val="Corpsdetexte"/>
        <w:rPr>
          <w:lang w:val="fr-FR"/>
        </w:rPr>
      </w:pPr>
      <w:r>
        <w:rPr>
          <w:b/>
          <w:bCs/>
          <w:lang w:val="fr-FR"/>
        </w:rPr>
        <w:t>Le dispositif est ainsi inclusif par construction.</w:t>
      </w:r>
      <w:r>
        <w:rPr>
          <w:lang w:val="fr-FR"/>
        </w:rPr>
        <w:t xml:space="preserve"> Dans les systèmes bancaires et à jeton, l’accès au crédit suppose une richesse ou une garantie préalable, en sorte que celui qui n’a rien en est exclu. Ici, l’accès à la puissance de financement — la faculté de mobiliser la production d’autrui par la compensation — ne suppose aucune richesse préalable, mais seulement l’engagement à fournir en retour. La richesse, sous la forme du préfinancement, n’achète que de la souplesse de calendrier, jamais l’accès ni le pouvoir. Le dispositif dissocie donc l’accès au financement de la détention préalable de capital, ce qui en fait un instrument ouvert à ceux que la finance ordinaire exclut.</w:t>
      </w:r>
    </w:p>
    <w:p w14:paraId="58AB1A36" w14:textId="77777777" w:rsidR="00FB6EF5" w:rsidRPr="00C46716" w:rsidRDefault="00000000">
      <w:pPr>
        <w:pStyle w:val="Corpsdetexte"/>
        <w:rPr>
          <w:lang w:val="fr-FR"/>
        </w:rPr>
      </w:pPr>
      <w:r>
        <w:rPr>
          <w:lang w:val="fr-FR"/>
        </w:rPr>
        <w:t>Cette inclusion prolonge la symétrie du Titre IV : de même qu’aucune position créditrice accumulée ne confère de pouvoir, aucune absence de capital n’exclut de la participation. L’égalité d’accès et l’égalité de pouvoir sont l’une et l’autre garanties par la structure même du graphe.</w:t>
      </w:r>
    </w:p>
    <w:p w14:paraId="37196A5A" w14:textId="77777777" w:rsidR="00FB6EF5" w:rsidRPr="00C46716" w:rsidRDefault="00000000">
      <w:pPr>
        <w:pStyle w:val="Titre2"/>
        <w:rPr>
          <w:lang w:val="fr-FR"/>
        </w:rPr>
      </w:pPr>
      <w:bookmarkStart w:id="10" w:name="Xe0e53d0b815385122d7e421284415b24f5e4e4a"/>
      <w:bookmarkEnd w:id="9"/>
      <w:r>
        <w:rPr>
          <w:lang w:val="fr-FR"/>
        </w:rPr>
        <w:t>Article 25 — La liberté de sortie du système</w:t>
      </w:r>
    </w:p>
    <w:p w14:paraId="6511C547" w14:textId="77777777" w:rsidR="00FB6EF5" w:rsidRPr="00C46716" w:rsidRDefault="00000000">
      <w:pPr>
        <w:pStyle w:val="FirstParagraph"/>
        <w:rPr>
          <w:lang w:val="fr-FR"/>
        </w:rPr>
      </w:pPr>
      <w:r>
        <w:rPr>
          <w:lang w:val="fr-FR"/>
        </w:rPr>
        <w:t>Le Membre qui se retire solde, en argent personnel, toute position résiduelle qu’il laisserait — débitrice comme créditrice. Sa garantie de préfinancement lui est restituée après solde complet. La sortie ne peut créer aucune insolvabilité pour les autres Membres.</w:t>
      </w:r>
    </w:p>
    <w:p w14:paraId="75CA12AD" w14:textId="77777777" w:rsidR="00FB6EF5" w:rsidRPr="00C46716" w:rsidRDefault="00000000">
      <w:pPr>
        <w:pStyle w:val="Corpsdetexte"/>
        <w:rPr>
          <w:lang w:val="fr-FR"/>
        </w:rPr>
      </w:pPr>
      <w:r>
        <w:rPr>
          <w:lang w:val="fr-FR"/>
        </w:rPr>
        <w:t xml:space="preserve">Cette faculté de sortie à tout instant distingue radicalement le dispositif de l'endettement classique. La dette bancaire enferme l'emprunteur dans un engagement de longue durée — souvent des dizaines d'années — dont il ne peut se délier qu'en remboursant un principal augmenté d'intérêts composés, c'est-à-dire une somme qui excède, parfois considérablement, ce qu'il a reçu. Le temps y joue </w:t>
      </w:r>
      <w:r>
        <w:rPr>
          <w:i/>
          <w:iCs/>
          <w:lang w:val="fr-FR"/>
        </w:rPr>
        <w:t>contre</w:t>
      </w:r>
      <w:r>
        <w:rPr>
          <w:lang w:val="fr-FR"/>
        </w:rPr>
        <w:t xml:space="preserve"> le débiteur : plus il tarde, plus il doit. L'engagement se transmet, se refinance, se prolonge, et lie fréquemment le débiteur au-delà de sa capacité de prévision, voire au-delà de sa vie. La dette n'est pas seulement une somme à rendre : c'est une durée subie. Certains y voient même un moyen subtil de coercition collective.</w:t>
      </w:r>
    </w:p>
    <w:p w14:paraId="643B678A" w14:textId="77777777" w:rsidR="00FB6EF5" w:rsidRPr="00C46716" w:rsidRDefault="00000000">
      <w:pPr>
        <w:pStyle w:val="Corpsdetexte"/>
        <w:rPr>
          <w:lang w:val="fr-FR"/>
        </w:rPr>
      </w:pPr>
      <w:r>
        <w:rPr>
          <w:lang w:val="fr-FR"/>
        </w:rPr>
        <w:t>Le présent dispositif renverse ce rapport au temps. La position d'un Membre n'est jamais un principal qui enfle, mais un solde qui tend vers zéro et qu'il peut ramener à zéro quand il le veut. Il ne doit jamais plus que ce qu'il a effectivement reçu : aucun intérêt ne s'ajoute, aucune durée ne pèse, aucun report ne compose. Le temps ne travaille ni pour ni contre lui — il est neutre. Sortir ne suppose donc pas de « se libérer » d'une charge accumulée, mais simplement de solder une position bornée, dont le montant maximal était connu d'avance (</w:t>
      </w:r>
      <w:r>
        <w:t>δ</w:t>
      </w:r>
      <w:r>
        <w:rPr>
          <w:lang w:val="fr-FR"/>
        </w:rPr>
        <w:t>) et, le cas échéant, déjà couvert par son préfinancement.</w:t>
      </w:r>
    </w:p>
    <w:p w14:paraId="55FFFA2A" w14:textId="77777777" w:rsidR="00FB6EF5" w:rsidRPr="00C46716" w:rsidRDefault="00000000">
      <w:pPr>
        <w:pStyle w:val="Corpsdetexte"/>
        <w:rPr>
          <w:lang w:val="fr-FR"/>
        </w:rPr>
      </w:pPr>
      <w:r>
        <w:rPr>
          <w:lang w:val="fr-FR"/>
        </w:rPr>
        <w:t xml:space="preserve">Il en résulte une liberté que la dette ne connaît pas : </w:t>
      </w:r>
      <w:r>
        <w:rPr>
          <w:b/>
          <w:bCs/>
          <w:lang w:val="fr-FR"/>
        </w:rPr>
        <w:t>le Membre n'est jamais captif du système.</w:t>
      </w:r>
      <w:r>
        <w:rPr>
          <w:lang w:val="fr-FR"/>
        </w:rPr>
        <w:t xml:space="preserve"> Sa participation repose sur une réciprocité présente et volontaire, non sur une obligation héritée du passé qui commanderait son avenir. Il entre parce qu'il y trouve un intérêt mutuel ; il reste tant que cet intérêt dure ; il part sans pénalité dès qu'il le souhaite, en rendant exactement ce qu'il doit et en recevant exactement ce qui lui est dû. Là où la dette subordonne le futur au passé et retient les personnes par la contrainte, le dispositif fonde l'engagement sur le consentement continu et garantit, à chaque instant, un droit de retrait.</w:t>
      </w:r>
    </w:p>
    <w:p w14:paraId="582CFFB6" w14:textId="77777777" w:rsidR="00FB6EF5" w:rsidRPr="00C46716" w:rsidRDefault="00000000">
      <w:pPr>
        <w:pStyle w:val="DefinitionTerm"/>
        <w:rPr>
          <w:lang w:val="fr-FR"/>
        </w:rPr>
      </w:pPr>
      <w:r>
        <w:rPr>
          <w:lang w:val="fr-FR"/>
        </w:rPr>
        <w:t>Cette liberté de dénouement est le corollaire de la symétrie du Titre IV</w:t>
      </w:r>
    </w:p>
    <w:p w14:paraId="515ADCE1" w14:textId="77777777" w:rsidR="00FB6EF5" w:rsidRPr="00C46716" w:rsidRDefault="00000000">
      <w:pPr>
        <w:pStyle w:val="Definition"/>
        <w:rPr>
          <w:lang w:val="fr-FR"/>
        </w:rPr>
      </w:pPr>
      <w:r>
        <w:rPr>
          <w:lang w:val="fr-FR"/>
        </w:rPr>
        <w:t>parce que rien ne s'accumule et que toute position a pour horizon le retour à zéro, nul ne peut être retenu par une position qui grossirait avec le temps. La sortie n'est pas une faveur consentie au Membre, mais une propriété structurelle du graphe — l'exacte inverse de l'enfermement par la dette.</w:t>
      </w:r>
    </w:p>
    <w:p w14:paraId="25D895EE" w14:textId="6DAA8EE5" w:rsidR="00FB6EF5" w:rsidRPr="00C46716" w:rsidRDefault="00000000">
      <w:pPr>
        <w:pStyle w:val="Titre2"/>
        <w:rPr>
          <w:lang w:val="fr-FR"/>
        </w:rPr>
      </w:pPr>
      <w:bookmarkStart w:id="11" w:name="article-16-défaillance-et-droit-commun"/>
      <w:bookmarkEnd w:id="10"/>
      <w:r>
        <w:rPr>
          <w:lang w:val="fr-FR"/>
        </w:rPr>
        <w:t>Article 26 — Rupture des engagements contractuels et responsabilité</w:t>
      </w:r>
    </w:p>
    <w:p w14:paraId="00FC9E69" w14:textId="77777777" w:rsidR="00634AB4" w:rsidRDefault="00634AB4">
      <w:pPr>
        <w:pStyle w:val="FirstParagraph"/>
        <w:rPr>
          <w:lang w:val="fr-FR"/>
        </w:rPr>
      </w:pPr>
      <w:r>
        <w:rPr>
          <w:lang w:val="fr-FR"/>
        </w:rPr>
        <w:t xml:space="preserve">Tous les engagements contractuels inscrits dans le graphe d’échange sont modifiables tant que le contenu du graphe n’est pas scellé. A partir du moment où le graphe est scellé, cela fixe les engagements qui deviennent dès lors des obligations contractuelles. </w:t>
      </w:r>
    </w:p>
    <w:p w14:paraId="7655D88A" w14:textId="77777777" w:rsidR="00634AB4" w:rsidRDefault="00634AB4">
      <w:pPr>
        <w:pStyle w:val="FirstParagraph"/>
        <w:rPr>
          <w:lang w:val="fr-FR"/>
        </w:rPr>
      </w:pPr>
      <w:r>
        <w:rPr>
          <w:lang w:val="fr-FR"/>
        </w:rPr>
        <w:t xml:space="preserve">En cas de non réalisation par l’une des parties de son obligation contractuelle, l’autre partie a l’obligation de respecter son obligation contractuelle envers la partie défaillante, dès lors que son engagement a été inscrit et fixé dans le graphe de réalisation. En effet, dans la mesure où le graphe autorise les réciprocités ternaires unilatérales et bilatérales et ne se réalise jamais sous la forme d’une transaction marchande de type monnaie contre bien, il en découle que celui qui ne reçoit pas le bien ou le service qui lui est dû ne s’appauvrit pas. Il ne fait qu’entretenir une balance créancière un peu plus longtemps qu’il devra rééquilibrer de façon différée en procédant à une nouvelle acquisition avec une autre partie du réseau. </w:t>
      </w:r>
    </w:p>
    <w:p w14:paraId="56612164" w14:textId="77777777" w:rsidR="00634AB4" w:rsidRDefault="00634AB4">
      <w:pPr>
        <w:pStyle w:val="FirstParagraph"/>
        <w:rPr>
          <w:lang w:val="fr-FR"/>
        </w:rPr>
      </w:pPr>
      <w:r>
        <w:rPr>
          <w:lang w:val="fr-FR"/>
        </w:rPr>
        <w:t>Il résulte de ces considérations que bien que le graphe constitue un système de compensation multilatérale entre les parties, il ne fait que générer des obligations autonomes entre ses membres, et cela constitue le pilier de sa sécurité face au risque de contamination des défaillances à l’ensemble du réseau. On peut valablement poser comme principe que la défaillance d'un Membre est sans incidence sur la naissance, la validité et l'opposabilité des obligations contractuelles autonomes résultant du graphe scellé. Les conséquences patrimoniales de cette défaillance demeurent régies par les règles de droit commun applicables, notamment celles relatives aux procédures collectives.</w:t>
      </w:r>
    </w:p>
    <w:p w14:paraId="674AD710" w14:textId="77777777" w:rsidR="005D4A32" w:rsidRDefault="005D4A32" w:rsidP="005D4A32">
      <w:pPr>
        <w:pStyle w:val="Corpsdetexte"/>
        <w:rPr>
          <w:lang w:val="fr-FR"/>
        </w:rPr>
      </w:pPr>
      <w:r>
        <w:rPr>
          <w:lang w:val="fr-FR"/>
        </w:rPr>
        <w:t xml:space="preserve">Le réseau possède de par ses règles de fonctionnement des qualités fortes de résilience. </w:t>
      </w:r>
    </w:p>
    <w:p w14:paraId="3D296392" w14:textId="77777777" w:rsidR="005D4A32" w:rsidRDefault="005D4A32" w:rsidP="005D4A32">
      <w:pPr>
        <w:pStyle w:val="Corpsdetexte"/>
        <w:rPr>
          <w:lang w:val="fr-FR"/>
        </w:rPr>
      </w:pPr>
      <w:r>
        <w:rPr>
          <w:b/>
          <w:bCs/>
          <w:lang w:val="fr-FR"/>
        </w:rPr>
        <w:t xml:space="preserve">La défaillance est sans effet sur le reste du graphe. </w:t>
      </w:r>
      <w:r>
        <w:rPr>
          <w:lang w:val="fr-FR"/>
        </w:rPr>
        <w:t>La défaillance d'un Membre n'affecte ni la validité, ni l'exigibilité, ni l'exécution des obligations contractuelles assumées par les autres Membres. Les opérations demeurent exécutoires entre les Parties non défaillantes selon les conditions initialement arrêtées lors du scellement du graphe.</w:t>
      </w:r>
    </w:p>
    <w:p w14:paraId="77DD9AF2" w14:textId="77777777" w:rsidR="007F6E8E" w:rsidRPr="005D4A32" w:rsidRDefault="007F6E8E" w:rsidP="005D4A32">
      <w:pPr>
        <w:pStyle w:val="Corpsdetexte"/>
        <w:rPr>
          <w:lang w:val="fr-FR"/>
        </w:rPr>
      </w:pPr>
      <w:r>
        <w:rPr>
          <w:b/>
          <w:bCs/>
          <w:lang w:val="fr-FR"/>
        </w:rPr>
        <w:t xml:space="preserve">La propagation des pertes est limitée. </w:t>
      </w:r>
      <w:r>
        <w:rPr>
          <w:lang w:val="fr-FR"/>
        </w:rPr>
        <w:t>La défaillance d'un Membre ne peut avoir pour effet de transférer sa charge économique sur les autres Membres. Les conséquences financières de cette inexécution demeurent exclusivement supportées par son auteur, sous réserve des règles impératives applicables aux procédures collectives.</w:t>
      </w:r>
    </w:p>
    <w:p w14:paraId="0B8E3DFD" w14:textId="77777777" w:rsidR="007F6E8E" w:rsidRDefault="007F6E8E" w:rsidP="007F6E8E">
      <w:pPr>
        <w:pStyle w:val="Corpsdetexte"/>
        <w:rPr>
          <w:lang w:val="fr-FR"/>
        </w:rPr>
      </w:pPr>
      <w:r>
        <w:rPr>
          <w:b/>
          <w:bCs/>
          <w:lang w:val="fr-FR"/>
        </w:rPr>
        <w:t xml:space="preserve">Les créances sont conservées. </w:t>
      </w:r>
      <w:r>
        <w:rPr>
          <w:lang w:val="fr-FR"/>
        </w:rPr>
        <w:t>Les créances résultant d'obligations non exécutées demeurent inscrites au registre des positions jusqu'à leur extinction par exécution, compensation conventionnelle, transaction, décision de justice ou tout autre mode légal d'extinction des obligations.</w:t>
      </w:r>
    </w:p>
    <w:p w14:paraId="6AECC0FD" w14:textId="77777777" w:rsidR="00737A36" w:rsidRPr="007F6E8E" w:rsidRDefault="00737A36" w:rsidP="007F6E8E">
      <w:pPr>
        <w:pStyle w:val="Corpsdetexte"/>
        <w:rPr>
          <w:lang w:val="fr-FR"/>
        </w:rPr>
      </w:pPr>
      <w:r>
        <w:rPr>
          <w:b/>
          <w:bCs/>
          <w:lang w:val="fr-FR"/>
        </w:rPr>
        <w:t xml:space="preserve">Le manquement de la partie défaillante creuse son solde débiteur. </w:t>
      </w:r>
      <w:r>
        <w:rPr>
          <w:lang w:val="fr-FR"/>
        </w:rPr>
        <w:t>Il existe à ce titre deux mécanismes de protection dans le réseau, car le solde débiteur est couvert par le préfinancement et l’inexécution peut faire l’objet de poursuites en responsabilité contractuelle.</w:t>
      </w:r>
      <w:r>
        <w:rPr>
          <w:b/>
          <w:bCs/>
          <w:lang w:val="fr-FR"/>
        </w:rPr>
        <w:t xml:space="preserve"> </w:t>
      </w:r>
      <w:r>
        <w:rPr>
          <w:lang w:val="fr-FR"/>
        </w:rPr>
        <w:t xml:space="preserve">Le réseau ne récompense jamais une position défaillante. </w:t>
      </w:r>
    </w:p>
    <w:p w14:paraId="17B49EF3" w14:textId="77777777" w:rsidR="005D4A32" w:rsidRPr="007F6E8E" w:rsidRDefault="007F6E8E" w:rsidP="005D4A32">
      <w:pPr>
        <w:pStyle w:val="Corpsdetexte"/>
        <w:rPr>
          <w:lang w:val="fr-FR"/>
        </w:rPr>
      </w:pPr>
      <w:r>
        <w:rPr>
          <w:b/>
          <w:bCs/>
          <w:lang w:val="fr-FR"/>
        </w:rPr>
        <w:t>Le réseau a la capacité de se reconfigurer.</w:t>
      </w:r>
      <w:r>
        <w:rPr>
          <w:lang w:val="fr-FR"/>
        </w:rPr>
        <w:t xml:space="preserve"> La défaillance d'un Membre n'interdit pas la poursuite du fonctionnement du réseau. Les autres Membres peuvent procéder à la constitution de nouveaux graphes d'échange permettant de rééquilibrer progressivement les positions créancières affectées, sans préjudice des recours exercés contre le Membre défaillant. Une défaillance individuelle s’analyse en définitive comme un simple déséquilibre temporaire du réseau.</w:t>
      </w:r>
    </w:p>
    <w:p w14:paraId="07429FA1" w14:textId="77777777" w:rsidR="00FB6EF5" w:rsidRPr="00C46716" w:rsidRDefault="007F6E8E" w:rsidP="007F6E8E">
      <w:pPr>
        <w:pStyle w:val="FirstParagraph"/>
        <w:rPr>
          <w:lang w:val="fr-FR"/>
        </w:rPr>
      </w:pPr>
      <w:r>
        <w:rPr>
          <w:b/>
          <w:bCs/>
          <w:lang w:val="fr-FR"/>
        </w:rPr>
        <w:t xml:space="preserve">La non réalisation d’une obligation contractuelle met potentiellement en jeu la responsabilité contractuelle de la partie défaillante. </w:t>
      </w:r>
      <w:r>
        <w:rPr>
          <w:lang w:val="fr-FR"/>
        </w:rPr>
        <w:t>Même si chaque partie doit respecter ses obligations en cas de défaillance de l’autre partie, la partie défaillante peut faire l’objet de poursuites. Le dispositif n’institue aucune protection dérogatoire : l’inscription valant engagement opposable (Art. 55), les Parties disposent des voies de recours de droit commun. Les Membres peuvent, pour une opération donnée ou pour un participant à haut risque, convenir de sûretés renforcées optionnelles (préfinancement accru, réalisation atomique du cycle), sans que celles-ci soient exigées par défaut.</w:t>
      </w:r>
    </w:p>
    <w:p w14:paraId="21F2A4AE" w14:textId="77777777" w:rsidR="00FB6EF5" w:rsidRPr="00C46716" w:rsidRDefault="00000000">
      <w:pPr>
        <w:pStyle w:val="Titre1"/>
        <w:rPr>
          <w:lang w:val="fr-FR"/>
        </w:rPr>
      </w:pPr>
      <w:bookmarkStart w:id="12" w:name="Xfab3b3f5bfc4b986d4308c0c3b3efa4d5dda9a7"/>
      <w:bookmarkEnd w:id="8"/>
      <w:bookmarkEnd w:id="11"/>
      <w:r>
        <w:rPr>
          <w:lang w:val="fr-FR"/>
        </w:rPr>
        <w:t>Titre VI — Pureté du noyau et frontière externe</w:t>
      </w:r>
    </w:p>
    <w:p w14:paraId="74A45BBC" w14:textId="77777777" w:rsidR="00FB6EF5" w:rsidRPr="00C46716" w:rsidRDefault="00000000">
      <w:pPr>
        <w:pStyle w:val="FirstParagraph"/>
        <w:rPr>
          <w:lang w:val="fr-FR"/>
        </w:rPr>
      </w:pPr>
      <w:r>
        <w:rPr>
          <w:lang w:val="fr-FR"/>
        </w:rPr>
        <w:t>Le dispositif comporte deux domaines de nature distincte, dont la stricte séparation conditionne à la fois sa cohérence et sa conformité. Le noyau désigne l’ensemble des échanges qui bouclent entre Membres et se règlent par compensation, sans qu’aucune monnaie ne soit nécessaire ni ne circule. La frontière désigne le point où une opération doit être réglée en euros à l’égard d’un tiers non-membre — un intrant importé, une taxe, une prestation qu’aucun Membre ne fournit.</w:t>
      </w:r>
    </w:p>
    <w:p w14:paraId="606021CC" w14:textId="77777777" w:rsidR="00FB6EF5" w:rsidRPr="00C46716" w:rsidRDefault="00000000">
      <w:pPr>
        <w:pStyle w:val="Corpsdetexte"/>
        <w:rPr>
          <w:lang w:val="fr-FR"/>
        </w:rPr>
      </w:pPr>
      <w:r>
        <w:rPr>
          <w:lang w:val="fr-FR"/>
        </w:rPr>
        <w:t>Le Capital d’Ancrage ne finance ni l’un ni l’autre de ces domaines. À l’intérieur du noyau, il dimensionne et plafonne l’exposition sans être décaissé (Titre IV) ; à la frontière, il n’intervient pas, ses fruits comme sa substance demeurant attachés à la nue-propriété (Art. 2). Le présent titre garantit la pureté du noyau et précise comment la frontière est financée sans jamais mobiliser le capital.</w:t>
      </w:r>
    </w:p>
    <w:p w14:paraId="62FD7B87" w14:textId="77777777" w:rsidR="00FB6EF5" w:rsidRPr="00C46716" w:rsidRDefault="00000000">
      <w:pPr>
        <w:pStyle w:val="Titre2"/>
        <w:rPr>
          <w:lang w:val="fr-FR"/>
        </w:rPr>
      </w:pPr>
      <w:bookmarkStart w:id="13" w:name="article-17-la-pureté-du-noyau"/>
      <w:r>
        <w:rPr>
          <w:lang w:val="fr-FR"/>
        </w:rPr>
        <w:t>Article 27 — La pureté du noyau</w:t>
      </w:r>
    </w:p>
    <w:p w14:paraId="3178E3E1" w14:textId="77777777" w:rsidR="00FB6EF5" w:rsidRPr="00C46716" w:rsidRDefault="00000000">
      <w:pPr>
        <w:pStyle w:val="FirstParagraph"/>
        <w:rPr>
          <w:lang w:val="fr-FR"/>
        </w:rPr>
      </w:pPr>
      <w:r>
        <w:rPr>
          <w:lang w:val="fr-FR"/>
        </w:rPr>
        <w:t>Le noyau est pur en ce qu'il ne manipule aucune monnaie et ne touche ni la substance ni les fruits du capital. Il n'organise que des relations d'usage non rivales, mesurées en unités internes, entre Membres identifiés.</w:t>
      </w:r>
    </w:p>
    <w:p w14:paraId="05CAEF8E" w14:textId="77777777" w:rsidR="00FB6EF5" w:rsidRPr="00C46716" w:rsidRDefault="00000000">
      <w:pPr>
        <w:pStyle w:val="Corpsdetexte"/>
        <w:rPr>
          <w:lang w:val="fr-FR"/>
        </w:rPr>
      </w:pPr>
      <w:r>
        <w:rPr>
          <w:lang w:val="fr-FR"/>
        </w:rPr>
        <w:t>Le dispositif ne tient qu'un registre d'unités internes. Il n'encaisse, ne détient ni ne reverse aucune somme en euros pour le compte de tiers. Toute part d'une opération devant être réglée en euros envers un tiers non-membre est réglée directement par le Membre concerné, sur ses fonds propres, hors du dispositif, qui n'en est ni le dépositaire ni l'intermédiaire. Ne recevant ni ne transférant de fonds pour le compte de tiers, le dispositif ne fournit aucun service de paiement au sens des articles L. 314-1 et L. 521-1 du Code monétaire et financier et relève des instruments à réseau limité (art. L. 521-3).</w:t>
      </w:r>
    </w:p>
    <w:p w14:paraId="5554D2A2" w14:textId="77777777" w:rsidR="00FB6EF5" w:rsidRPr="00C46716" w:rsidRDefault="00000000">
      <w:pPr>
        <w:pStyle w:val="Corpsdetexte"/>
        <w:rPr>
          <w:lang w:val="fr-FR"/>
        </w:rPr>
      </w:pPr>
      <w:r>
        <w:rPr>
          <w:lang w:val="fr-FR"/>
        </w:rPr>
        <w:t xml:space="preserve">Le droit conféré aux Membres est un </w:t>
      </w:r>
      <w:r>
        <w:rPr>
          <w:i/>
          <w:iCs/>
          <w:lang w:val="fr-FR"/>
        </w:rPr>
        <w:t>usus</w:t>
      </w:r>
      <w:r>
        <w:rPr>
          <w:lang w:val="fr-FR"/>
        </w:rPr>
        <w:t xml:space="preserve"> dépourvu d'</w:t>
      </w:r>
      <w:r>
        <w:rPr>
          <w:i/>
          <w:iCs/>
          <w:lang w:val="fr-FR"/>
        </w:rPr>
        <w:t>abusus</w:t>
      </w:r>
      <w:r>
        <w:rPr>
          <w:lang w:val="fr-FR"/>
        </w:rPr>
        <w:t>. L'</w:t>
      </w:r>
      <w:r>
        <w:rPr>
          <w:i/>
          <w:iCs/>
          <w:lang w:val="fr-FR"/>
        </w:rPr>
        <w:t>abusus</w:t>
      </w:r>
      <w:r>
        <w:rPr>
          <w:lang w:val="fr-FR"/>
        </w:rPr>
        <w:t xml:space="preserve"> est, dans la propriété classique, le droit de disposer de la chose dans toute son étendue : l'aliéner, mais aussi la consommer, l'accaparer ou la détruire. C'est précisément cette faculté que le noyau retranche. Les Membres usent et jouissent des relations d'échange — ils les nouent, les font circuler, en perçoivent l'utilité — sans jamais pouvoir se les approprier, les thésauriser ni les anéantir. La substance du capital — son </w:t>
      </w:r>
      <w:r>
        <w:rPr>
          <w:i/>
          <w:iCs/>
          <w:lang w:val="fr-FR"/>
        </w:rPr>
        <w:t>abusus</w:t>
      </w:r>
      <w:r>
        <w:rPr>
          <w:lang w:val="fr-FR"/>
        </w:rPr>
        <w:t xml:space="preserve"> — et ses fruits demeurent au Propriétaire (Art. 2) ; le noyau n'en dispose jamais.</w:t>
      </w:r>
    </w:p>
    <w:p w14:paraId="32216599" w14:textId="77777777" w:rsidR="00FB6EF5" w:rsidRPr="00C46716" w:rsidRDefault="00000000">
      <w:pPr>
        <w:pStyle w:val="Corpsdetexte"/>
        <w:rPr>
          <w:lang w:val="fr-FR"/>
        </w:rPr>
      </w:pPr>
      <w:r>
        <w:rPr>
          <w:lang w:val="fr-FR"/>
        </w:rPr>
        <w:t>Ce retranchement change la nature économique du droit car celui-ci ne porte plus sur une chose mais sur une relation. Il confère au système d’échange cyclique son caractère durable et permanent, sans qu'aucune croissance ne soit requise pour le maintenir.</w:t>
      </w:r>
    </w:p>
    <w:p w14:paraId="464362C4" w14:textId="77777777" w:rsidR="00FB6EF5" w:rsidRPr="00C46716" w:rsidRDefault="00000000">
      <w:pPr>
        <w:pStyle w:val="Corpsdetexte"/>
        <w:rPr>
          <w:lang w:val="fr-FR"/>
        </w:rPr>
      </w:pPr>
      <w:r>
        <w:rPr>
          <w:lang w:val="fr-FR"/>
        </w:rPr>
        <w:t>Les échanges du noyau sont à solde nul : chaque Membre équilibre ce qu'il reçoit par ce qu'il fournit, de sorte que la somme des soldes demeure constamment nulle et que rien n'y est gratuit. Cette exigence d'équilibre, loin d'être une contrainte accessoire, est le principe même de justice du dispositif : elle protège celui qui fournit et interdit qu'une valeur soit prélevée sans contrepartie.</w:t>
      </w:r>
    </w:p>
    <w:p w14:paraId="2230DE49" w14:textId="77777777" w:rsidR="00FB6EF5" w:rsidRPr="00C46716" w:rsidRDefault="00000000">
      <w:pPr>
        <w:pStyle w:val="Corpsdetexte"/>
        <w:rPr>
          <w:lang w:val="fr-FR"/>
        </w:rPr>
      </w:pPr>
      <w:r>
        <w:rPr>
          <w:lang w:val="fr-FR"/>
        </w:rPr>
        <w:t>La valeur ne s'y réalise que dans la circulation, jamais dans la thésaurisation : le droit conféré est un droit de faire circuler la valeur, non de la détenir. Cette orientation vers la circulation est une propriété du noyau, qui vaut pour tout échange entre Membres.</w:t>
      </w:r>
    </w:p>
    <w:p w14:paraId="47CC4B45" w14:textId="77777777" w:rsidR="00FB6EF5" w:rsidRPr="00C46716" w:rsidRDefault="00000000">
      <w:pPr>
        <w:pStyle w:val="Corpsdetexte"/>
        <w:rPr>
          <w:lang w:val="fr-FR"/>
        </w:rPr>
      </w:pPr>
      <w:r>
        <w:rPr>
          <w:lang w:val="fr-FR"/>
        </w:rPr>
        <w:t>Les Objectifs de Développement Durable ne constituent pas une condition de licéité des opérations, mais un critère d’évaluation et de hiérarchisation des préférences : ils fournissent la mesure de ce qui est souhaitable et fondent la priorité qu'une opération reçoit dans le soutien collectif et la priorisation par vote (Titre VII, Principe II). Une opération qui ne relève pas des ODD n'est pas prohibée ; elle demeure admissible dès lors qu'elle satisfait les conditions de sécurité (Titre IV, Principe I), mais elle ne bénéficie pas de la priorité ni du soutien réservés aux opérations à fort bénéfice ODD.</w:t>
      </w:r>
    </w:p>
    <w:p w14:paraId="03706B1D" w14:textId="77777777" w:rsidR="00FB6EF5" w:rsidRPr="00C46716" w:rsidRDefault="00000000">
      <w:pPr>
        <w:pStyle w:val="Titre2"/>
        <w:rPr>
          <w:lang w:val="fr-FR"/>
        </w:rPr>
      </w:pPr>
      <w:bookmarkStart w:id="14" w:name="Xc6856328ef9ff2ce3fffb5ea3588608646ae8ae"/>
      <w:bookmarkEnd w:id="13"/>
      <w:r>
        <w:rPr>
          <w:lang w:val="fr-FR"/>
        </w:rPr>
        <w:t>Article 28 — Une fonction non rivale et non exclusive</w:t>
      </w:r>
    </w:p>
    <w:p w14:paraId="0AC9F13C" w14:textId="77777777" w:rsidR="00FB6EF5" w:rsidRPr="00C46716" w:rsidRDefault="00000000">
      <w:pPr>
        <w:pStyle w:val="FirstParagraph"/>
        <w:rPr>
          <w:lang w:val="fr-FR"/>
        </w:rPr>
      </w:pPr>
      <w:r>
        <w:rPr>
          <w:lang w:val="fr-FR"/>
        </w:rPr>
        <w:t xml:space="preserve">La fonction monétaire exercée dans le noyau est </w:t>
      </w:r>
      <w:r>
        <w:rPr>
          <w:b/>
          <w:bCs/>
          <w:lang w:val="fr-FR"/>
        </w:rPr>
        <w:t>non rivale</w:t>
      </w:r>
      <w:r>
        <w:rPr>
          <w:lang w:val="fr-FR"/>
        </w:rPr>
        <w:t xml:space="preserve"> : plusieurs Membres l'exercent simultanément sans que l'usage de l'un ne prive l'autre, parce qu'ils ne consomment aucun support monétaire mais utilisent seulement la relation d'équivalence que l'unité mesure.</w:t>
      </w:r>
    </w:p>
    <w:p w14:paraId="00383908" w14:textId="77777777" w:rsidR="00FB6EF5" w:rsidRPr="00C46716" w:rsidRDefault="00000000">
      <w:pPr>
        <w:pStyle w:val="Corpsdetexte"/>
        <w:rPr>
          <w:lang w:val="fr-FR"/>
        </w:rPr>
      </w:pPr>
      <w:r>
        <w:rPr>
          <w:lang w:val="fr-FR"/>
        </w:rPr>
        <w:t xml:space="preserve">Elle est aussi </w:t>
      </w:r>
      <w:r>
        <w:rPr>
          <w:b/>
          <w:bCs/>
          <w:lang w:val="fr-FR"/>
        </w:rPr>
        <w:t>non exclusive</w:t>
      </w:r>
      <w:r>
        <w:rPr>
          <w:lang w:val="fr-FR"/>
        </w:rPr>
        <w:t xml:space="preserve"> : nul ne peut être empêché d'en faire usage, ni s'en réserver la jouissance au détriment des autres. Ces deux propriétés sont distinctes — la non-rivalité tient à la </w:t>
      </w:r>
      <w:r>
        <w:rPr>
          <w:i/>
          <w:iCs/>
          <w:lang w:val="fr-FR"/>
        </w:rPr>
        <w:t>nature</w:t>
      </w:r>
      <w:r>
        <w:rPr>
          <w:lang w:val="fr-FR"/>
        </w:rPr>
        <w:t xml:space="preserve"> de la chose (son usage ne l'épuise pas), la non-exclusivité tient au </w:t>
      </w:r>
      <w:r>
        <w:rPr>
          <w:i/>
          <w:iCs/>
          <w:lang w:val="fr-FR"/>
        </w:rPr>
        <w:t>rapport de droit</w:t>
      </w:r>
      <w:r>
        <w:rPr>
          <w:lang w:val="fr-FR"/>
        </w:rPr>
        <w:t xml:space="preserve"> qui l'organise (nul n'en est écarté) — mais dans le noyau elles se conditionnent l'une l'autre.</w:t>
      </w:r>
    </w:p>
    <w:p w14:paraId="07F09E28" w14:textId="77777777" w:rsidR="00FB6EF5" w:rsidRPr="00C46716" w:rsidRDefault="00000000">
      <w:pPr>
        <w:pStyle w:val="Corpsdetexte"/>
        <w:rPr>
          <w:lang w:val="fr-FR"/>
        </w:rPr>
      </w:pPr>
      <w:r>
        <w:rPr>
          <w:lang w:val="fr-FR"/>
        </w:rPr>
        <w:t xml:space="preserve">La non-exclusivité procède d'abord de la non-rivalité. Dans une économie fondée sur un support rare — un jeton, une pièce, une créance accumulable — l'exclusion est une nécessité mécanique : ce que je détiens, un autre ne le détient pas ; le stock que j'immobilise est soustrait à tous. La rareté du support </w:t>
      </w:r>
      <w:r>
        <w:rPr>
          <w:i/>
          <w:iCs/>
          <w:lang w:val="fr-FR"/>
        </w:rPr>
        <w:t>impose</w:t>
      </w:r>
      <w:r>
        <w:rPr>
          <w:lang w:val="fr-FR"/>
        </w:rPr>
        <w:t xml:space="preserve"> l'exclusion, et c'est de là que naissent la concentration et le pouvoir de celui qui accumule. Dans le noyau, le support monétaire n'existe pas : l'unité n'est pas une chose que l'on possède mais la mesure d'une relation entre deux Membres. Or une relation ne se détient pas et ne se retire pas à autrui ; elle ne peut être ni thésaurisée ni confisquée. Ce qui n'a pas de support rare n'a pas de raison d'être exclu — la non-rivalité retire à l'exclusion son fondement même.</w:t>
      </w:r>
    </w:p>
    <w:p w14:paraId="34F02B7E" w14:textId="77777777" w:rsidR="00FB6EF5" w:rsidRPr="00C46716" w:rsidRDefault="00000000">
      <w:pPr>
        <w:pStyle w:val="Corpsdetexte"/>
        <w:rPr>
          <w:lang w:val="fr-FR"/>
        </w:rPr>
      </w:pPr>
      <w:r>
        <w:rPr>
          <w:lang w:val="fr-FR"/>
        </w:rPr>
        <w:t xml:space="preserve">Mais la non-exclusivité procède aussi de la structure juridique du droit conféré. Le droit d'usage est ouvert </w:t>
      </w:r>
      <w:r>
        <w:rPr>
          <w:i/>
          <w:iCs/>
          <w:lang w:val="fr-FR"/>
        </w:rPr>
        <w:t>erga omnes</w:t>
      </w:r>
      <w:r>
        <w:rPr>
          <w:lang w:val="fr-FR"/>
        </w:rPr>
        <w:t xml:space="preserve">, à tout Membre remplissant les critères objectifs d'admission (Art. 11) : il n'est pas attribué par parts qu'il faudrait se disputer, mais reconnu à chacun dans son intégralité, sans que la reconnaissance au profit de l'un diminue celle des autres. C'est précisément ce que la non-rivalité rend cohérent : là où l'usufruit classique est exclusif — un usufruitier prive le nu-propriétaire et les autres usagers — le droit d'usage non rival peut être multiplié à tous sans dépossession ni concurrence, parce qu'aucun usager n'entame ce dont un autre a besoin. C'est un démembrement </w:t>
      </w:r>
      <w:r>
        <w:rPr>
          <w:i/>
          <w:iCs/>
          <w:lang w:val="fr-FR"/>
        </w:rPr>
        <w:t>sui generis</w:t>
      </w:r>
      <w:r>
        <w:rPr>
          <w:lang w:val="fr-FR"/>
        </w:rPr>
        <w:t xml:space="preserve"> que seule la non-rivalité autorise.</w:t>
      </w:r>
    </w:p>
    <w:p w14:paraId="7CC14326" w14:textId="77777777" w:rsidR="00FB6EF5" w:rsidRPr="00C46716" w:rsidRDefault="00000000">
      <w:pPr>
        <w:pStyle w:val="Corpsdetexte"/>
        <w:rPr>
          <w:lang w:val="fr-FR"/>
        </w:rPr>
      </w:pPr>
      <w:r>
        <w:rPr>
          <w:lang w:val="fr-FR"/>
        </w:rPr>
        <w:t xml:space="preserve">Ces deux propriétés, réunies, définissent le noyau comme un </w:t>
      </w:r>
      <w:r>
        <w:rPr>
          <w:b/>
          <w:bCs/>
          <w:lang w:val="fr-FR"/>
        </w:rPr>
        <w:t>commun</w:t>
      </w:r>
      <w:r>
        <w:rPr>
          <w:lang w:val="fr-FR"/>
        </w:rPr>
        <w:t xml:space="preserve"> : une ressource dont l'usage est à la fois inépuisable par le partage (non-rivalité) et ouvert à tous (non-exclusivité). C'est ce double caractère qui fait basculer le dispositif hors de la logique d'appropriation. Là où la monnaie ordinaire est un bien privé — rival et exclusif, donc concentrable — la fonction monétaire du noyau est un bien commun : nul ne peut se l'approprier au détriment d'autrui, ni parce que son usage l'épuiserait, ni parce qu'un droit supérieur en écarterait les autres. L'égalité entre Membres n'est donc pas une règle ajoutée au dispositif ; elle est la conséquence directe de la nature non rivale et non exclusive de ce qu'ils partagent.</w:t>
      </w:r>
    </w:p>
    <w:p w14:paraId="1D39F737" w14:textId="77777777" w:rsidR="00FB6EF5" w:rsidRPr="00C46716" w:rsidRDefault="00000000">
      <w:pPr>
        <w:pStyle w:val="Titre2"/>
        <w:rPr>
          <w:lang w:val="fr-FR"/>
        </w:rPr>
      </w:pPr>
      <w:bookmarkStart w:id="15" w:name="X7e0e8fae7d2e0148380ec66631512370e95040e"/>
      <w:bookmarkEnd w:id="14"/>
      <w:r>
        <w:rPr>
          <w:lang w:val="fr-FR"/>
        </w:rPr>
        <w:t>Article 29 — Le financement de la frontière externe</w:t>
      </w:r>
    </w:p>
    <w:p w14:paraId="53CDB226" w14:textId="77777777" w:rsidR="00FB6EF5" w:rsidRPr="00C46716" w:rsidRDefault="00000000">
      <w:pPr>
        <w:pStyle w:val="FirstParagraph"/>
        <w:rPr>
          <w:lang w:val="fr-FR"/>
        </w:rPr>
      </w:pPr>
      <w:r>
        <w:rPr>
          <w:lang w:val="fr-FR"/>
        </w:rPr>
        <w:t>La frontière externe est financée, en premier lieu, par chaque Membre sur ses fonds propres, pour la part de ses opérations qui doit être réglée en euros à un tiers non-membre (Art. 27). Le Capital d’Ancrage n’y contribue pas : son principal est immobilisé (Art. 3) et ses fruits demeurent attachés à la nue-propriété (Art. 2). Le dispositif ne finance, par le capital, aucune dépense externe.</w:t>
      </w:r>
    </w:p>
    <w:p w14:paraId="15384C5A" w14:textId="77777777" w:rsidR="00FB6EF5" w:rsidRPr="00C46716" w:rsidRDefault="00000000">
      <w:pPr>
        <w:pStyle w:val="Corpsdetexte"/>
        <w:rPr>
          <w:lang w:val="fr-FR"/>
        </w:rPr>
      </w:pPr>
      <w:r>
        <w:rPr>
          <w:lang w:val="fr-FR"/>
        </w:rPr>
        <w:t>Lorsque le dispositif choisit de soutenir collectivement certaines dépenses externes attachées aux opérations ODD, ce soutien est assuré par un fonds de solidarité juridiquement distinct du noyau et du capital, alimenté par des ressources qui lui sont propres — cotisations, dons, subventions — à l’exclusion de toute mobilisation du Capital d’Ancrage. Ce fonds, seul habilité à manier des euros, règle les dépenses concernées ; le noyau, lui, ne manipule jamais de monnaie.</w:t>
      </w:r>
    </w:p>
    <w:p w14:paraId="2BD5C56E" w14:textId="77777777" w:rsidR="00FB6EF5" w:rsidRPr="00C46716" w:rsidRDefault="00000000">
      <w:pPr>
        <w:pStyle w:val="Corpsdetexte"/>
        <w:rPr>
          <w:lang w:val="fr-FR"/>
        </w:rPr>
      </w:pPr>
      <w:r>
        <w:rPr>
          <w:lang w:val="fr-FR"/>
        </w:rPr>
        <w:t>Ce soutien collectif a pour objet de préserver l’égalité d’accès, en permettant aux Membres dépourvus de fonds propres suffisants d’accéder aux opérations comportant une part externe, sans que la participation ne dépende de la détention préalable de capital. Il prolonge le caractère inclusif du dispositif (Art. 6).</w:t>
      </w:r>
    </w:p>
    <w:p w14:paraId="4303D14C" w14:textId="77777777" w:rsidR="00FB6EF5" w:rsidRPr="00C46716" w:rsidRDefault="00000000">
      <w:pPr>
        <w:pStyle w:val="Corpsdetexte"/>
        <w:rPr>
          <w:lang w:val="fr-FR"/>
        </w:rPr>
      </w:pPr>
      <w:r>
        <w:rPr>
          <w:lang w:val="fr-FR"/>
        </w:rPr>
        <w:t>La capacité de soutien collectif est bornée par les ressources propres du fonds de solidarité. Elle ne s’étend pas par une mobilisation du capital, qui demeure exclue, mais par deux leviers : l’accroissement de la part interne des opérations — l’internalisation de fournisseurs, qui réduit d’autant la fuite externe et donc le besoin de règlement en euros — et l’augmentation des ressources propres du fonds de solidarité.</w:t>
      </w:r>
    </w:p>
    <w:p w14:paraId="04811D44" w14:textId="77777777" w:rsidR="00FB6EF5" w:rsidRPr="00C46716" w:rsidRDefault="00000000">
      <w:pPr>
        <w:pStyle w:val="Titre1"/>
        <w:rPr>
          <w:lang w:val="fr-FR"/>
        </w:rPr>
      </w:pPr>
      <w:bookmarkStart w:id="16" w:name="X369a240dfd52c66b6849d8902abe0a97e3bf068"/>
      <w:bookmarkEnd w:id="12"/>
      <w:bookmarkEnd w:id="15"/>
      <w:r>
        <w:rPr>
          <w:lang w:val="fr-FR"/>
        </w:rPr>
        <w:t>Titre VII — Choix de projets, priorisation et vote de préférence</w:t>
      </w:r>
    </w:p>
    <w:p w14:paraId="684C6635" w14:textId="77777777" w:rsidR="00FB6EF5" w:rsidRPr="00C46716" w:rsidRDefault="00000000">
      <w:pPr>
        <w:pStyle w:val="FirstParagraph"/>
        <w:rPr>
          <w:lang w:val="fr-FR"/>
        </w:rPr>
      </w:pPr>
      <w:r>
        <w:rPr>
          <w:lang w:val="fr-FR"/>
        </w:rPr>
        <w:t>Les titres précédents ont montré comment le dispositif permet à des agents d’échanger des biens et des services. Nous allons expliquer maintenant comment il leur permet de voter pour des projets afin de les financer. Dans cette perspective, il convient de répondre à la question suivante : parmi tous les projets admissibles, lesquels soutenir en priorité ? Et comment se traduit concrètement ce soutien ?</w:t>
      </w:r>
    </w:p>
    <w:p w14:paraId="55F9FB69" w14:textId="77777777" w:rsidR="00FB6EF5" w:rsidRPr="00C46716" w:rsidRDefault="00000000">
      <w:pPr>
        <w:pStyle w:val="Corpsdetexte"/>
        <w:rPr>
          <w:lang w:val="fr-FR"/>
        </w:rPr>
      </w:pPr>
      <w:r>
        <w:rPr>
          <w:lang w:val="fr-FR"/>
        </w:rPr>
        <w:t>C'est l'objet de ce titre VII. Il répond en trois temps. D'abord, il fixe le seuil à partir duquel un projet mérite d'être considéré (Article 30). Ensuite, il désigne le mécanisme qui départage les projets admissibles entre eux (Article 31). Enfin, il précise comment ce choix collectif s'exprime concrètement — et pourquoi il est à la fois sincère et égalitaire (Article 32). L'idée directrice est que, dans ce dispositif, choisir collectivement un projet et échanger de la valeur ne sont pas deux opérations distinctes : c'est le même geste.</w:t>
      </w:r>
    </w:p>
    <w:p w14:paraId="722EC428" w14:textId="77777777" w:rsidR="00FB6EF5" w:rsidRPr="00C46716" w:rsidRDefault="00000000">
      <w:pPr>
        <w:pStyle w:val="Titre2"/>
        <w:rPr>
          <w:lang w:val="fr-FR"/>
        </w:rPr>
      </w:pPr>
      <w:bookmarkStart w:id="17" w:name="Xfa6da77c675b461e361fe6ca283d32bf31a96af"/>
      <w:r>
        <w:rPr>
          <w:lang w:val="fr-FR"/>
        </w:rPr>
        <w:t>Article 30 — Critère de bénéfice, extra-comptable</w:t>
      </w:r>
    </w:p>
    <w:p w14:paraId="07282AA5" w14:textId="77777777" w:rsidR="00FB6EF5" w:rsidRPr="00C46716" w:rsidRDefault="00000000">
      <w:pPr>
        <w:pStyle w:val="FirstParagraph"/>
        <w:rPr>
          <w:lang w:val="fr-FR"/>
        </w:rPr>
      </w:pPr>
      <w:r>
        <w:rPr>
          <w:lang w:val="fr-FR"/>
        </w:rPr>
        <w:t xml:space="preserve">Un projet ne peut prétendre au soutien collectif que s'il fait la preuve de son utilité et de son équité. Cette preuve prend la forme d'un rapport d'impact certifié, établi séparément du registre des échanges, qui démontre que les bénéfices attendus au titre des ODD — destruction future évitée, capacité nouvelle créée — sont au moins égaux aux coûts engagés. Ce critère commande l'éligibilité, mais il ne se traduit par aucune écriture comptable : il reste extérieur au registre. Autrement dit, un bénéfice ODD attendu n'est jamais inscrit au crédit de qui que ce soit, car il ne s'agit pas d'une valeur déjà réalisée mais d'un effet espéré ; l'inscrire reviendrait à comptabiliser une promesse, ce qu'interdisent les principes de prudence et de réalisation. Le bénéfice ODD sert donc à </w:t>
      </w:r>
      <w:r>
        <w:rPr>
          <w:i/>
          <w:iCs/>
          <w:lang w:val="fr-FR"/>
        </w:rPr>
        <w:t>décider</w:t>
      </w:r>
      <w:r>
        <w:rPr>
          <w:lang w:val="fr-FR"/>
        </w:rPr>
        <w:t xml:space="preserve">, non à </w:t>
      </w:r>
      <w:r>
        <w:rPr>
          <w:i/>
          <w:iCs/>
          <w:lang w:val="fr-FR"/>
        </w:rPr>
        <w:t>compter</w:t>
      </w:r>
      <w:r>
        <w:rPr>
          <w:lang w:val="fr-FR"/>
        </w:rPr>
        <w:t>. L'évaluation s'appuie sur des méthodologies reconnues — ICAT, IIED, comptabilité des écosystèmes SEEA-EA — sans recourir à un taux d'actualisation financier, et en appliquant, s'il y a lieu, un coefficient de prudence et un facteur de criticité.</w:t>
      </w:r>
    </w:p>
    <w:p w14:paraId="2AF8B603" w14:textId="77777777" w:rsidR="00FB6EF5" w:rsidRPr="00C46716" w:rsidRDefault="00000000">
      <w:pPr>
        <w:pStyle w:val="Titre2"/>
        <w:rPr>
          <w:lang w:val="fr-FR"/>
        </w:rPr>
      </w:pPr>
      <w:bookmarkStart w:id="18" w:name="Xf8f93a8ee92875cebb28f7182e3a3b3621b568a"/>
      <w:bookmarkEnd w:id="17"/>
      <w:r>
        <w:rPr>
          <w:lang w:val="fr-FR"/>
        </w:rPr>
        <w:t>Article 31 — Priorisation par vote de consensus</w:t>
      </w:r>
    </w:p>
    <w:p w14:paraId="226B622A" w14:textId="77777777" w:rsidR="00FB6EF5" w:rsidRPr="00C46716" w:rsidRDefault="00000000">
      <w:pPr>
        <w:pStyle w:val="FirstParagraph"/>
        <w:rPr>
          <w:lang w:val="fr-FR"/>
        </w:rPr>
      </w:pPr>
      <w:r>
        <w:rPr>
          <w:lang w:val="fr-FR"/>
        </w:rPr>
        <w:t xml:space="preserve">Une fois écartés les projets non éligibles (Article 30) et ceux qui ne satisfont pas aux exigences de sécurité (Titre IV), il reste à ordonner ceux qui subsistent. Cet ordre n'est pas décidé par une autorité : il émerge d'un vote de consensus, selon la procédure dite de </w:t>
      </w:r>
      <w:r>
        <w:rPr>
          <w:i/>
          <w:iCs/>
          <w:lang w:val="fr-FR"/>
        </w:rPr>
        <w:t>Welfare Optimisation</w:t>
      </w:r>
      <w:r>
        <w:rPr>
          <w:lang w:val="fr-FR"/>
        </w:rPr>
        <w:t xml:space="preserve">. Ce vote combine deux dimensions. Le </w:t>
      </w:r>
      <w:r>
        <w:rPr>
          <w:b/>
          <w:bCs/>
          <w:lang w:val="fr-FR"/>
        </w:rPr>
        <w:t>soutien</w:t>
      </w:r>
      <w:r>
        <w:rPr>
          <w:lang w:val="fr-FR"/>
        </w:rPr>
        <w:t xml:space="preserve"> exprime l'intensité de la préférence : à quel point les Membres jugent un projet intéressant : quelle est la valeur qu’il va apporter dans monde et quels sont les bénéfices qu’il va générer. L'</w:t>
      </w:r>
      <w:r>
        <w:rPr>
          <w:b/>
          <w:bCs/>
          <w:lang w:val="fr-FR"/>
        </w:rPr>
        <w:t>approbation</w:t>
      </w:r>
      <w:r>
        <w:rPr>
          <w:lang w:val="fr-FR"/>
        </w:rPr>
        <w:t xml:space="preserve"> exprime l'acceptabilité : le projet est-il faisable au regard des capacités réelles et de la solvabilité du dispositif ? La faisabilité relève de cette seconde dimension, et elle est éliminatoire — un projet infaisable ne peut jamais être priorisé, si désirable soit-il.</w:t>
      </w:r>
    </w:p>
    <w:p w14:paraId="0CA1AD44" w14:textId="77777777" w:rsidR="00FB6EF5" w:rsidRPr="00C46716" w:rsidRDefault="00000000">
      <w:pPr>
        <w:pStyle w:val="Corpsdetexte"/>
        <w:rPr>
          <w:lang w:val="fr-FR"/>
        </w:rPr>
      </w:pPr>
      <w:r>
        <w:rPr>
          <w:lang w:val="fr-FR"/>
        </w:rPr>
        <w:t>Ce double critère n'est pas un procédé de vote ajouté de l'extérieur : il reproduit exactement la structure de l'échange cyclique lui-même. Un échange, pour être admis, exige l'équilibre des créances et des dettes (c'est l'acceptabilité) et procède d'un choix de valeur entre plusieurs opérations possibles (c'est la préférence). De la même façon, un bon vote combine l'approbation — qui minimise le regret des minorités, versant sécuritaire de la décision — et l'intensité des préférences — qui maximise la satisfaction de la majorité, versant performatif. Échange individuel et choix collectif obéissent ainsi à une seule et même logique : dans ce dispositif, ils sont une même chose, et reposent sur une identité.</w:t>
      </w:r>
    </w:p>
    <w:p w14:paraId="3180D289" w14:textId="77777777" w:rsidR="00FB6EF5" w:rsidRPr="00C46716" w:rsidRDefault="00000000">
      <w:pPr>
        <w:pStyle w:val="Corpsdetexte"/>
        <w:rPr>
          <w:lang w:val="fr-FR"/>
        </w:rPr>
      </w:pPr>
      <w:r>
        <w:rPr>
          <w:lang w:val="fr-FR"/>
        </w:rPr>
        <w:t>A titre de comparaison, le marché concurrentiel est un mécanisme de coordination des échanges, non un mécanisme de décision collective. Il détermine un prix d'équilibre entre offreurs et demandeurs, mais n'intègre aucun opérateur explicite de composition entre performance collective et équité. Le présent protocole repose au contraire sur un mécanisme de décision collective explicitement intégré au mécanisme d'échange. Les échanges et la sélection des projets obéissent à une même structure d'acceptabilité et de préférence, formalisée par Welfare Optimisation et dotée d’une valeur scientifique certaine.</w:t>
      </w:r>
    </w:p>
    <w:p w14:paraId="36199A87" w14:textId="77777777" w:rsidR="00FB6EF5" w:rsidRPr="00C46716" w:rsidRDefault="00000000">
      <w:pPr>
        <w:pStyle w:val="Titre2"/>
        <w:rPr>
          <w:lang w:val="fr-FR"/>
        </w:rPr>
      </w:pPr>
      <w:bookmarkStart w:id="19" w:name="Xa85cb95b2c5ff7b038ef42666382110f72572ae"/>
      <w:bookmarkEnd w:id="18"/>
      <w:r>
        <w:rPr>
          <w:lang w:val="fr-FR"/>
        </w:rPr>
        <w:t>Article 32 — Vote qui s’exprime par un engagement de créance</w:t>
      </w:r>
    </w:p>
    <w:p w14:paraId="0F49EED5" w14:textId="77777777" w:rsidR="00FB6EF5" w:rsidRPr="00C46716" w:rsidRDefault="00000000">
      <w:pPr>
        <w:pStyle w:val="FirstParagraph"/>
        <w:rPr>
          <w:lang w:val="fr-FR"/>
        </w:rPr>
      </w:pPr>
      <w:r>
        <w:rPr>
          <w:lang w:val="fr-FR"/>
        </w:rPr>
        <w:t>Puisque voter et échanger ne font qu'un, le vote n'est pas seulement une opinion déclarée mais il peut également devenir un acte engageant. Un Membre soutient un projet en engageant une part de sa position dans le réseau, inscrite au graphe des échanges. Ce vote est donc une transaction — et, parce qu'il coûte quelque chose, il est sincère par construction : nul ne peut soutenir sans limite ce qui lui importe peu.</w:t>
      </w:r>
    </w:p>
    <w:p w14:paraId="225C274A" w14:textId="77777777" w:rsidR="00FB6EF5" w:rsidRPr="00C46716" w:rsidRDefault="00000000">
      <w:pPr>
        <w:pStyle w:val="Corpsdetexte"/>
        <w:rPr>
          <w:lang w:val="fr-FR"/>
        </w:rPr>
      </w:pPr>
      <w:r>
        <w:rPr>
          <w:lang w:val="fr-FR"/>
        </w:rPr>
        <w:t xml:space="preserve">Ce mécanisme est aussi égalitaire, et cela tient à la symétrie autour de zéro. La capacité de vote d'un Membre dépend de sa marge d'engagement : elle est maximale lorsque son solde est nul et s'annule à mesure qu'il sature son exposition. Il en résulte qu'accumuler une position créditrice ne procure aucun pouvoir de décision supplémentaire — la richesse excédentaire ne se convertit pas en influence. La richesse limitée oblige à faire de vrais choix dans l’ordonnancement des préférences. </w:t>
      </w:r>
    </w:p>
    <w:p w14:paraId="445C076B" w14:textId="77777777" w:rsidR="00FB6EF5" w:rsidRPr="00C46716" w:rsidRDefault="00000000">
      <w:pPr>
        <w:pStyle w:val="Corpsdetexte"/>
        <w:rPr>
          <w:lang w:val="fr-FR"/>
        </w:rPr>
      </w:pPr>
      <w:r>
        <w:rPr>
          <w:lang w:val="fr-FR"/>
        </w:rPr>
        <w:t>Enfin, les engagements de vote se compensent en cycles, exactement comme les échanges. Le soutien qu'un Membre accorde aux projets d'autrui et celui qu'autrui accorde au sien se referment réciproquement. Lorsqu'un soutien ne trouve pas de contrepartie bilatérale immédiate, il est versé dans un pool de compensation qui recherche des boucles de soutien plus longues, sous le même plafond d'exposition (Article 18). Cette mutualisation sert à relier des soutiens dispersés qui, isolément, ne boucleraient pas ; elle ne crée pas de soutien là où il n'y en a pas, et ne finance donc jamais un projet que personne n'a choisi de soutenir. Elle permet juste au système de l’ensemble des projets financés de trouver son équilibre.</w:t>
      </w:r>
    </w:p>
    <w:p w14:paraId="19955CEE" w14:textId="77777777" w:rsidR="00FB6EF5" w:rsidRPr="00C46716" w:rsidRDefault="00C46716" w:rsidP="00C46716">
      <w:pPr>
        <w:pStyle w:val="Titre1"/>
        <w:rPr>
          <w:lang w:val="fr-FR"/>
        </w:rPr>
      </w:pPr>
      <w:r>
        <w:rPr>
          <w:lang w:val="fr-FR"/>
        </w:rPr>
        <w:t xml:space="preserve">Titre VIII — Comptabilité </w:t>
      </w:r>
    </w:p>
    <w:p w14:paraId="121ACDC3" w14:textId="77777777" w:rsidR="00FB6EF5" w:rsidRPr="00C46716" w:rsidRDefault="00000000">
      <w:pPr>
        <w:pStyle w:val="Corpsdetexte"/>
        <w:rPr>
          <w:lang w:val="fr-FR"/>
        </w:rPr>
      </w:pPr>
      <w:r>
        <w:rPr>
          <w:lang w:val="fr-FR"/>
        </w:rPr>
        <w:t xml:space="preserve">Le présent Titre régit le traitement comptable du dispositif. Il repose sur une distinction cardinale, dont l'étanchéité conditionne la régularité, la sincérité et l'image fidèle des comptes (art. L. 123-14 du Code de commerce) : le </w:t>
      </w:r>
      <w:r>
        <w:rPr>
          <w:b/>
          <w:bCs/>
          <w:lang w:val="fr-FR"/>
        </w:rPr>
        <w:t>bénéfice transactionnel</w:t>
      </w:r>
      <w:r>
        <w:rPr>
          <w:lang w:val="fr-FR"/>
        </w:rPr>
        <w:t xml:space="preserve">, qui procède d'opérations économiques réelles entre Membres, relève de la comptabilité en partie double de droit commun ; le </w:t>
      </w:r>
      <w:r>
        <w:rPr>
          <w:b/>
          <w:bCs/>
          <w:lang w:val="fr-FR"/>
        </w:rPr>
        <w:t>bénéfice ODD</w:t>
      </w:r>
      <w:r>
        <w:rPr>
          <w:lang w:val="fr-FR"/>
        </w:rPr>
        <w:t>, qui procède d'une évaluation d'impact contrefactuelle, relève d'un suivi extra-financier hors bilan. Ces deux grandeurs ne se confondent jamais et ne migrent jamais de l'une à l'autre par le seul effet d'une écriture.</w:t>
      </w:r>
    </w:p>
    <w:p w14:paraId="29546744" w14:textId="77777777" w:rsidR="00FB6EF5" w:rsidRPr="00C46716" w:rsidRDefault="00000000">
      <w:pPr>
        <w:pStyle w:val="Corpsdetexte"/>
        <w:rPr>
          <w:color w:val="0070C0"/>
          <w:sz w:val="28"/>
          <w:szCs w:val="28"/>
          <w:lang w:val="fr-FR"/>
        </w:rPr>
      </w:pPr>
      <w:r>
        <w:rPr>
          <w:b/>
          <w:bCs/>
          <w:color w:val="0070C0"/>
          <w:sz w:val="28"/>
          <w:szCs w:val="28"/>
          <w:lang w:val="fr-FR"/>
        </w:rPr>
        <w:t>Article 33 — Les trois sphères comptables</w:t>
      </w:r>
    </w:p>
    <w:p w14:paraId="260A62BD" w14:textId="77777777" w:rsidR="00FB6EF5" w:rsidRPr="00C46716" w:rsidRDefault="00000000">
      <w:pPr>
        <w:pStyle w:val="Corpsdetexte"/>
        <w:rPr>
          <w:lang w:val="fr-FR"/>
        </w:rPr>
      </w:pPr>
      <w:r>
        <w:rPr>
          <w:lang w:val="fr-FR"/>
        </w:rPr>
        <w:t>Le dispositif distingue rigoureusement trois sphères comptables, étanches entre elles :</w:t>
      </w:r>
    </w:p>
    <w:p w14:paraId="777AA7A0" w14:textId="77777777" w:rsidR="00FB6EF5" w:rsidRPr="00C46716" w:rsidRDefault="00000000">
      <w:pPr>
        <w:pStyle w:val="Corpsdetexte"/>
        <w:rPr>
          <w:lang w:val="fr-FR"/>
        </w:rPr>
      </w:pPr>
      <w:r>
        <w:rPr>
          <w:b/>
          <w:bCs/>
          <w:lang w:val="fr-FR"/>
        </w:rPr>
        <w:t>a) La comptabilité ordinaire</w:t>
      </w:r>
      <w:r>
        <w:rPr>
          <w:lang w:val="fr-FR"/>
        </w:rPr>
        <w:t xml:space="preserve"> enregistre, chez chaque Membre, les flux monétaires effectifs en euros (trésorerie, créances, dettes) selon le Plan comptable général.</w:t>
      </w:r>
    </w:p>
    <w:p w14:paraId="377DA374" w14:textId="77777777" w:rsidR="00FB6EF5" w:rsidRPr="00C46716" w:rsidRDefault="00000000">
      <w:pPr>
        <w:pStyle w:val="Corpsdetexte"/>
        <w:rPr>
          <w:lang w:val="fr-FR"/>
        </w:rPr>
      </w:pPr>
      <w:r>
        <w:rPr>
          <w:b/>
          <w:bCs/>
          <w:lang w:val="fr-FR"/>
        </w:rPr>
        <w:t>b) Le registre du graphe d'échange</w:t>
      </w:r>
      <w:r>
        <w:rPr>
          <w:lang w:val="fr-FR"/>
        </w:rPr>
        <w:t xml:space="preserve"> (Art. 12 à 14) retrace les engagements réciproques entre Membres, exprimés en unités internes, de sorte que la somme algébrique des soldes demeure constamment nulle (∑ s</w:t>
      </w:r>
      <w:r>
        <w:t>ᵢ</w:t>
      </w:r>
      <w:r>
        <w:rPr>
          <w:lang w:val="fr-FR"/>
        </w:rPr>
        <w:t xml:space="preserve"> = 0). Aucune somme en euros n'y transite.</w:t>
      </w:r>
    </w:p>
    <w:p w14:paraId="69F47C91" w14:textId="77777777" w:rsidR="00FB6EF5" w:rsidRPr="00C46716" w:rsidRDefault="00000000">
      <w:pPr>
        <w:pStyle w:val="Corpsdetexte"/>
        <w:rPr>
          <w:lang w:val="fr-FR"/>
        </w:rPr>
      </w:pPr>
      <w:r>
        <w:rPr>
          <w:b/>
          <w:bCs/>
          <w:lang w:val="fr-FR"/>
        </w:rPr>
        <w:t>c) L'état hors bilan des grandeurs civilisationnelles</w:t>
      </w:r>
      <w:r>
        <w:rPr>
          <w:lang w:val="fr-FR"/>
        </w:rPr>
        <w:t xml:space="preserve"> suit, à titre extra-financier, les bénéfices ODD constatés. Ces grandeurs sont des indicateurs certifiés, jamais des produits ou des actifs comptables.</w:t>
      </w:r>
    </w:p>
    <w:p w14:paraId="635BC84D" w14:textId="77777777" w:rsidR="00FB6EF5" w:rsidRPr="00C46716" w:rsidRDefault="00000000">
      <w:pPr>
        <w:pStyle w:val="Corpsdetexte"/>
        <w:rPr>
          <w:lang w:val="fr-FR"/>
        </w:rPr>
      </w:pPr>
      <w:r>
        <w:rPr>
          <w:lang w:val="fr-FR"/>
        </w:rPr>
        <w:t>Aucune grandeur civilisationnelle ne produit, par sa seule inscription, un actif, un produit, ou un moyen de règlement.</w:t>
      </w:r>
    </w:p>
    <w:p w14:paraId="532014F4" w14:textId="77777777" w:rsidR="00FB6EF5" w:rsidRPr="00C46716" w:rsidRDefault="00000000">
      <w:pPr>
        <w:pStyle w:val="Corpsdetexte"/>
        <w:rPr>
          <w:color w:val="0070C0"/>
          <w:sz w:val="28"/>
          <w:szCs w:val="28"/>
          <w:lang w:val="fr-FR"/>
        </w:rPr>
      </w:pPr>
      <w:r>
        <w:rPr>
          <w:b/>
          <w:bCs/>
          <w:color w:val="0070C0"/>
          <w:sz w:val="28"/>
          <w:szCs w:val="28"/>
          <w:lang w:val="fr-FR"/>
        </w:rPr>
        <w:t>Article 34 — Le bénéfice transactionnel : comptabilité en partie double de droit commun</w:t>
      </w:r>
    </w:p>
    <w:p w14:paraId="10D0AC76" w14:textId="77777777" w:rsidR="00FB6EF5" w:rsidRPr="00C46716" w:rsidRDefault="00000000">
      <w:pPr>
        <w:pStyle w:val="Corpsdetexte"/>
        <w:rPr>
          <w:lang w:val="fr-FR"/>
        </w:rPr>
      </w:pPr>
      <w:r>
        <w:rPr>
          <w:lang w:val="fr-FR"/>
        </w:rPr>
        <w:t xml:space="preserve">Toute transaction réalisée dans le graphe est une opération économique réelle : un Membre fournit un bien ou un service, un autre le reçoit. Elle comporte donc, du côté du fournisseur, un </w:t>
      </w:r>
      <w:r>
        <w:rPr>
          <w:b/>
          <w:bCs/>
          <w:lang w:val="fr-FR"/>
        </w:rPr>
        <w:t>produit réel</w:t>
      </w:r>
      <w:r>
        <w:rPr>
          <w:lang w:val="fr-FR"/>
        </w:rPr>
        <w:t xml:space="preserve">, et du côté du bénéficiaire, une </w:t>
      </w:r>
      <w:r>
        <w:rPr>
          <w:b/>
          <w:bCs/>
          <w:lang w:val="fr-FR"/>
        </w:rPr>
        <w:t>charge réelle</w:t>
      </w:r>
      <w:r>
        <w:rPr>
          <w:lang w:val="fr-FR"/>
        </w:rPr>
        <w:t>, assortis de la créance et de la dette correspondantes.</w:t>
      </w:r>
    </w:p>
    <w:p w14:paraId="3074D9D9" w14:textId="77777777" w:rsidR="00FB6EF5" w:rsidRPr="00C46716" w:rsidRDefault="00000000">
      <w:pPr>
        <w:pStyle w:val="Corpsdetexte"/>
        <w:rPr>
          <w:lang w:val="fr-FR"/>
        </w:rPr>
      </w:pPr>
      <w:r>
        <w:rPr>
          <w:lang w:val="fr-FR"/>
        </w:rPr>
        <w:t xml:space="preserve">Chaque Membre enregistre ces deux faces dans sa comptabilité de droit commun, en partie double : le produit au compte de résultat du fournisseur, la charge (ou l'immobilisation) chez le bénéficiaire, et les positions réciproques en comptes de tiers. Le fait que le règlement s'opère par compensation au sein du graphe, et non par un transfert d'euros, ne modifie ni la nature ni la substance économique de l'opération : </w:t>
      </w:r>
      <w:r>
        <w:rPr>
          <w:b/>
          <w:bCs/>
          <w:lang w:val="fr-FR"/>
        </w:rPr>
        <w:t>la compensation change le mode de règlement, non la réalité de la transaction.</w:t>
      </w:r>
    </w:p>
    <w:p w14:paraId="0DD62F67" w14:textId="77777777" w:rsidR="00FB6EF5" w:rsidRPr="00C46716" w:rsidRDefault="00000000">
      <w:pPr>
        <w:pStyle w:val="Corpsdetexte"/>
        <w:rPr>
          <w:lang w:val="fr-FR"/>
        </w:rPr>
      </w:pPr>
      <w:r>
        <w:rPr>
          <w:lang w:val="fr-FR"/>
        </w:rPr>
        <w:t>Il en résulte que le bénéfice transactionnel entre dans les produits d'exploitation du Membre fournisseur, avec les conséquences de droit commun qui s'y attachent. Le traitement fiscal et social de ces produits dépend du statut de chaque Membre (professionnel ou non), du véhicule porteur, du domaine d'activité et du territoire ; il est apprécié séparément, sous le conseil d'un professionnel, et ne relève pas du présent contrat.</w:t>
      </w:r>
    </w:p>
    <w:p w14:paraId="6CE54686" w14:textId="77777777" w:rsidR="00FB6EF5" w:rsidRPr="00C46716" w:rsidRDefault="00000000">
      <w:pPr>
        <w:pStyle w:val="Corpsdetexte"/>
        <w:rPr>
          <w:color w:val="0070C0"/>
          <w:sz w:val="28"/>
          <w:szCs w:val="28"/>
          <w:lang w:val="fr-FR"/>
        </w:rPr>
      </w:pPr>
      <w:r>
        <w:rPr>
          <w:b/>
          <w:bCs/>
          <w:color w:val="0070C0"/>
          <w:sz w:val="28"/>
          <w:szCs w:val="28"/>
          <w:lang w:val="fr-FR"/>
        </w:rPr>
        <w:t>Article 35 — Le bénéfice ODD : suivi hors bilan, jamais au crédit</w:t>
      </w:r>
    </w:p>
    <w:p w14:paraId="32CF8727" w14:textId="77777777" w:rsidR="00FB6EF5" w:rsidRPr="00C46716" w:rsidRDefault="00000000">
      <w:pPr>
        <w:pStyle w:val="Corpsdetexte"/>
        <w:rPr>
          <w:lang w:val="fr-FR"/>
        </w:rPr>
      </w:pPr>
      <w:r>
        <w:rPr>
          <w:lang w:val="fr-FR"/>
        </w:rPr>
        <w:t xml:space="preserve">Le bénéfice ODD — destruction future évitée, capacité nouvelle créée — est de nature contrefactuelle et non réalisée. Conformément aux principes de prudence et de réalisation, il </w:t>
      </w:r>
      <w:r>
        <w:rPr>
          <w:b/>
          <w:bCs/>
          <w:lang w:val="fr-FR"/>
        </w:rPr>
        <w:t>n'est en aucun cas porté au crédit d'une écriture en partie double</w:t>
      </w:r>
      <w:r>
        <w:rPr>
          <w:lang w:val="fr-FR"/>
        </w:rPr>
        <w:t>, ni inscrit à l'actif, ni comptabilisé en produit.</w:t>
      </w:r>
    </w:p>
    <w:p w14:paraId="5E80C266" w14:textId="77777777" w:rsidR="00FB6EF5" w:rsidRPr="00C46716" w:rsidRDefault="00000000">
      <w:pPr>
        <w:pStyle w:val="Corpsdetexte"/>
        <w:rPr>
          <w:lang w:val="fr-FR"/>
        </w:rPr>
      </w:pPr>
      <w:r>
        <w:rPr>
          <w:lang w:val="fr-FR"/>
        </w:rPr>
        <w:t>Il est suivi exclusivement dans l'état hors bilan des grandeurs civilisationnelles, en cohérence avec le critère extra-comptable de l'Article 30. Cet état recense, opération par opération, le coût réel engagé, le bénéfice ODD évalué selon les méthodologies reconnues (ICAT, IIED, comptabilité des écosystèmes SEEA-EA), et la valeur civilisationnelle nette qui en résulte, sans recours à un taux d'actualisation financier.</w:t>
      </w:r>
    </w:p>
    <w:p w14:paraId="0CAEBE17" w14:textId="77777777" w:rsidR="00FB6EF5" w:rsidRPr="00C46716" w:rsidRDefault="00000000">
      <w:pPr>
        <w:pStyle w:val="Corpsdetexte"/>
        <w:rPr>
          <w:lang w:val="fr-FR"/>
        </w:rPr>
      </w:pPr>
      <w:r>
        <w:rPr>
          <w:lang w:val="fr-FR"/>
        </w:rPr>
        <w:t xml:space="preserve">Cette valeur est un </w:t>
      </w:r>
      <w:r>
        <w:rPr>
          <w:i/>
          <w:iCs/>
          <w:lang w:val="fr-FR"/>
        </w:rPr>
        <w:t>indicateur de performance extra-financière</w:t>
      </w:r>
      <w:r>
        <w:rPr>
          <w:lang w:val="fr-FR"/>
        </w:rPr>
        <w:t>, mobilisable dans les rapports de durabilité (directive (UE) 2022/2464 dite CSRD ; art. L. 232-6-3 et R. 225-105 du Code de commerce). Elle n'est jamais un solde de compte de résultat.</w:t>
      </w:r>
    </w:p>
    <w:p w14:paraId="26BF3593" w14:textId="77777777" w:rsidR="00FB6EF5" w:rsidRPr="00C46716" w:rsidRDefault="00000000">
      <w:pPr>
        <w:pStyle w:val="Corpsdetexte"/>
        <w:rPr>
          <w:color w:val="0070C0"/>
          <w:sz w:val="28"/>
          <w:szCs w:val="28"/>
          <w:lang w:val="fr-FR"/>
        </w:rPr>
      </w:pPr>
      <w:r>
        <w:rPr>
          <w:b/>
          <w:bCs/>
          <w:color w:val="0070C0"/>
          <w:sz w:val="28"/>
          <w:szCs w:val="28"/>
          <w:lang w:val="fr-FR"/>
        </w:rPr>
        <w:t>Article 36 — Les postes comptables comme source et comme destination</w:t>
      </w:r>
    </w:p>
    <w:p w14:paraId="10770B3E" w14:textId="77777777" w:rsidR="00FB6EF5" w:rsidRPr="00C46716" w:rsidRDefault="00000000">
      <w:pPr>
        <w:pStyle w:val="Corpsdetexte"/>
        <w:rPr>
          <w:lang w:val="fr-FR"/>
        </w:rPr>
      </w:pPr>
      <w:r>
        <w:rPr>
          <w:lang w:val="fr-FR"/>
        </w:rPr>
        <w:t>La séparation opérée aux Articles 33 à 35 rend au dispositif le plein usage de la comptabilité générale, dans les deux sens.</w:t>
      </w:r>
    </w:p>
    <w:p w14:paraId="41F6FDE6" w14:textId="77777777" w:rsidR="00FB6EF5" w:rsidRPr="00C46716" w:rsidRDefault="00000000">
      <w:pPr>
        <w:pStyle w:val="Corpsdetexte"/>
        <w:rPr>
          <w:lang w:val="fr-FR"/>
        </w:rPr>
      </w:pPr>
      <w:r>
        <w:rPr>
          <w:lang w:val="fr-FR"/>
        </w:rPr>
        <w:t xml:space="preserve">En </w:t>
      </w:r>
      <w:r>
        <w:rPr>
          <w:b/>
          <w:bCs/>
          <w:lang w:val="fr-FR"/>
        </w:rPr>
        <w:t>source</w:t>
      </w:r>
      <w:r>
        <w:rPr>
          <w:lang w:val="fr-FR"/>
        </w:rPr>
        <w:t>, l'information contenue dans les postes comptables d'un Membre — créances ouvertes, stocks, immobilisations sous-employées, capacités de production disponibles — révèle les transactions réelles qu'il peut nouer dans le graphe. Un poste réel adosse ainsi l'engagement que le Membre inscrit.</w:t>
      </w:r>
    </w:p>
    <w:p w14:paraId="3B77391F" w14:textId="77777777" w:rsidR="00FB6EF5" w:rsidRPr="00C46716" w:rsidRDefault="00000000">
      <w:pPr>
        <w:pStyle w:val="Corpsdetexte"/>
        <w:rPr>
          <w:lang w:val="fr-FR"/>
        </w:rPr>
      </w:pPr>
      <w:r>
        <w:rPr>
          <w:lang w:val="fr-FR"/>
        </w:rPr>
        <w:t xml:space="preserve">En </w:t>
      </w:r>
      <w:r>
        <w:rPr>
          <w:b/>
          <w:bCs/>
          <w:lang w:val="fr-FR"/>
        </w:rPr>
        <w:t>destination</w:t>
      </w:r>
      <w:r>
        <w:rPr>
          <w:lang w:val="fr-FR"/>
        </w:rPr>
        <w:t>, la transaction réelle, une fois nouée et compensée dans le graphe, s’inscrit dans les livres de chaque Membre en produits, charges, créances et dettes, où elle hérite de l'outillage comptable de droit commun (amortissements, provisions, immobilisations, ventilation analytique).</w:t>
      </w:r>
    </w:p>
    <w:p w14:paraId="67D7288F" w14:textId="77777777" w:rsidR="00FB6EF5" w:rsidRPr="00C46716" w:rsidRDefault="00000000">
      <w:pPr>
        <w:pStyle w:val="Corpsdetexte"/>
        <w:rPr>
          <w:lang w:val="fr-FR"/>
        </w:rPr>
      </w:pPr>
      <w:r>
        <w:rPr>
          <w:lang w:val="fr-FR"/>
        </w:rPr>
        <w:t xml:space="preserve">Cette double fonction ne vaut que pour des </w:t>
      </w:r>
      <w:r>
        <w:rPr>
          <w:b/>
          <w:bCs/>
          <w:lang w:val="fr-FR"/>
        </w:rPr>
        <w:t>opérations réelles</w:t>
      </w:r>
      <w:r>
        <w:rPr>
          <w:lang w:val="fr-FR"/>
        </w:rPr>
        <w:t>. Un poste comptable réel peut être source ou destination ; une grandeur civilisationnelle contrefactuelle ne peut jamais l'être, et demeure hors bilan. La frontière source/destination se tient toujours du côté du réel.</w:t>
      </w:r>
    </w:p>
    <w:p w14:paraId="443BEF09" w14:textId="77777777" w:rsidR="00FB6EF5" w:rsidRPr="00C46716" w:rsidRDefault="00000000">
      <w:pPr>
        <w:pStyle w:val="Corpsdetexte"/>
        <w:rPr>
          <w:color w:val="0070C0"/>
          <w:sz w:val="28"/>
          <w:szCs w:val="28"/>
          <w:lang w:val="fr-FR"/>
        </w:rPr>
      </w:pPr>
      <w:r>
        <w:rPr>
          <w:b/>
          <w:bCs/>
          <w:color w:val="0070C0"/>
          <w:sz w:val="28"/>
          <w:szCs w:val="28"/>
          <w:lang w:val="fr-FR"/>
        </w:rPr>
        <w:t>Article 37 — Connectivité des postes et détection des cycles de compensation</w:t>
      </w:r>
    </w:p>
    <w:p w14:paraId="4A4DF420" w14:textId="77777777" w:rsidR="00FB6EF5" w:rsidRPr="00C46716" w:rsidRDefault="00000000">
      <w:pPr>
        <w:pStyle w:val="Corpsdetexte"/>
        <w:rPr>
          <w:lang w:val="fr-FR"/>
        </w:rPr>
      </w:pPr>
      <w:r>
        <w:rPr>
          <w:lang w:val="fr-FR"/>
        </w:rPr>
        <w:t>L'étude de la connectivité des postes comptables — réflexivité, symétrie, transitivité des relations de créance et de dette — sert de moteur à la découverte des cycles de compensation latents au sein du réseau. Elle est valable pour la comptabilité privée autant que pour la comptabilité publique.</w:t>
      </w:r>
    </w:p>
    <w:p w14:paraId="2B9B50E2" w14:textId="77777777" w:rsidR="00FB6EF5" w:rsidRPr="00C46716" w:rsidRDefault="00000000">
      <w:pPr>
        <w:pStyle w:val="Corpsdetexte"/>
        <w:rPr>
          <w:lang w:val="fr-FR"/>
        </w:rPr>
      </w:pPr>
      <w:r>
        <w:rPr>
          <w:lang w:val="fr-FR"/>
        </w:rPr>
        <w:t xml:space="preserve">La fermeture transitive appliquée au graphe des positions </w:t>
      </w:r>
      <w:r>
        <w:rPr>
          <w:b/>
          <w:bCs/>
          <w:lang w:val="fr-FR"/>
        </w:rPr>
        <w:t>révèle</w:t>
      </w:r>
      <w:r>
        <w:rPr>
          <w:lang w:val="fr-FR"/>
        </w:rPr>
        <w:t xml:space="preserve"> les chemins réciproques par lesquels des dettes peuvent se compenser (si A doit à B et B à C, la recherche identifie le retour possible de C vers A). Cette révélation est un acte d'information, et non de création : elle met en évidence des réciprocités existant en puissance, sans nouer par elle-même aucune obligation.</w:t>
      </w:r>
    </w:p>
    <w:p w14:paraId="007ABF1A" w14:textId="77777777" w:rsidR="00FB6EF5" w:rsidRPr="00C46716" w:rsidRDefault="00000000">
      <w:pPr>
        <w:pStyle w:val="Corpsdetexte"/>
        <w:rPr>
          <w:lang w:val="fr-FR"/>
        </w:rPr>
      </w:pPr>
      <w:r>
        <w:rPr>
          <w:lang w:val="fr-FR"/>
        </w:rPr>
        <w:t>Un lien ainsi révélé ne devient effectif que lorsqu'il correspond à une transaction réelle, acceptée par les Membres concernés et inscrite conformément à l'Article 14. La détection propose ; l'acceptation réelle valide ; l'inscription enregistre. En aucun cas la fermeture transitive ne crée directement une créance entre deux patrimoines qui ne se devaient rien.</w:t>
      </w:r>
    </w:p>
    <w:p w14:paraId="0002097D" w14:textId="77777777" w:rsidR="00FB6EF5" w:rsidRPr="00C46716" w:rsidRDefault="00000000">
      <w:pPr>
        <w:pStyle w:val="Corpsdetexte"/>
        <w:rPr>
          <w:color w:val="0070C0"/>
          <w:sz w:val="28"/>
          <w:szCs w:val="28"/>
          <w:lang w:val="fr-FR"/>
        </w:rPr>
      </w:pPr>
      <w:r>
        <w:rPr>
          <w:b/>
          <w:bCs/>
          <w:color w:val="0070C0"/>
          <w:sz w:val="28"/>
          <w:szCs w:val="28"/>
          <w:lang w:val="fr-FR"/>
        </w:rPr>
        <w:t>Article 38 — Compensation cyclique et résorption des dettes réciproques</w:t>
      </w:r>
    </w:p>
    <w:p w14:paraId="6932A6FF" w14:textId="77777777" w:rsidR="00FB6EF5" w:rsidRPr="00C46716" w:rsidRDefault="00000000">
      <w:pPr>
        <w:pStyle w:val="Corpsdetexte"/>
        <w:rPr>
          <w:lang w:val="fr-FR"/>
        </w:rPr>
      </w:pPr>
      <w:r>
        <w:rPr>
          <w:lang w:val="fr-FR"/>
        </w:rPr>
        <w:t xml:space="preserve">La fermeture d'un cycle annule les obligations réciproques qui le composent (Art. 13). Sur l'ensemble du réseau, la compensation cyclique résorbe les dettes </w:t>
      </w:r>
      <w:r>
        <w:rPr>
          <w:b/>
          <w:bCs/>
          <w:lang w:val="fr-FR"/>
        </w:rPr>
        <w:t>à hauteur exacte des chemins réciproques trouvés</w:t>
      </w:r>
      <w:r>
        <w:rPr>
          <w:lang w:val="fr-FR"/>
        </w:rPr>
        <w:t xml:space="preserve"> : tout engagement appartenant à une boucle fermée s'éteint contre sa contrepartie.</w:t>
      </w:r>
    </w:p>
    <w:p w14:paraId="573D7EE1" w14:textId="77777777" w:rsidR="00FB6EF5" w:rsidRPr="00C46716" w:rsidRDefault="00000000">
      <w:pPr>
        <w:pStyle w:val="Corpsdetexte"/>
        <w:rPr>
          <w:lang w:val="fr-FR"/>
        </w:rPr>
      </w:pPr>
      <w:r>
        <w:rPr>
          <w:lang w:val="fr-FR"/>
        </w:rPr>
        <w:t xml:space="preserve">Cette résorption réduit le montant </w:t>
      </w:r>
      <w:r>
        <w:rPr>
          <w:b/>
          <w:bCs/>
          <w:lang w:val="fr-FR"/>
        </w:rPr>
        <w:t>brut</w:t>
      </w:r>
      <w:r>
        <w:rPr>
          <w:lang w:val="fr-FR"/>
        </w:rPr>
        <w:t xml:space="preserve"> des créances et dettes croisées entre Membres, et donc le besoin de trésorerie nécessaire à leur dénouement, sans mobiliser d'argent frais. Elle laisse en revanche inchangée toute dette </w:t>
      </w:r>
      <w:r>
        <w:rPr>
          <w:b/>
          <w:bCs/>
          <w:lang w:val="fr-FR"/>
        </w:rPr>
        <w:t>nette</w:t>
      </w:r>
      <w:r>
        <w:rPr>
          <w:lang w:val="fr-FR"/>
        </w:rPr>
        <w:t xml:space="preserve"> contractée envers un tiers extérieur au réseau, laquelle, faute de contrepartie miroir dans le graphe, n'appartient à aucun cycle et ne peut être éteinte par compensation.</w:t>
      </w:r>
    </w:p>
    <w:p w14:paraId="6D39636A" w14:textId="77777777" w:rsidR="00FB6EF5" w:rsidRPr="00C46716" w:rsidRDefault="00000000" w:rsidP="00911EBB">
      <w:pPr>
        <w:pStyle w:val="Normalcentr"/>
        <w:ind w:left="0"/>
        <w:rPr>
          <w:lang w:val="fr-FR"/>
        </w:rPr>
      </w:pPr>
      <w:r>
        <w:rPr>
          <w:b/>
          <w:bCs/>
          <w:lang w:val="fr-FR"/>
        </w:rPr>
        <w:t>Précision.</w:t>
      </w:r>
      <w:r>
        <w:rPr>
          <w:lang w:val="fr-FR"/>
        </w:rPr>
        <w:t xml:space="preserve"> Le dispositif réduit le brut des dettes réciproques internes ; il ne diminue pas la dette nette du réseau envers l'extérieur. Toute présentation de ses effets distingue expressément ces deux grandeurs.</w:t>
      </w:r>
    </w:p>
    <w:p w14:paraId="4DA7C601" w14:textId="77777777" w:rsidR="00FB6EF5" w:rsidRPr="00C46716" w:rsidRDefault="00000000">
      <w:pPr>
        <w:pStyle w:val="FirstParagraph"/>
        <w:rPr>
          <w:color w:val="0070C0"/>
          <w:sz w:val="28"/>
          <w:szCs w:val="28"/>
          <w:lang w:val="fr-FR"/>
        </w:rPr>
      </w:pPr>
      <w:r>
        <w:rPr>
          <w:b/>
          <w:bCs/>
          <w:color w:val="0070C0"/>
          <w:sz w:val="28"/>
          <w:szCs w:val="28"/>
          <w:lang w:val="fr-FR"/>
        </w:rPr>
        <w:t>Article 39 — Tenue, intégrité et valeur probante des registres</w:t>
      </w:r>
    </w:p>
    <w:p w14:paraId="3863EECD" w14:textId="77777777" w:rsidR="00FB6EF5" w:rsidRPr="00C46716" w:rsidRDefault="00000000">
      <w:pPr>
        <w:pStyle w:val="Corpsdetexte"/>
        <w:rPr>
          <w:lang w:val="fr-FR"/>
        </w:rPr>
      </w:pPr>
      <w:r>
        <w:rPr>
          <w:lang w:val="fr-FR"/>
        </w:rPr>
        <w:t>Le registre du graphe et l'état hors bilan des grandeurs civilisationnelles respectent, par analogie, les garanties d'intégrité des articles 420-1 à 420-5 du Plan comptable général : intangibilité et irréversibilité des inscriptions validées, toute correction s'opérant par contre-passation horodatée ; permanence du chemin de révision, chaque inscription étant reliée à sa pièce justificative et, pour l'état hors bilan, au rapport d'impact certifié correspondant ; numérotation chronologique et unicité du fichier par exercice.</w:t>
      </w:r>
    </w:p>
    <w:p w14:paraId="6CCD1187" w14:textId="77777777" w:rsidR="00FB6EF5" w:rsidRPr="00C46716" w:rsidRDefault="00000000">
      <w:pPr>
        <w:pStyle w:val="Corpsdetexte"/>
        <w:rPr>
          <w:lang w:val="fr-FR"/>
        </w:rPr>
      </w:pPr>
      <w:r>
        <w:rPr>
          <w:lang w:val="fr-FR"/>
        </w:rPr>
        <w:t>Le registre, tenu sur support durable et horodaté, assorti d'un procédé d'identification fiable, fait foi des inscriptions dans les conditions des articles 1365 et 1366 du Code civil. Le système support interdit toute suppression ou modification d'une inscription validée.</w:t>
      </w:r>
    </w:p>
    <w:p w14:paraId="122646D5" w14:textId="77777777" w:rsidR="00FB6EF5" w:rsidRPr="00C46716" w:rsidRDefault="00000000">
      <w:pPr>
        <w:pStyle w:val="Corpsdetexte"/>
        <w:rPr>
          <w:color w:val="0070C0"/>
          <w:sz w:val="28"/>
          <w:szCs w:val="28"/>
          <w:lang w:val="fr-FR"/>
        </w:rPr>
      </w:pPr>
      <w:r>
        <w:rPr>
          <w:b/>
          <w:bCs/>
          <w:color w:val="0070C0"/>
          <w:sz w:val="28"/>
          <w:szCs w:val="28"/>
          <w:lang w:val="fr-FR"/>
        </w:rPr>
        <w:t>Article 40 — Reddition de comptes</w:t>
      </w:r>
    </w:p>
    <w:p w14:paraId="61780450" w14:textId="77777777" w:rsidR="00FB6EF5" w:rsidRPr="00C46716" w:rsidRDefault="00000000">
      <w:pPr>
        <w:pStyle w:val="Corpsdetexte"/>
        <w:rPr>
          <w:lang w:val="fr-FR"/>
        </w:rPr>
      </w:pPr>
      <w:r>
        <w:rPr>
          <w:lang w:val="fr-FR"/>
        </w:rPr>
        <w:t xml:space="preserve">L'entité porteuse et, le cas échéant, chaque Membre produisent des comptes ordinaires donnant une image fidèle des transactions réelles et de leurs soldes. Il est produit, en outre, un </w:t>
      </w:r>
      <w:r>
        <w:rPr>
          <w:b/>
          <w:bCs/>
          <w:lang w:val="fr-FR"/>
        </w:rPr>
        <w:t>rapport extra-comptable distinct</w:t>
      </w:r>
      <w:r>
        <w:rPr>
          <w:lang w:val="fr-FR"/>
        </w:rPr>
        <w:t>, présentant les grandeurs civilisationnelles suivies hors bilan — par ODD, par territoire, par contributeur et par période — ainsi que la valeur civilisationnelle nette de l'exercice.</w:t>
      </w:r>
    </w:p>
    <w:p w14:paraId="544A4DF9" w14:textId="77777777" w:rsidR="00FB6EF5" w:rsidRPr="00C46716" w:rsidRDefault="00000000">
      <w:pPr>
        <w:pStyle w:val="Corpsdetexte"/>
        <w:rPr>
          <w:lang w:val="fr-FR"/>
        </w:rPr>
      </w:pPr>
      <w:r>
        <w:rPr>
          <w:lang w:val="fr-FR"/>
        </w:rPr>
        <w:t>Le rapport extra-comptable précise expressément qu'il présente des grandeurs extra-financières hors bilan, non des produits ou actifs comptables, et renvoie aux comptes ordinaires pour les flux réels. Il peut alimenter les rapports de durabilité et les rapports publics de progression vers les ODD.</w:t>
      </w:r>
    </w:p>
    <w:p w14:paraId="419E2C4A" w14:textId="77777777" w:rsidR="00FB6EF5" w:rsidRPr="00C46716" w:rsidRDefault="00000000">
      <w:pPr>
        <w:pStyle w:val="Corpsdetexte"/>
        <w:rPr>
          <w:color w:val="0070C0"/>
          <w:sz w:val="28"/>
          <w:szCs w:val="28"/>
          <w:lang w:val="fr-FR"/>
        </w:rPr>
      </w:pPr>
      <w:r>
        <w:rPr>
          <w:b/>
          <w:bCs/>
          <w:color w:val="0070C0"/>
          <w:sz w:val="28"/>
          <w:szCs w:val="28"/>
          <w:lang w:val="fr-FR"/>
        </w:rPr>
        <w:t>Article 41 — Réserve de conformité comptable</w:t>
      </w:r>
    </w:p>
    <w:p w14:paraId="6C15DCC2" w14:textId="77777777" w:rsidR="00FB6EF5" w:rsidRPr="00C46716" w:rsidRDefault="00000000">
      <w:pPr>
        <w:pStyle w:val="Corpsdetexte"/>
        <w:rPr>
          <w:lang w:val="fr-FR"/>
        </w:rPr>
      </w:pPr>
      <w:r>
        <w:rPr>
          <w:lang w:val="fr-FR"/>
        </w:rPr>
        <w:t>Le présent Titre doit être validé par un expert-comptable et, pour la frontière avec les services de paiement (tenue de comptes de tiers, transfert de fonds), par un conseil en droit bancaire, avant toute mise en œuvre. La qualification définitive de chaque traitement dépendant de détails d'exécution, les stipulations du présent Titre s'appliquent sous réserve de cette validation et de l'Article 57 des clauses finales.</w:t>
      </w:r>
    </w:p>
    <w:p w14:paraId="1DC3026D" w14:textId="77777777" w:rsidR="00FB6EF5" w:rsidRPr="00C46716" w:rsidRDefault="00000000">
      <w:pPr>
        <w:pStyle w:val="Titre1"/>
        <w:rPr>
          <w:lang w:val="fr-FR"/>
        </w:rPr>
      </w:pPr>
      <w:bookmarkStart w:id="20" w:name="titre-ix-gouvernance"/>
      <w:bookmarkEnd w:id="16"/>
      <w:bookmarkEnd w:id="19"/>
      <w:r>
        <w:rPr>
          <w:lang w:val="fr-FR"/>
        </w:rPr>
        <w:t>Titre IX — Gouvernance</w:t>
      </w:r>
    </w:p>
    <w:p w14:paraId="5D40E47D" w14:textId="77777777" w:rsidR="00FB6EF5" w:rsidRPr="00C46716" w:rsidRDefault="00000000">
      <w:pPr>
        <w:pStyle w:val="FirstParagraph"/>
        <w:rPr>
          <w:lang w:val="fr-FR"/>
        </w:rPr>
      </w:pPr>
      <w:r>
        <w:rPr>
          <w:lang w:val="fr-FR"/>
        </w:rPr>
        <w:t>Le présent Titre institue l’Organe de Gouvernance, définit sa nature, sa composition et ses missions, et encadre strictement ses pouvoirs. L’Organe administre le dispositif sans jamais en altérer les invariants : il met à disposition les outils de transmission, veille à la bonne tenue algorithmique du graphe, contrôle les opérations, anime le réseau et rend compte, mais il ne dispose ni du Capital d’Ancrage, ni des soldes, ni des unités internes, dont la nature et les limites sont fixées aux Titres précédents.</w:t>
      </w:r>
    </w:p>
    <w:p w14:paraId="1D8A87E6" w14:textId="77777777" w:rsidR="00FB6EF5" w:rsidRPr="00C46716" w:rsidRDefault="00000000">
      <w:pPr>
        <w:pStyle w:val="Titre2"/>
        <w:rPr>
          <w:lang w:val="fr-FR"/>
        </w:rPr>
      </w:pPr>
      <w:bookmarkStart w:id="21" w:name="Xa901437637f5316d08ea773a2a877ed6021a20b"/>
      <w:r>
        <w:rPr>
          <w:lang w:val="fr-FR"/>
        </w:rPr>
        <w:t>Article 42 — Nature, composition et mission de l’Organe de Gouvernance</w:t>
      </w:r>
    </w:p>
    <w:p w14:paraId="668C3907" w14:textId="77777777" w:rsidR="00FB6EF5" w:rsidRPr="00C46716" w:rsidRDefault="00000000">
      <w:pPr>
        <w:pStyle w:val="FirstParagraph"/>
        <w:rPr>
          <w:lang w:val="fr-FR"/>
        </w:rPr>
      </w:pPr>
      <w:r>
        <w:rPr>
          <w:lang w:val="fr-FR"/>
        </w:rPr>
        <w:t xml:space="preserve">L’Organe de Gouvernance est l’organe par lequel la communauté des Membres administre le dispositif et agit en son nom (Préambule). Il est un administrateur au service du commun, et non un propriétaire : il n’exerce aucun </w:t>
      </w:r>
      <w:r>
        <w:rPr>
          <w:i/>
          <w:iCs/>
          <w:lang w:val="fr-FR"/>
        </w:rPr>
        <w:t>abusus</w:t>
      </w:r>
      <w:r>
        <w:rPr>
          <w:lang w:val="fr-FR"/>
        </w:rPr>
        <w:t>, ne détient aucun pouvoir de disposition sur le Capital d’Ancrage (Art. 2 et 3), ne crée ni n’éteint discrétionnairement aucune unité interne, et ne peut modifier aucun solde en dehors des mécanismes de compensation prévus aux Articles 13, 37 et 38.</w:t>
      </w:r>
    </w:p>
    <w:p w14:paraId="2C749D68" w14:textId="77777777" w:rsidR="00FB6EF5" w:rsidRPr="00C46716" w:rsidRDefault="00000000">
      <w:pPr>
        <w:pStyle w:val="Corpsdetexte"/>
        <w:rPr>
          <w:lang w:val="fr-FR"/>
        </w:rPr>
      </w:pPr>
      <w:r>
        <w:rPr>
          <w:lang w:val="fr-FR"/>
        </w:rPr>
        <w:t>Sa composition procède des Membres et respecte la symétrie qui fonde le dispositif : chaque Membre y dispose d’une voix égale, sans que l’ancienneté, le volume échangé ou une quelconque position créditrice ne confèrent de pouvoir supplémentaire (Titre IV ; Art. 32). Ses membres sont élus pour un mandat de durée déterminée, renouvelable et révocable selon une procédure contradictoire, dans les conditions fixées à l’Annexe 6. L’Organe peut se doter de comités spécialisés — technique, contrôle, animation — et recourir à des prestataires, sous sa responsabilité.</w:t>
      </w:r>
    </w:p>
    <w:p w14:paraId="10C76CC9" w14:textId="77777777" w:rsidR="00FB6EF5" w:rsidRPr="00C46716" w:rsidRDefault="00000000">
      <w:pPr>
        <w:pStyle w:val="Corpsdetexte"/>
        <w:rPr>
          <w:lang w:val="fr-FR"/>
        </w:rPr>
      </w:pPr>
      <w:r>
        <w:rPr>
          <w:lang w:val="fr-FR"/>
        </w:rPr>
        <w:t>Sa mission générale est quintuple : (i) mettre à disposition les outils de transmission numérique (Art. 43) ; (ii) assurer la bonne gestion algorithmique du graphe (Art. 44) ; (iii) contrôler la conformité des opérations (Art. 45) ; (iv) animer le réseau (Art. 46) ; (v) rendre compte annuellement de son activité (Art. 47). Il exerce ces missions dans le respect des Principes directeurs de la décision : l’acceptabilité (Principe I) prime la préférence (Principe II), et aucune considération de performance ne peut justifier une opération inacceptable.</w:t>
      </w:r>
    </w:p>
    <w:p w14:paraId="4DA511DE" w14:textId="77777777" w:rsidR="00FB6EF5" w:rsidRPr="00C46716" w:rsidRDefault="00000000">
      <w:pPr>
        <w:pStyle w:val="Corpsdetexte"/>
        <w:rPr>
          <w:lang w:val="fr-FR"/>
        </w:rPr>
      </w:pPr>
      <w:r>
        <w:rPr>
          <w:lang w:val="fr-FR"/>
        </w:rPr>
        <w:t>Ses décisions sont bornées par le contrat : elles ne peuvent contrevenir à l’équilibre du graphe (∑ s</w:t>
      </w:r>
      <w:r>
        <w:t>ᵢ</w:t>
      </w:r>
      <w:r>
        <w:rPr>
          <w:lang w:val="fr-FR"/>
        </w:rPr>
        <w:t xml:space="preserve"> = 0, Art. 12), aux fourchettes individuelles (Art. 18), au plafond d’exposition (∑ </w:t>
      </w:r>
      <w:r>
        <w:t>δᵢ</w:t>
      </w:r>
      <w:r>
        <w:rPr>
          <w:lang w:val="fr-FR"/>
        </w:rPr>
        <w:t xml:space="preserve"> ≤ K, Art. 18), ni à la pureté du noyau (Art. 27). Les membres de l’Organe sont tenus à une obligation de bonne foi (art. 1104 du Code civil), de diligence et de prévention des conflits d’intérêts ; ils répondent de leurs fautes de gestion selon le droit commun.</w:t>
      </w:r>
    </w:p>
    <w:p w14:paraId="50AB49FD" w14:textId="77777777" w:rsidR="00FB6EF5" w:rsidRPr="00C46716" w:rsidRDefault="00000000">
      <w:pPr>
        <w:pStyle w:val="Titre2"/>
        <w:rPr>
          <w:lang w:val="fr-FR"/>
        </w:rPr>
      </w:pPr>
      <w:bookmarkStart w:id="22" w:name="X97bfc517cc24ff0241d51ee573d03c46a35f9f0"/>
      <w:bookmarkEnd w:id="21"/>
      <w:r>
        <w:rPr>
          <w:lang w:val="fr-FR"/>
        </w:rPr>
        <w:t>Article 43 — Outils de transmission numérique et infrastructure du registre</w:t>
      </w:r>
    </w:p>
    <w:p w14:paraId="56424EAB" w14:textId="77777777" w:rsidR="00FB6EF5" w:rsidRPr="00C46716" w:rsidRDefault="00000000">
      <w:pPr>
        <w:pStyle w:val="FirstParagraph"/>
        <w:rPr>
          <w:lang w:val="fr-FR"/>
        </w:rPr>
      </w:pPr>
      <w:r>
        <w:rPr>
          <w:lang w:val="fr-FR"/>
        </w:rPr>
        <w:t>L’Organe met à la disposition des Membres les outils numériques par lesquels ils déclarent leur offre et leur demande (Art. 11), inscrivent leurs engagements (Art. 14), consultent leur solde et l’état de leurs cycles, et expriment leur soutien aux Projets (Art. 32). Ces outils sont l’interface du registre du graphe (Art. 12 à 14) et de l’état hors bilan des grandeurs civilisationnelles (Art. 33).</w:t>
      </w:r>
    </w:p>
    <w:p w14:paraId="48D0D534" w14:textId="77777777" w:rsidR="00FB6EF5" w:rsidRPr="00C46716" w:rsidRDefault="00000000">
      <w:pPr>
        <w:pStyle w:val="Corpsdetexte"/>
        <w:rPr>
          <w:lang w:val="fr-FR"/>
        </w:rPr>
      </w:pPr>
      <w:r>
        <w:rPr>
          <w:lang w:val="fr-FR"/>
        </w:rPr>
        <w:t>L’infrastructure est tenue sur support durable et horodaté, assortie d’un procédé d’identification fiable et des garanties d’intégrité requises pour la valeur probante des inscriptions (Art. 39 et 55). Elle assure la sécurité des systèmes et la protection des données personnelles conformément à la réglementation applicable. Ces outils transmettent l’information et mesurent les échanges ; ils n’encaissent, ne détiennent ni ne transfèrent aucune somme en euros pour le compte de tiers, en cohérence avec la pureté du noyau (Art. 27).</w:t>
      </w:r>
    </w:p>
    <w:p w14:paraId="0E9018FD" w14:textId="77777777" w:rsidR="00FB6EF5" w:rsidRPr="00C46716" w:rsidRDefault="00000000">
      <w:pPr>
        <w:pStyle w:val="Corpsdetexte"/>
        <w:rPr>
          <w:lang w:val="fr-FR"/>
        </w:rPr>
      </w:pPr>
      <w:r>
        <w:rPr>
          <w:lang w:val="fr-FR"/>
        </w:rPr>
        <w:t>L’Organe garantit l’accessibilité, l’interopérabilité et la portabilité : les Membres accèdent au dispositif sans dépendance à un fournisseur exclusif, et récupèrent à tout moment les données relatives à leurs propres positions, notamment en vue de leur sortie (Art. 25). Les spécifications techniques et les règles de fonctionnement des outils sont documentées et rendues consultables par les Membres.</w:t>
      </w:r>
    </w:p>
    <w:p w14:paraId="491B675E" w14:textId="77777777" w:rsidR="00FB6EF5" w:rsidRPr="00C46716" w:rsidRDefault="00000000">
      <w:pPr>
        <w:pStyle w:val="Titre2"/>
        <w:rPr>
          <w:lang w:val="fr-FR"/>
        </w:rPr>
      </w:pPr>
      <w:bookmarkStart w:id="23" w:name="Xdd92dc6fdb139c5e1386ceff12f221ada5e398e"/>
      <w:bookmarkEnd w:id="22"/>
      <w:r>
        <w:rPr>
          <w:lang w:val="fr-FR"/>
        </w:rPr>
        <w:t>Article 44 — Gestion algorithmique du graphe</w:t>
      </w:r>
    </w:p>
    <w:p w14:paraId="3B596999" w14:textId="77777777" w:rsidR="00FB6EF5" w:rsidRPr="00C46716" w:rsidRDefault="00000000">
      <w:pPr>
        <w:pStyle w:val="FirstParagraph"/>
        <w:rPr>
          <w:lang w:val="fr-FR"/>
        </w:rPr>
      </w:pPr>
      <w:r>
        <w:rPr>
          <w:lang w:val="fr-FR"/>
        </w:rPr>
        <w:t xml:space="preserve">L’Organe opère les traitements algorithmiques qui tiennent le graphe (Art. 12), recherchent les cycles de compensation (Art. 13 et 37) et procèdent à la compensation cyclique (Art. 38), ainsi que la procédure de priorisation par vote de consensus dite </w:t>
      </w:r>
      <w:r>
        <w:rPr>
          <w:i/>
          <w:iCs/>
          <w:lang w:val="fr-FR"/>
        </w:rPr>
        <w:t>Welfare Optimisation</w:t>
      </w:r>
      <w:r>
        <w:rPr>
          <w:lang w:val="fr-FR"/>
        </w:rPr>
        <w:t xml:space="preserve"> (Art. 31).</w:t>
      </w:r>
    </w:p>
    <w:p w14:paraId="7034F45C" w14:textId="77777777" w:rsidR="00FB6EF5" w:rsidRPr="00C46716" w:rsidRDefault="00000000">
      <w:pPr>
        <w:pStyle w:val="Corpsdetexte"/>
        <w:rPr>
          <w:lang w:val="fr-FR"/>
        </w:rPr>
      </w:pPr>
      <w:r>
        <w:rPr>
          <w:lang w:val="fr-FR"/>
        </w:rPr>
        <w:t>Ces algorithmes appliquent, dans l’ordre non commutatif fixé au Préambule, le Principe I avant le Principe II : ils vérifient d’abord l’acceptabilité de chaque opération — équilibre des engagements, respect des fourchettes [−</w:t>
      </w:r>
      <w:r>
        <w:t>δᵢ</w:t>
      </w:r>
      <w:r>
        <w:rPr>
          <w:lang w:val="fr-FR"/>
        </w:rPr>
        <w:t>, +</w:t>
      </w:r>
      <w:r>
        <w:t>δᵢ</w:t>
      </w:r>
      <w:r>
        <w:rPr>
          <w:lang w:val="fr-FR"/>
        </w:rPr>
        <w:t xml:space="preserve">] (Art. 18) et du plafond ∑ </w:t>
      </w:r>
      <w:r>
        <w:t>δᵢ</w:t>
      </w:r>
      <w:r>
        <w:rPr>
          <w:lang w:val="fr-FR"/>
        </w:rPr>
        <w:t xml:space="preserve"> ≤ K (Art. 18) — puis, parmi les seules opérations acceptables, ordonnent les préférences. Une opération inacceptable n’est jamais inscrite, quelle que soit sa valeur.</w:t>
      </w:r>
    </w:p>
    <w:p w14:paraId="3A8F6F33" w14:textId="77777777" w:rsidR="00FB6EF5" w:rsidRPr="00C46716" w:rsidRDefault="00000000">
      <w:pPr>
        <w:pStyle w:val="Corpsdetexte"/>
        <w:rPr>
          <w:lang w:val="fr-FR"/>
        </w:rPr>
      </w:pPr>
      <w:r>
        <w:rPr>
          <w:lang w:val="fr-FR"/>
        </w:rPr>
        <w:t xml:space="preserve">La gestion algorithmique est régie par trois exigences. D’abord la </w:t>
      </w:r>
      <w:r>
        <w:rPr>
          <w:b/>
          <w:bCs/>
          <w:lang w:val="fr-FR"/>
        </w:rPr>
        <w:t>neutralité</w:t>
      </w:r>
      <w:r>
        <w:rPr>
          <w:lang w:val="fr-FR"/>
        </w:rPr>
        <w:t xml:space="preserve"> : les règles s’appliquent à tous les Membres de manière identique, sans discrimination (Art. 11). Ensuite la </w:t>
      </w:r>
      <w:r>
        <w:rPr>
          <w:b/>
          <w:bCs/>
          <w:lang w:val="fr-FR"/>
        </w:rPr>
        <w:t>transparence et l’auditabilité</w:t>
      </w:r>
      <w:r>
        <w:rPr>
          <w:lang w:val="fr-FR"/>
        </w:rPr>
        <w:t xml:space="preserve"> : les algorithmes, leurs paramètres (Annexe 4) et leurs journaux sont documentés, reproductibles et vérifiables ; toute évolution substantielle est portée à la connaissance des Membres et approuvée dans les conditions de l’Article 46. Enfin la </w:t>
      </w:r>
      <w:r>
        <w:rPr>
          <w:b/>
          <w:bCs/>
          <w:lang w:val="fr-FR"/>
        </w:rPr>
        <w:t>subordination au réel</w:t>
      </w:r>
      <w:r>
        <w:rPr>
          <w:lang w:val="fr-FR"/>
        </w:rPr>
        <w:t xml:space="preserve"> : la détection d’un cycle propose, l’acceptation des Membres concernés valide, l’inscription enregistre (Art. 14 et 37) ; en aucun cas l’algorithme ne noue par lui-même une obligation entre des Membres qui ne se devaient rien.</w:t>
      </w:r>
    </w:p>
    <w:p w14:paraId="2BA9C215" w14:textId="77777777" w:rsidR="00FB6EF5" w:rsidRPr="00C46716" w:rsidRDefault="00000000">
      <w:pPr>
        <w:pStyle w:val="Titre2"/>
        <w:rPr>
          <w:lang w:val="fr-FR"/>
        </w:rPr>
      </w:pPr>
      <w:bookmarkStart w:id="24" w:name="Xf8b5efadacbe754dd616a9ce26ac7a0c99f1c44"/>
      <w:bookmarkEnd w:id="23"/>
      <w:r>
        <w:rPr>
          <w:lang w:val="fr-FR"/>
        </w:rPr>
        <w:t>Article 45 — Contrôle des opérations du graphe</w:t>
      </w:r>
    </w:p>
    <w:p w14:paraId="2A876F34" w14:textId="77777777" w:rsidR="00FB6EF5" w:rsidRPr="00C46716" w:rsidRDefault="00000000">
      <w:pPr>
        <w:pStyle w:val="FirstParagraph"/>
        <w:rPr>
          <w:lang w:val="fr-FR"/>
        </w:rPr>
      </w:pPr>
      <w:r>
        <w:rPr>
          <w:lang w:val="fr-FR"/>
        </w:rPr>
        <w:t xml:space="preserve">L’Organe contrôle la conformité des opérations inscrites au graphe. Il vérifie, opération par opération, que chaque inscription respecte l’équilibre requis (Art. 14), les fourchettes individuelles (Art. 18) et, pour toute position débitrice, l’exigence de préfinancement intégral déposé en séquestre (Art. 21). Il s’assure que le plafond d’exposition (∑ </w:t>
      </w:r>
      <w:r>
        <w:t>δᵢ</w:t>
      </w:r>
      <w:r>
        <w:rPr>
          <w:lang w:val="fr-FR"/>
        </w:rPr>
        <w:t xml:space="preserve"> ≤ K, Art. 18) est constamment respecté.</w:t>
      </w:r>
    </w:p>
    <w:p w14:paraId="28C1F3FC" w14:textId="77777777" w:rsidR="00FB6EF5" w:rsidRPr="00C46716" w:rsidRDefault="00000000">
      <w:pPr>
        <w:pStyle w:val="Corpsdetexte"/>
        <w:rPr>
          <w:lang w:val="fr-FR"/>
        </w:rPr>
      </w:pPr>
      <w:r>
        <w:rPr>
          <w:lang w:val="fr-FR"/>
        </w:rPr>
        <w:t>Le contrôle exerce, au stade de l’inscription, la fonction de veto attachée au Principe I : l’opération qui léserait un Membre ou romprait l’équilibre n’accède pas au graphe. L’Organe veille à la séparation du noyau et de la frontière externe (Art. 27 et 29) : aucune somme en euros ne transite par le registre, la part externe de toute opération étant réglée par le Membre concerné sur ses fonds propres. Il veille pareillement à l’étanchéité des sphères comptables (Art. 33), en particulier à ce qu’aucune grandeur civilisationnelle ne soit portée au crédit d’une écriture ni convertie en moyen de règlement (Art. 35).</w:t>
      </w:r>
    </w:p>
    <w:p w14:paraId="33B9D913" w14:textId="77777777" w:rsidR="00FB6EF5" w:rsidRPr="00C46716" w:rsidRDefault="00000000">
      <w:pPr>
        <w:pStyle w:val="Corpsdetexte"/>
        <w:rPr>
          <w:lang w:val="fr-FR"/>
        </w:rPr>
      </w:pPr>
      <w:r>
        <w:rPr>
          <w:lang w:val="fr-FR"/>
        </w:rPr>
        <w:t>L’Organe détecte les anomalies, prévient toute tentative de concentration ou de contournement, et assure l’intégrité et l’irréversibilité des inscriptions validées, toute correction s’opérant par contre-passation horodatée (Art. 39). Il peut faire procéder à un audit indépendant et coopère, en tant que de besoin, avec l’expert-comptable (Art. 41) et le conseil en droit bancaire et financier (Art. 57). Les manquements d’un Membre relèvent du droit commun (Art. 26), sans protection dérogatoire.</w:t>
      </w:r>
    </w:p>
    <w:p w14:paraId="7BC96F29" w14:textId="77777777" w:rsidR="00FB6EF5" w:rsidRPr="00C46716" w:rsidRDefault="00000000">
      <w:pPr>
        <w:pStyle w:val="Titre2"/>
        <w:rPr>
          <w:lang w:val="fr-FR"/>
        </w:rPr>
      </w:pPr>
      <w:bookmarkStart w:id="25" w:name="article-36-animation-du-réseau"/>
      <w:bookmarkEnd w:id="24"/>
      <w:r>
        <w:rPr>
          <w:lang w:val="fr-FR"/>
        </w:rPr>
        <w:t>Article 46 — Animation du réseau</w:t>
      </w:r>
    </w:p>
    <w:p w14:paraId="79BA801C" w14:textId="77777777" w:rsidR="00FB6EF5" w:rsidRPr="00C46716" w:rsidRDefault="00000000">
      <w:pPr>
        <w:pStyle w:val="FirstParagraph"/>
        <w:rPr>
          <w:lang w:val="fr-FR"/>
        </w:rPr>
      </w:pPr>
      <w:r>
        <w:rPr>
          <w:lang w:val="fr-FR"/>
        </w:rPr>
        <w:t>L’Organe anime le réseau afin d’en accroître la richesse compensatoire, laquelle croît avec la densité et la diversité des relations (Art. 13). À cette fin, il facilite la rencontre de l’offre et de la demande, favorise l’internalisation de fournisseurs — qui réduit la part externe des opérations et donc le besoin de règlement en euros (Art. 29) — et accompagne les Membres dans l’usage du dispositif.</w:t>
      </w:r>
    </w:p>
    <w:p w14:paraId="02D1BB12" w14:textId="77777777" w:rsidR="00FB6EF5" w:rsidRPr="00C46716" w:rsidRDefault="00000000">
      <w:pPr>
        <w:pStyle w:val="Corpsdetexte"/>
        <w:rPr>
          <w:lang w:val="fr-FR"/>
        </w:rPr>
      </w:pPr>
      <w:r>
        <w:rPr>
          <w:lang w:val="fr-FR"/>
        </w:rPr>
        <w:t>Il instruit les admissions selon les critères objectifs, publics et non discriminatoires de l’Article 11 : nul remplissant ces critères et acceptant le présent contrat ne peut être arbitrairement exclu, tout refus est motivé et susceptible de réexamen, et la qualité de Membre ne peut être retirée que pour un manquement caractérisé, selon une procédure contradictoire. Il facilite les sorties dans les conditions de l’Article 25.</w:t>
      </w:r>
    </w:p>
    <w:p w14:paraId="43024F9F" w14:textId="77777777" w:rsidR="00FB6EF5" w:rsidRPr="00C46716" w:rsidRDefault="00000000">
      <w:pPr>
        <w:pStyle w:val="Corpsdetexte"/>
        <w:rPr>
          <w:lang w:val="fr-FR"/>
        </w:rPr>
      </w:pPr>
      <w:r>
        <w:rPr>
          <w:lang w:val="fr-FR"/>
        </w:rPr>
        <w:t>L’Organe peut proposer des actions de médiation entre Membres, sans que celles-ci ne fassent obstacle aux voies de recours de droit commun (Art. 26). Il coordonne, dans le respect de l’autonomie juridique de celui-ci, les relations avec le fonds de solidarité (Art. 29), lequel demeure seul habilité à manier des euros et distinct du noyau et du capital.</w:t>
      </w:r>
    </w:p>
    <w:p w14:paraId="4AB55570" w14:textId="77777777" w:rsidR="00FB6EF5" w:rsidRPr="00C46716" w:rsidRDefault="00000000">
      <w:pPr>
        <w:pStyle w:val="Titre2"/>
        <w:rPr>
          <w:lang w:val="fr-FR"/>
        </w:rPr>
      </w:pPr>
      <w:bookmarkStart w:id="26" w:name="X668574d288d7a895376b6d66e24a3a252f16afc"/>
      <w:bookmarkEnd w:id="25"/>
      <w:r>
        <w:rPr>
          <w:lang w:val="fr-FR"/>
        </w:rPr>
        <w:t>Article 47 — Rapport annuel d’activité et reddition</w:t>
      </w:r>
    </w:p>
    <w:p w14:paraId="299B8FE4" w14:textId="77777777" w:rsidR="00FB6EF5" w:rsidRPr="00C46716" w:rsidRDefault="00000000">
      <w:pPr>
        <w:pStyle w:val="FirstParagraph"/>
        <w:rPr>
          <w:lang w:val="fr-FR"/>
        </w:rPr>
      </w:pPr>
      <w:r>
        <w:rPr>
          <w:lang w:val="fr-FR"/>
        </w:rPr>
        <w:t>L’Organe établit et présente aux Membres, à chaque exercice, un rapport annuel d’activité. Ce rapport rend compte de l’état du réseau — nombre de Membres, volume des échanges, cycles compensés et richesse compensatoire mesurée par le nombre cyclomatique (Art. 13) — et atteste du respect des invariants de sécurité : nullité de la somme des soldes (∑ s</w:t>
      </w:r>
      <w:r>
        <w:t>ᵢ</w:t>
      </w:r>
      <w:r>
        <w:rPr>
          <w:lang w:val="fr-FR"/>
        </w:rPr>
        <w:t xml:space="preserve"> = 0, Art. 12), maintien des soldes dans leurs fourchettes (Art. 18) et respect du plafond d’exposition (∑ </w:t>
      </w:r>
      <w:r>
        <w:t>δᵢ</w:t>
      </w:r>
      <w:r>
        <w:rPr>
          <w:lang w:val="fr-FR"/>
        </w:rPr>
        <w:t xml:space="preserve"> ≤ K, Art. 18).</w:t>
      </w:r>
    </w:p>
    <w:p w14:paraId="4FEBEE60" w14:textId="77777777" w:rsidR="00FB6EF5" w:rsidRPr="00C46716" w:rsidRDefault="00000000">
      <w:pPr>
        <w:pStyle w:val="Corpsdetexte"/>
        <w:rPr>
          <w:lang w:val="fr-FR"/>
        </w:rPr>
      </w:pPr>
      <w:r>
        <w:rPr>
          <w:lang w:val="fr-FR"/>
        </w:rPr>
        <w:t>Le rapport d’activité est accompagné de la reddition de comptes prévue à l’Article 40 : d’une part les comptes ordinaires donnant une image fidèle des transactions réelles, d’autre part le rapport extra-comptable distinct présentant les grandeurs civilisationnelles suivies hors bilan (Art. 35 et 40). Il précise expressément que ces grandeurs sont des indicateurs extra-financiers, et non des produits ou des actifs comptables.</w:t>
      </w:r>
    </w:p>
    <w:p w14:paraId="2924BCD5" w14:textId="77777777" w:rsidR="00FB6EF5" w:rsidRDefault="00000000" w:rsidP="008109BD">
      <w:pPr>
        <w:pStyle w:val="Corpsdetexte"/>
        <w:spacing w:after="240"/>
        <w:rPr>
          <w:lang w:val="fr-FR"/>
        </w:rPr>
      </w:pPr>
      <w:r>
        <w:rPr>
          <w:lang w:val="fr-FR"/>
        </w:rPr>
        <w:t>Le rapport est communiqué aux Membres et au Propriétaire, soumis à l’approbation des Membres selon la procédure de l’Article 42, et peut alimenter les rapports de durabilité et les rapports publics de progression vers les Objectifs de Développement Durable. La responsabilité de l’Organe s’apprécie, notamment, au regard de la sincérité et de la complétude de cette reddition.</w:t>
      </w:r>
    </w:p>
    <w:p w14:paraId="016CF6B3" w14:textId="77777777" w:rsidR="008109BD" w:rsidRPr="008109BD" w:rsidRDefault="008109BD" w:rsidP="008109BD">
      <w:pPr>
        <w:pStyle w:val="Corpsdetexte"/>
        <w:spacing w:before="480"/>
        <w:rPr>
          <w:rFonts w:ascii="Calibri" w:hAnsi="Calibri" w:cs="Calibri"/>
          <w:color w:val="0070C0"/>
          <w:sz w:val="28"/>
          <w:szCs w:val="28"/>
          <w:lang w:val="fr-FR"/>
        </w:rPr>
      </w:pPr>
      <w:r>
        <w:rPr>
          <w:rFonts w:ascii="Calibri" w:hAnsi="Calibri" w:cs="Calibri"/>
          <w:b/>
          <w:bCs/>
          <w:color w:val="0070C0"/>
          <w:sz w:val="28"/>
          <w:szCs w:val="28"/>
          <w:lang w:val="fr-FR"/>
        </w:rPr>
        <w:t>Titre X — Paramètres des activités et exclusion bancaire</w:t>
      </w:r>
    </w:p>
    <w:p w14:paraId="4C40D0CC" w14:textId="77777777" w:rsidR="008109BD" w:rsidRPr="008109BD" w:rsidRDefault="008109BD" w:rsidP="008109BD">
      <w:pPr>
        <w:pStyle w:val="Corpsdetexte"/>
        <w:rPr>
          <w:lang w:val="fr-FR"/>
        </w:rPr>
      </w:pPr>
      <w:r>
        <w:rPr>
          <w:lang w:val="fr-FR"/>
        </w:rPr>
        <w:t>Le présent Titre a pour objet de qualifier négativement le dispositif — en écartant, une à une, les qualifications réglementées auxquelles sa ressemblance de surface pourrait le faire faussement rattacher — puis de le qualifier positivement, en énonçant ce qu'il est. Les exclusions qui suivent ne valent qu'autant que la pureté du noyau (Art. 27) est effectivement tenue : elles décrivent la structure telle que le contrat la définit, et cessent de protéger si l'exécution s'en écarte.</w:t>
      </w:r>
    </w:p>
    <w:p w14:paraId="6D96FC8C" w14:textId="77777777" w:rsidR="008109BD" w:rsidRPr="008109BD" w:rsidRDefault="008109BD" w:rsidP="008109BD">
      <w:pPr>
        <w:pStyle w:val="Corpsdetexte"/>
        <w:rPr>
          <w:rFonts w:ascii="Calibri" w:hAnsi="Calibri" w:cs="Calibri"/>
          <w:color w:val="0070C0"/>
          <w:sz w:val="28"/>
          <w:szCs w:val="28"/>
          <w:lang w:val="fr-FR"/>
        </w:rPr>
      </w:pPr>
      <w:r>
        <w:rPr>
          <w:rFonts w:ascii="Calibri" w:hAnsi="Calibri" w:cs="Calibri"/>
          <w:b/>
          <w:bCs/>
          <w:color w:val="0070C0"/>
          <w:sz w:val="28"/>
          <w:szCs w:val="28"/>
          <w:lang w:val="fr-FR"/>
        </w:rPr>
        <w:t>Article 48 — Le dispositif n'est pas un établissement de crédit</w:t>
      </w:r>
    </w:p>
    <w:p w14:paraId="54637561" w14:textId="77777777" w:rsidR="008109BD" w:rsidRPr="008109BD" w:rsidRDefault="008109BD" w:rsidP="008109BD">
      <w:pPr>
        <w:pStyle w:val="Corpsdetexte"/>
        <w:rPr>
          <w:lang w:val="fr-FR"/>
        </w:rPr>
      </w:pPr>
      <w:r>
        <w:rPr>
          <w:lang w:val="fr-FR"/>
        </w:rPr>
        <w:t>Le dispositif ne reçoit aucun fonds remboursable du public et n'octroie aucun crédit pour son propre compte au sens de l'article L. 511-1 du Code monétaire et financier. Il ne crée aucune monnaie : la somme algébrique des soldes internes demeure constamment nulle (∑ sᵢ = 0, Art. 12), de sorte qu'aucune ressource nouvelle n'est produite par inscription. Là où l'établissement de crédit fait croître la masse monétaire par le crédit, le dispositif conserve une somme identiquement nulle. Il n'exerce donc, à aucun titre, l'activité d'établissement de crédit et n'est soumis à aucun agrément à ce titre.</w:t>
      </w:r>
    </w:p>
    <w:p w14:paraId="069AE116" w14:textId="77777777" w:rsidR="008109BD" w:rsidRPr="008109BD" w:rsidRDefault="008109BD" w:rsidP="008109BD">
      <w:pPr>
        <w:pStyle w:val="Corpsdetexte"/>
        <w:rPr>
          <w:rFonts w:asciiTheme="majorHAnsi" w:hAnsiTheme="majorHAnsi" w:cstheme="majorHAnsi"/>
          <w:color w:val="0070C0"/>
          <w:sz w:val="28"/>
          <w:szCs w:val="28"/>
          <w:lang w:val="fr-FR"/>
        </w:rPr>
      </w:pPr>
      <w:r>
        <w:rPr>
          <w:rFonts w:asciiTheme="majorHAnsi" w:hAnsiTheme="majorHAnsi" w:cstheme="majorHAnsi"/>
          <w:b/>
          <w:bCs/>
          <w:color w:val="0070C0"/>
          <w:sz w:val="28"/>
          <w:szCs w:val="28"/>
          <w:lang w:val="fr-FR"/>
        </w:rPr>
        <w:t>Article 49 — Le dispositif n'est pas un prestataire de services de paiement</w:t>
      </w:r>
    </w:p>
    <w:p w14:paraId="7EB9AA1B" w14:textId="77777777" w:rsidR="008109BD" w:rsidRPr="008109BD" w:rsidRDefault="008109BD" w:rsidP="008109BD">
      <w:pPr>
        <w:pStyle w:val="Corpsdetexte"/>
        <w:rPr>
          <w:lang w:val="fr-FR"/>
        </w:rPr>
      </w:pPr>
      <w:r>
        <w:rPr>
          <w:lang w:val="fr-FR"/>
        </w:rPr>
        <w:t>Les services de paiement sont définis par une liste limitative (art. L. 314-1, II du Code monétaire et financier) : exécution d'opérations de paiement, virements, prélèvements, transmission de fonds, acquisition ou émission d'instruments de paiement, tenue de comptes de paiement. Le dispositif ne fournit aucun de ces services.</w:t>
      </w:r>
    </w:p>
    <w:p w14:paraId="33BFD8F4" w14:textId="77777777" w:rsidR="008109BD" w:rsidRPr="008109BD" w:rsidRDefault="008109BD" w:rsidP="008109BD">
      <w:pPr>
        <w:pStyle w:val="Corpsdetexte"/>
        <w:rPr>
          <w:lang w:val="fr-FR"/>
        </w:rPr>
      </w:pPr>
      <w:r>
        <w:rPr>
          <w:lang w:val="fr-FR"/>
        </w:rPr>
        <w:t xml:space="preserve">Il procède exclusivement à la </w:t>
      </w:r>
      <w:r>
        <w:rPr>
          <w:b/>
          <w:bCs/>
          <w:lang w:val="fr-FR"/>
        </w:rPr>
        <w:t>compensation de créances et de dettes réciproques</w:t>
      </w:r>
      <w:r>
        <w:rPr>
          <w:lang w:val="fr-FR"/>
        </w:rPr>
        <w:t>, mode d'extinction des obligations distinct du paiement (art. 1347 et 1348-2 du Code civil), qui n'emporte aucun mouvement de fonds. Aucune somme en euros n'est reçue, détenue ni transférée par l'opérateur pour le compte des Membres (Art. 27). Le monopole des articles L. 521-1 et suivants, qui suppose la fourniture d'un service de paiement à des tiers, n'a donc pas de prise sur le dispositif.</w:t>
      </w:r>
    </w:p>
    <w:p w14:paraId="61F2C7F4" w14:textId="77777777" w:rsidR="008109BD" w:rsidRPr="008109BD" w:rsidRDefault="008109BD" w:rsidP="008109BD">
      <w:pPr>
        <w:pStyle w:val="Corpsdetexte"/>
        <w:rPr>
          <w:lang w:val="fr-FR"/>
        </w:rPr>
      </w:pPr>
      <w:r>
        <w:rPr>
          <w:b/>
          <w:bCs/>
          <w:lang w:val="fr-FR"/>
        </w:rPr>
        <w:t xml:space="preserve">Deux digues conditionnent cette exclusion. </w:t>
      </w:r>
      <w:r>
        <w:rPr>
          <w:lang w:val="fr-FR"/>
        </w:rPr>
        <w:t>L'objection « services de paiement » ne renaîtrait que si (i) des fonds venaient à transiter effectivement par l'opérateur, ou (ii) les unités internes devenaient transférables et circulaient comme moyen de paiement. Le contrat interdit expressément l'un et l'autre (Art. 4 et 27) ; cette interdiction est la condition de l'exclusion.</w:t>
      </w:r>
    </w:p>
    <w:p w14:paraId="39EDC823" w14:textId="77777777" w:rsidR="008109BD" w:rsidRPr="008109BD" w:rsidRDefault="008109BD" w:rsidP="008109BD">
      <w:pPr>
        <w:pStyle w:val="Corpsdetexte"/>
        <w:rPr>
          <w:rFonts w:ascii="Calibri" w:hAnsi="Calibri" w:cs="Calibri"/>
          <w:color w:val="0070C0"/>
          <w:sz w:val="28"/>
          <w:szCs w:val="28"/>
          <w:lang w:val="fr-FR"/>
        </w:rPr>
      </w:pPr>
      <w:r>
        <w:rPr>
          <w:rFonts w:ascii="Calibri" w:hAnsi="Calibri" w:cs="Calibri"/>
          <w:b/>
          <w:bCs/>
          <w:color w:val="0070C0"/>
          <w:sz w:val="28"/>
          <w:szCs w:val="28"/>
          <w:lang w:val="fr-FR"/>
        </w:rPr>
        <w:t>Article 50 — Le dispositif n'émet pas de monnaie électronique</w:t>
      </w:r>
    </w:p>
    <w:p w14:paraId="7223C127" w14:textId="77777777" w:rsidR="008109BD" w:rsidRPr="008109BD" w:rsidRDefault="008109BD" w:rsidP="008109BD">
      <w:pPr>
        <w:pStyle w:val="Corpsdetexte"/>
        <w:rPr>
          <w:lang w:val="fr-FR"/>
        </w:rPr>
      </w:pPr>
      <w:r>
        <w:rPr>
          <w:lang w:val="fr-FR"/>
        </w:rPr>
        <w:t>La monnaie électronique suppose l'émission, contre remise de fonds, d'une valeur monétaire stockée sous forme électronique et acceptée en paiement par des tiers (art. L. 315-1 du Code monétaire et financier). Le dispositif n'émet aucune valeur contre remise de fonds, ne stocke aucune valeur monétaire et ne produit aucun instrument accepté en paiement : l'unité interne s'éteint à la fermeture du cycle et n'est jamais acceptée par un tiers en règlement d'une dette. Il n'est donc pas émetteur de monnaie électronique.</w:t>
      </w:r>
    </w:p>
    <w:p w14:paraId="60B5D839" w14:textId="77777777" w:rsidR="008109BD" w:rsidRPr="008109BD" w:rsidRDefault="008109BD" w:rsidP="008109BD">
      <w:pPr>
        <w:pStyle w:val="Corpsdetexte"/>
        <w:rPr>
          <w:rFonts w:ascii="Calibri" w:hAnsi="Calibri" w:cs="Calibri"/>
          <w:color w:val="0070C0"/>
          <w:sz w:val="28"/>
          <w:szCs w:val="28"/>
          <w:lang w:val="fr-FR"/>
        </w:rPr>
      </w:pPr>
      <w:r>
        <w:rPr>
          <w:rFonts w:ascii="Calibri" w:hAnsi="Calibri" w:cs="Calibri"/>
          <w:b/>
          <w:bCs/>
          <w:color w:val="0070C0"/>
          <w:sz w:val="28"/>
          <w:szCs w:val="28"/>
          <w:lang w:val="fr-FR"/>
        </w:rPr>
        <w:t>Article 51 — Le dispositif n'émet pas de crypto-actif et ne relève pas de MiCA</w:t>
      </w:r>
    </w:p>
    <w:p w14:paraId="3B34E1A4" w14:textId="77777777" w:rsidR="008109BD" w:rsidRPr="008109BD" w:rsidRDefault="008109BD" w:rsidP="008109BD">
      <w:pPr>
        <w:pStyle w:val="Corpsdetexte"/>
        <w:rPr>
          <w:lang w:val="fr-FR"/>
        </w:rPr>
      </w:pPr>
      <w:r>
        <w:rPr>
          <w:lang w:val="fr-FR"/>
        </w:rPr>
        <w:t>Les régimes des prestataires de services sur actifs numériques (droit français) et sur crypto-actifs (règlement (UE) 2023/1114, dit MiCA) ne concernent que les crypto-actifs — représentations numériques de valeur transférables et stockables au moyen d'une technologie de registre distribué. Les unités internes du dispositif ne sont ni une valeur transférable, ni un actif stockable : elles mesurent une relation de créance réciproque et s'annulent à la fermeture du cycle (Art. 4 et 12). Le dispositif n'émet, ne conserve, n'échange et ne négocie aucun crypto-actif. MiCA et les régimes assimilés ne lui sont pas applicables.</w:t>
      </w:r>
    </w:p>
    <w:p w14:paraId="76C12FBC" w14:textId="77777777" w:rsidR="008109BD" w:rsidRPr="008109BD" w:rsidRDefault="008109BD" w:rsidP="008109BD">
      <w:pPr>
        <w:pStyle w:val="Corpsdetexte"/>
        <w:rPr>
          <w:lang w:val="fr-FR"/>
        </w:rPr>
      </w:pPr>
      <w:r>
        <w:rPr>
          <w:b/>
          <w:bCs/>
          <w:lang w:val="fr-FR"/>
        </w:rPr>
        <w:t xml:space="preserve">Réserve d'implémentation. </w:t>
      </w:r>
      <w:r>
        <w:rPr>
          <w:lang w:val="fr-FR"/>
        </w:rPr>
        <w:t>Cette exclusion suppose que la compensation ne soit pas mise en œuvre par des jetons transférables inscrits sur une chaîne (jetons on-chain, échanges atomiques). Une telle implémentation ferait basculer le dispositif dans le champ des crypto-actifs, et le degré de contrôle de l'Organe de Gouvernance sur l'infrastructure et l'appariement (Art. 42 à 45) le rapprocherait alors d'un intermédiaire soumis à agrément. L'exclusion vaut pour une mise en œuvre où aucun instrument transférable ne circule.</w:t>
      </w:r>
    </w:p>
    <w:p w14:paraId="6C51335C" w14:textId="77777777" w:rsidR="008109BD" w:rsidRPr="008109BD" w:rsidRDefault="008109BD" w:rsidP="008109BD">
      <w:pPr>
        <w:pStyle w:val="Corpsdetexte"/>
        <w:rPr>
          <w:rFonts w:ascii="Calibri" w:hAnsi="Calibri" w:cs="Calibri"/>
          <w:color w:val="0070C0"/>
          <w:sz w:val="28"/>
          <w:szCs w:val="28"/>
          <w:lang w:val="fr-FR"/>
        </w:rPr>
      </w:pPr>
      <w:r>
        <w:rPr>
          <w:rFonts w:ascii="Calibri" w:hAnsi="Calibri" w:cs="Calibri"/>
          <w:b/>
          <w:bCs/>
          <w:color w:val="0070C0"/>
          <w:sz w:val="28"/>
          <w:szCs w:val="28"/>
          <w:lang w:val="fr-FR"/>
        </w:rPr>
        <w:t>Article 52 — Le dispositif ne constitue pas une monnaie locale ou nationale</w:t>
      </w:r>
    </w:p>
    <w:p w14:paraId="022C3834" w14:textId="77777777" w:rsidR="008109BD" w:rsidRPr="0019365D" w:rsidRDefault="008109BD" w:rsidP="008109BD">
      <w:pPr>
        <w:pStyle w:val="Corpsdetexte"/>
        <w:rPr>
          <w:lang w:val="fr-FR"/>
        </w:rPr>
      </w:pPr>
      <w:r>
        <w:rPr>
          <w:lang w:val="fr-FR"/>
        </w:rPr>
        <w:t xml:space="preserve">L'unité interne n'est pas une monnaie, car elle n'en remplit aucune des trois fonctions. Elle n'est pas une </w:t>
      </w:r>
      <w:r>
        <w:rPr>
          <w:b/>
          <w:bCs/>
          <w:lang w:val="fr-FR"/>
        </w:rPr>
        <w:t>réserve de valeur</w:t>
      </w:r>
      <w:r>
        <w:rPr>
          <w:lang w:val="fr-FR"/>
        </w:rPr>
        <w:t xml:space="preserve"> : elle ne se conserve pas dans le temps mais s'éteint à la fermeture du cycle. Elle n'est pas un </w:t>
      </w:r>
      <w:r>
        <w:rPr>
          <w:b/>
          <w:bCs/>
          <w:lang w:val="fr-FR"/>
        </w:rPr>
        <w:t>intermédiaire des échanges</w:t>
      </w:r>
      <w:r>
        <w:rPr>
          <w:lang w:val="fr-FR"/>
        </w:rPr>
        <w:t xml:space="preserve"> : elle ne passe pas de main en main, car elle n'existe qu'à l'intérieur d'une relation entre deux Membres identifiés, et disparaît avec elle. Elle n'est pas une </w:t>
      </w:r>
      <w:r>
        <w:rPr>
          <w:b/>
          <w:bCs/>
          <w:lang w:val="fr-FR"/>
        </w:rPr>
        <w:t>unité de règlement opposable</w:t>
      </w:r>
      <w:r>
        <w:rPr>
          <w:lang w:val="fr-FR"/>
        </w:rPr>
        <w:t xml:space="preserve"> : elle n'a pas cours légal et ne confère aucun pouvoir libératoire à l'égard des tiers. Elle n'est ni une devise ayant cours légal (art. L. 111-1 du Code monétaire et financier), ni un titre de monnaie locale complémentaire au sens des articles L. 311-5 et L. 311-6 du même code.</w:t>
      </w:r>
    </w:p>
    <w:p w14:paraId="7574C607" w14:textId="77777777" w:rsidR="008109BD" w:rsidRPr="008109BD" w:rsidRDefault="008109BD" w:rsidP="008109BD">
      <w:pPr>
        <w:pStyle w:val="Corpsdetexte"/>
        <w:rPr>
          <w:lang w:val="fr-FR"/>
        </w:rPr>
      </w:pPr>
      <w:r>
        <w:rPr>
          <w:lang w:val="fr-FR"/>
        </w:rPr>
        <w:t>Le dispositif n'exerce aucune fonction monétaire. Il met en œuvre une</w:t>
      </w:r>
      <w:r>
        <w:rPr>
          <w:b/>
          <w:bCs/>
          <w:lang w:val="fr-FR"/>
        </w:rPr>
        <w:t xml:space="preserve"> fonction propositionnelle de coordination contractuelle </w:t>
      </w:r>
      <w:r>
        <w:rPr>
          <w:lang w:val="fr-FR"/>
        </w:rPr>
        <w:t>basée sur des échanges de biens et services tarifés. Là où un système monétaire coordonne les échanges par la circulation d'un instrument de paiement, le dispositif coordonne les engagements par l'agencement de propositions réciproques inscrites dans un graphe contractuel. Les deux systèmes répondent au même problème économique — la coordination des échanges — mais par des mécanismes juridiques et techniques de nature radicalement différente.</w:t>
      </w:r>
    </w:p>
    <w:p w14:paraId="1BDE0205" w14:textId="77777777" w:rsidR="008109BD" w:rsidRPr="008109BD" w:rsidRDefault="008109BD" w:rsidP="008109BD">
      <w:pPr>
        <w:pStyle w:val="Corpsdetexte"/>
        <w:rPr>
          <w:rFonts w:ascii="Calibri" w:hAnsi="Calibri" w:cs="Calibri"/>
          <w:color w:val="0070C0"/>
          <w:sz w:val="28"/>
          <w:szCs w:val="28"/>
          <w:lang w:val="fr-FR"/>
        </w:rPr>
      </w:pPr>
      <w:r>
        <w:rPr>
          <w:rFonts w:ascii="Calibri" w:hAnsi="Calibri" w:cs="Calibri"/>
          <w:b/>
          <w:bCs/>
          <w:color w:val="0070C0"/>
          <w:sz w:val="28"/>
          <w:szCs w:val="28"/>
          <w:lang w:val="fr-FR"/>
        </w:rPr>
        <w:t>Article 53 — Définition positive du contrat de gestion du droit d'usage</w:t>
      </w:r>
    </w:p>
    <w:p w14:paraId="2F002D98" w14:textId="77777777" w:rsidR="008109BD" w:rsidRPr="008109BD" w:rsidRDefault="008109BD" w:rsidP="008109BD">
      <w:pPr>
        <w:pStyle w:val="Corpsdetexte"/>
        <w:rPr>
          <w:lang w:val="fr-FR"/>
        </w:rPr>
      </w:pPr>
      <w:r>
        <w:rPr>
          <w:lang w:val="fr-FR"/>
        </w:rPr>
        <w:t xml:space="preserve">Le présent contrat est une convention par laquelle une communauté de personnes organise contractuellement ses propres modes de règlement, décentralisés et autonomes. Sa force et son originalité tiennent à ce qu'il fait reposer l'ensemble des règlements non sur des unités monétaires, ni sur une infrastructure centralisée ou décentralisée de paiement, mais sur </w:t>
      </w:r>
      <w:r>
        <w:rPr>
          <w:b/>
          <w:bCs/>
          <w:lang w:val="fr-FR"/>
        </w:rPr>
        <w:t>la la programmation et la réalisation de balances d’engagements équilibrés</w:t>
      </w:r>
      <w:r>
        <w:rPr>
          <w:lang w:val="fr-FR"/>
        </w:rPr>
        <w:t>, à l'échelle locale comme internationale. Pour égaliser ces balances, le contrat recourt à une modélisation par graphes, qui rend visibles les échanges et les chemins de compensation.</w:t>
      </w:r>
    </w:p>
    <w:p w14:paraId="34E1E767" w14:textId="77777777" w:rsidR="008109BD" w:rsidRPr="008109BD" w:rsidRDefault="008109BD" w:rsidP="008109BD">
      <w:pPr>
        <w:pStyle w:val="Corpsdetexte"/>
        <w:rPr>
          <w:lang w:val="fr-FR"/>
        </w:rPr>
      </w:pPr>
      <w:r>
        <w:rPr>
          <w:lang w:val="fr-FR"/>
        </w:rPr>
        <w:t xml:space="preserve">Ce contrat a pour ambition de fonder un </w:t>
      </w:r>
      <w:r>
        <w:rPr>
          <w:b/>
          <w:bCs/>
          <w:lang w:val="fr-FR"/>
        </w:rPr>
        <w:t>système de compensation coopératif et mutualiste</w:t>
      </w:r>
      <w:r>
        <w:rPr>
          <w:lang w:val="fr-FR"/>
        </w:rPr>
        <w:t xml:space="preserve">, inspiré des concepts de l'économie du développement durable. Il propose un modèle de </w:t>
      </w:r>
      <w:r>
        <w:rPr>
          <w:b/>
          <w:bCs/>
          <w:lang w:val="fr-FR"/>
        </w:rPr>
        <w:t>droit d'usage non exclusif et non rival, de nature informationnelle et durable</w:t>
      </w:r>
      <w:r>
        <w:rPr>
          <w:lang w:val="fr-FR"/>
        </w:rPr>
        <w:t>, qui permet aux agents de programmer leur système d'échange pour qu'il atteigne une balance individuelle et collective optimale. Dans cette optique, le contrat prévoit la mise en commun de sept facteurs — le droit d'usage, les objectifs, les ressources, les emplois, la gestion, la règle et l'organisation — dont la combinaison détermine le contenu du droit d'usage et sa portée pour chaque communauté en France et dans le monde.</w:t>
      </w:r>
    </w:p>
    <w:p w14:paraId="59772352" w14:textId="77777777" w:rsidR="008109BD" w:rsidRPr="008109BD" w:rsidRDefault="008109BD" w:rsidP="008109BD">
      <w:pPr>
        <w:pStyle w:val="Corpsdetexte"/>
        <w:rPr>
          <w:lang w:val="fr-FR"/>
        </w:rPr>
      </w:pPr>
      <w:r>
        <w:rPr>
          <w:lang w:val="fr-FR"/>
        </w:rPr>
        <w:t xml:space="preserve">Il s'agit d'un acte juridique : on y retrouve les éléments constitutifs d'un contrat (dénomination des parties, préambule, corps, clauses). On peut le concevoir comme un </w:t>
      </w:r>
      <w:r>
        <w:rPr>
          <w:b/>
          <w:bCs/>
          <w:lang w:val="fr-FR"/>
        </w:rPr>
        <w:t>méta-contrat de programmation économique et sociale</w:t>
      </w:r>
      <w:r>
        <w:rPr>
          <w:lang w:val="fr-FR"/>
        </w:rPr>
        <w:t>, destiné à s'implémenter dans des registres ou contrats distribués, des plateformes de graphes, des réseaux d'échange pair-à-pair — que ce soit sous forme d'un protocole de règles de compensation, d'un jeu d'indicateurs-clés (</w:t>
      </w:r>
      <w:r>
        <w:rPr>
          <w:i/>
          <w:iCs/>
          <w:lang w:val="fr-FR"/>
        </w:rPr>
        <w:t>key value indicators</w:t>
      </w:r>
      <w:r>
        <w:rPr>
          <w:lang w:val="fr-FR"/>
        </w:rPr>
        <w:t>) traduisant les valeurs d'une organisation, ou d'un programme exécutable — sous réserve, en toute implémentation technique, du respect de la pureté du noyau (Art. 27) et des exclusions du présent Titre.</w:t>
      </w:r>
    </w:p>
    <w:p w14:paraId="4A92F6E0" w14:textId="77777777" w:rsidR="008109BD" w:rsidRPr="008109BD" w:rsidRDefault="008109BD" w:rsidP="008109BD">
      <w:pPr>
        <w:pStyle w:val="Corpsdetexte"/>
        <w:rPr>
          <w:lang w:val="fr-FR"/>
        </w:rPr>
      </w:pPr>
      <w:r>
        <w:rPr>
          <w:lang w:val="fr-FR"/>
        </w:rPr>
        <w:t>L'ambition du contrat est de servir d'inspiration à la conception des instruments de l'économie sociale, écologique et solidaire. Il peut être utilisé directement ou servir de contrat-cadre à une multitude de contrats applicatifs. Il constitue un document ouvert, que chacun peut reprendre et adapter à ses objectifs.</w:t>
      </w:r>
    </w:p>
    <w:p w14:paraId="0315D369" w14:textId="77777777" w:rsidR="00FB6EF5" w:rsidRPr="00C46716" w:rsidRDefault="00000000">
      <w:pPr>
        <w:pStyle w:val="Titre1"/>
        <w:rPr>
          <w:lang w:val="fr-FR"/>
        </w:rPr>
      </w:pPr>
      <w:bookmarkStart w:id="27" w:name="titre-x-robustesse-et-clauses-finales"/>
      <w:bookmarkEnd w:id="20"/>
      <w:bookmarkEnd w:id="26"/>
      <w:r>
        <w:rPr>
          <w:lang w:val="fr-FR"/>
        </w:rPr>
        <w:t>Titre XI — Robustesse et clauses finales</w:t>
      </w:r>
    </w:p>
    <w:p w14:paraId="775C0310" w14:textId="77777777" w:rsidR="00FB6EF5" w:rsidRPr="00C46716" w:rsidRDefault="00000000">
      <w:pPr>
        <w:pStyle w:val="Titre2"/>
        <w:rPr>
          <w:lang w:val="fr-FR"/>
        </w:rPr>
      </w:pPr>
      <w:bookmarkStart w:id="28" w:name="X99cbcfe8dd8b8171ce372a06364842b38f6f400"/>
      <w:r>
        <w:rPr>
          <w:lang w:val="fr-FR"/>
        </w:rPr>
        <w:t>Article 54 — Déclarations et prévention de la requalification</w:t>
      </w:r>
    </w:p>
    <w:p w14:paraId="1FEE6531" w14:textId="4EB08451" w:rsidR="00FB6EF5" w:rsidRPr="00C46716" w:rsidRDefault="00000000">
      <w:pPr>
        <w:pStyle w:val="FirstParagraph"/>
        <w:rPr>
          <w:lang w:val="fr-FR"/>
        </w:rPr>
      </w:pPr>
      <w:r>
        <w:rPr>
          <w:lang w:val="fr-FR"/>
        </w:rPr>
        <w:t xml:space="preserve">Chaque Partie déclare disposer de la capacité et des pouvoirs requis et consentir librement. La commune intention des Parties (art. 1188 du Code civil) est celle exprimée au Préambule et aux Articles </w:t>
      </w:r>
      <w:r w:rsidR="00F974E0">
        <w:rPr>
          <w:lang w:val="fr-FR"/>
        </w:rPr>
        <w:t>11, 24 et 25</w:t>
      </w:r>
      <w:r>
        <w:rPr>
          <w:lang w:val="fr-FR"/>
        </w:rPr>
        <w:t xml:space="preserve"> ; en cas d’ambiguïté, le contrat s’interprète conformément à cette intention et à la règle de l’Article </w:t>
      </w:r>
      <w:r w:rsidR="00F974E0">
        <w:rPr>
          <w:lang w:val="fr-FR"/>
        </w:rPr>
        <w:t>11</w:t>
      </w:r>
      <w:r>
        <w:rPr>
          <w:lang w:val="fr-FR"/>
        </w:rPr>
        <w:t>.</w:t>
      </w:r>
    </w:p>
    <w:p w14:paraId="17ACD442" w14:textId="77777777" w:rsidR="00FB6EF5" w:rsidRPr="00C46716" w:rsidRDefault="00000000">
      <w:pPr>
        <w:pStyle w:val="Titre2"/>
        <w:rPr>
          <w:lang w:val="fr-FR"/>
        </w:rPr>
      </w:pPr>
      <w:bookmarkStart w:id="29" w:name="Xcec6f1706eafa2d5b58efcc7fa1b39446c3738c"/>
      <w:bookmarkEnd w:id="28"/>
      <w:r>
        <w:rPr>
          <w:lang w:val="fr-FR"/>
        </w:rPr>
        <w:t>Article 55 — Force et opposabilité de l’inscription</w:t>
      </w:r>
    </w:p>
    <w:p w14:paraId="5C579814" w14:textId="5517D7E1" w:rsidR="00FB6EF5" w:rsidRPr="00C46716" w:rsidRDefault="00000000">
      <w:pPr>
        <w:pStyle w:val="FirstParagraph"/>
        <w:rPr>
          <w:lang w:val="fr-FR"/>
        </w:rPr>
      </w:pPr>
      <w:r>
        <w:rPr>
          <w:lang w:val="fr-FR"/>
        </w:rPr>
        <w:t xml:space="preserve">L’inscription d’un engagement dans le graphe vaut engagement contractuel entre les Parties concernées. Le registre, tenu sur support durable, horodaté et assorti d’un procédé d’identification fiable et de garanties d’intégrité (Annexe 3), fait foi des inscriptions dans les conditions des articles 1365 et 1366 du Code civil. Cette valeur probante conditionne l’effectivité des recours </w:t>
      </w:r>
      <w:r w:rsidR="00F974E0">
        <w:rPr>
          <w:lang w:val="fr-FR"/>
        </w:rPr>
        <w:t xml:space="preserve">en inexécution </w:t>
      </w:r>
      <w:r>
        <w:rPr>
          <w:lang w:val="fr-FR"/>
        </w:rPr>
        <w:t>de l’Article 26.</w:t>
      </w:r>
    </w:p>
    <w:p w14:paraId="277228A2" w14:textId="77777777" w:rsidR="00FB6EF5" w:rsidRPr="00C46716" w:rsidRDefault="00000000">
      <w:pPr>
        <w:pStyle w:val="Titre2"/>
        <w:rPr>
          <w:lang w:val="fr-FR"/>
        </w:rPr>
      </w:pPr>
      <w:bookmarkStart w:id="30" w:name="X5b33fe0ea182a99758a3956c51e61648897a66f"/>
      <w:bookmarkEnd w:id="29"/>
      <w:r>
        <w:rPr>
          <w:lang w:val="fr-FR"/>
        </w:rPr>
        <w:t>Article 56 — Divisibilité, durée, intégralité</w:t>
      </w:r>
    </w:p>
    <w:p w14:paraId="618DA1DF" w14:textId="77777777" w:rsidR="00FB6EF5" w:rsidRPr="00C46716" w:rsidRDefault="00000000">
      <w:pPr>
        <w:pStyle w:val="FirstParagraph"/>
        <w:rPr>
          <w:lang w:val="fr-FR"/>
        </w:rPr>
      </w:pPr>
      <w:r>
        <w:rPr>
          <w:lang w:val="fr-FR"/>
        </w:rPr>
        <w:t>Toute stipulation jugée nulle ou inopposable est réputée non écrite sans affecter les autres, les Parties s’engageant à lui substituer de bonne foi une stipulation d’effet équivalent. Le contrat prend effet à sa signature pour [•], renouvelable, modifiable par avenant écrit dans les limites de l’Article 18. Il exprime l’intégralité de l’accord sur son objet.</w:t>
      </w:r>
    </w:p>
    <w:p w14:paraId="1187CBBF" w14:textId="77777777" w:rsidR="00FB6EF5" w:rsidRPr="00C46716" w:rsidRDefault="00000000">
      <w:pPr>
        <w:pStyle w:val="Titre2"/>
        <w:rPr>
          <w:lang w:val="fr-FR"/>
        </w:rPr>
      </w:pPr>
      <w:bookmarkStart w:id="31" w:name="X183671f16fdf98f5549b4b50a42c01ee0c6952e"/>
      <w:bookmarkEnd w:id="30"/>
      <w:r>
        <w:rPr>
          <w:lang w:val="fr-FR"/>
        </w:rPr>
        <w:t>Article 57 — Réserve de conformité (impérative)</w:t>
      </w:r>
    </w:p>
    <w:p w14:paraId="21A008CC" w14:textId="77777777" w:rsidR="00FB6EF5" w:rsidRDefault="00000000">
      <w:pPr>
        <w:pStyle w:val="FirstParagraph"/>
      </w:pPr>
      <w:r>
        <w:rPr>
          <w:b/>
          <w:bCs/>
          <w:lang w:val="fr-FR"/>
        </w:rPr>
        <w:t>Le dispositif est conçu pour demeurer hors du champ des services de paiement réglementés (CMF, art. L. 521-1 et s.), au moyen de la règle de séparation de l’Article 27. Cette frontière dépendant de détails d’exécution, le présent contrat doit être validé par un avocat en droit bancaire et financier, et le cas échéant faire l’objet d’une demande de position auprès de l’autorité compétente, avant tout démarrage.</w:t>
      </w:r>
      <w:r>
        <w:rPr>
          <w:lang w:val="fr-FR"/>
        </w:rPr>
        <w:t xml:space="preserve"> Le cadre des monnaies locales complémentaires (loi n° 2014-856 du 31 juillet 2014 ; CMF art. L. 311-5 et L. 311-6) est examiné comme base alternative. Lorsque les échanges relèvent de l’entraide non professionnelle, la tolérance applicable aux systèmes d’échange local s’applique sous réserve de ne pas se substituer à une activité professionnelle ou salariée ; l’Organe de Gouvernance fixe à ce titre un plafond d’activité non professionnelle. </w:t>
      </w:r>
      <w:r>
        <w:t>Le présent document ne constitue pas un avis juridique.</w:t>
      </w:r>
    </w:p>
    <w:p w14:paraId="137E4C9C" w14:textId="77777777" w:rsidR="00FB6EF5" w:rsidRDefault="00000000">
      <w:pPr>
        <w:pStyle w:val="Titre1"/>
      </w:pPr>
      <w:bookmarkStart w:id="32" w:name="annexes"/>
      <w:bookmarkEnd w:id="27"/>
      <w:bookmarkEnd w:id="31"/>
      <w:r>
        <w:t>Annexes</w:t>
      </w:r>
    </w:p>
    <w:p w14:paraId="6F4DAF9F" w14:textId="77777777" w:rsidR="00FB6EF5" w:rsidRPr="00C46716" w:rsidRDefault="00000000">
      <w:pPr>
        <w:numPr>
          <w:ilvl w:val="0"/>
          <w:numId w:val="2"/>
        </w:numPr>
        <w:rPr>
          <w:lang w:val="fr-FR"/>
        </w:rPr>
      </w:pPr>
      <w:r>
        <w:rPr>
          <w:lang w:val="fr-FR"/>
        </w:rPr>
        <w:t>Annexe 1 — Description du Capital d’Ancrage (nature, teneur, montant K).</w:t>
      </w:r>
    </w:p>
    <w:p w14:paraId="12575463" w14:textId="77777777" w:rsidR="00FB6EF5" w:rsidRPr="00C46716" w:rsidRDefault="00000000">
      <w:pPr>
        <w:numPr>
          <w:ilvl w:val="0"/>
          <w:numId w:val="2"/>
        </w:numPr>
        <w:rPr>
          <w:lang w:val="fr-FR"/>
        </w:rPr>
      </w:pPr>
      <w:r>
        <w:rPr>
          <w:lang w:val="fr-FR"/>
        </w:rPr>
        <w:t>Annexe 2 — Modalités d’immobilisation, de séquestre et de préfinancement.</w:t>
      </w:r>
    </w:p>
    <w:p w14:paraId="3B4D038D" w14:textId="77777777" w:rsidR="00FB6EF5" w:rsidRPr="00C46716" w:rsidRDefault="00000000">
      <w:pPr>
        <w:numPr>
          <w:ilvl w:val="0"/>
          <w:numId w:val="2"/>
        </w:numPr>
        <w:rPr>
          <w:lang w:val="fr-FR"/>
        </w:rPr>
      </w:pPr>
      <w:r>
        <w:rPr>
          <w:lang w:val="fr-FR"/>
        </w:rPr>
        <w:t>Annexe 3 — Tenue du graphe, horodatage, identification, intégrité, valeur probante.</w:t>
      </w:r>
    </w:p>
    <w:p w14:paraId="148E0ACC" w14:textId="77777777" w:rsidR="00FB6EF5" w:rsidRPr="00C46716" w:rsidRDefault="00000000">
      <w:pPr>
        <w:numPr>
          <w:ilvl w:val="0"/>
          <w:numId w:val="2"/>
        </w:numPr>
        <w:rPr>
          <w:lang w:val="fr-FR"/>
        </w:rPr>
      </w:pPr>
      <w:r>
        <w:rPr>
          <w:lang w:val="fr-FR"/>
        </w:rPr>
        <w:t xml:space="preserve">Annexe 4 — Paramètres : fourchettes </w:t>
      </w:r>
      <w:r>
        <w:t>δ</w:t>
      </w:r>
      <w:r>
        <w:rPr>
          <w:lang w:val="fr-FR"/>
        </w:rPr>
        <w:t>, plafond ∑</w:t>
      </w:r>
      <w:r>
        <w:t>δ</w:t>
      </w:r>
      <w:r>
        <w:rPr>
          <w:lang w:val="fr-FR"/>
        </w:rPr>
        <w:t xml:space="preserve"> ≤ K, règle de Welfare Optimisation, plafond d’activité non professionnelle.</w:t>
      </w:r>
    </w:p>
    <w:p w14:paraId="2840EE08" w14:textId="77777777" w:rsidR="00FB6EF5" w:rsidRPr="00C46716" w:rsidRDefault="00000000">
      <w:pPr>
        <w:numPr>
          <w:ilvl w:val="0"/>
          <w:numId w:val="2"/>
        </w:numPr>
        <w:rPr>
          <w:lang w:val="fr-FR"/>
        </w:rPr>
      </w:pPr>
      <w:r>
        <w:rPr>
          <w:lang w:val="fr-FR"/>
        </w:rPr>
        <w:t>Annexe 5 — Méthodologies d’évaluation des bénéfices ODD (ICAT, IIED, SEEA-EA).</w:t>
      </w:r>
    </w:p>
    <w:p w14:paraId="5DF86C0A" w14:textId="77777777" w:rsidR="00FB6EF5" w:rsidRPr="00C46716" w:rsidRDefault="00000000">
      <w:pPr>
        <w:numPr>
          <w:ilvl w:val="0"/>
          <w:numId w:val="2"/>
        </w:numPr>
        <w:rPr>
          <w:lang w:val="fr-FR"/>
        </w:rPr>
      </w:pPr>
      <w:r>
        <w:rPr>
          <w:lang w:val="fr-FR"/>
        </w:rPr>
        <w:t>Annexe 6 — Règlement intérieur de l’Organe de Gouvernance : composition, mandats, procédures de décision, d’approbation et de révocation de ses membres.</w:t>
      </w:r>
    </w:p>
    <w:p w14:paraId="1E55B23F" w14:textId="77777777" w:rsidR="00FB6EF5" w:rsidRPr="00C46716" w:rsidRDefault="00000000">
      <w:pPr>
        <w:pStyle w:val="Titre1"/>
        <w:rPr>
          <w:lang w:val="fr-FR"/>
        </w:rPr>
      </w:pPr>
      <w:bookmarkStart w:id="33" w:name="signatures"/>
      <w:bookmarkEnd w:id="32"/>
      <w:r>
        <w:rPr>
          <w:lang w:val="fr-FR"/>
        </w:rPr>
        <w:t>Signatures</w:t>
      </w:r>
    </w:p>
    <w:p w14:paraId="58A3E2F7" w14:textId="77777777" w:rsidR="00FB6EF5" w:rsidRPr="00C46716" w:rsidRDefault="00000000">
      <w:pPr>
        <w:pStyle w:val="FirstParagraph"/>
        <w:rPr>
          <w:lang w:val="fr-FR"/>
        </w:rPr>
      </w:pPr>
      <w:r>
        <w:rPr>
          <w:lang w:val="fr-FR"/>
        </w:rPr>
        <w:t>Fait à [•], le [•], en [•] exemplaires.</w:t>
      </w:r>
    </w:p>
    <w:p w14:paraId="224713E5" w14:textId="77777777" w:rsidR="00FB6EF5" w:rsidRPr="00C46716" w:rsidRDefault="00000000">
      <w:pPr>
        <w:pStyle w:val="Corpsdetexte"/>
        <w:rPr>
          <w:lang w:val="fr-FR"/>
        </w:rPr>
      </w:pPr>
      <w:r>
        <w:rPr>
          <w:b/>
          <w:bCs/>
          <w:lang w:val="fr-FR"/>
        </w:rPr>
        <w:t>Le Propriétaire</w:t>
      </w:r>
      <w:r>
        <w:rPr>
          <w:lang w:val="fr-FR"/>
        </w:rPr>
        <w:t xml:space="preserve"> </w:t>
      </w:r>
      <w:r>
        <w:rPr>
          <w:b/>
          <w:bCs/>
          <w:lang w:val="fr-FR"/>
        </w:rPr>
        <w:t>Pour les Membres — l’Organe de Gouvernance</w:t>
      </w:r>
    </w:p>
    <w:p w14:paraId="1BD2FCD4" w14:textId="77777777" w:rsidR="00FB6EF5" w:rsidRDefault="00000000">
      <w:pPr>
        <w:pStyle w:val="Corpsdetexte"/>
      </w:pPr>
      <w:r>
        <w:t>______________________ ______________________</w:t>
      </w:r>
      <w:bookmarkEnd w:id="33"/>
    </w:p>
    <w:sectPr w:rsidR="00FB6EF5">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E4FAC" w14:textId="77777777" w:rsidR="00305DFF" w:rsidRDefault="00305DFF">
      <w:pPr>
        <w:spacing w:after="0"/>
      </w:pPr>
      <w:r>
        <w:separator/>
      </w:r>
    </w:p>
  </w:endnote>
  <w:endnote w:type="continuationSeparator" w:id="0">
    <w:p w14:paraId="673E7BA2" w14:textId="77777777" w:rsidR="00305DFF" w:rsidRDefault="00305D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BD513" w14:textId="77777777" w:rsidR="00305DFF" w:rsidRDefault="00305DFF">
      <w:r>
        <w:separator/>
      </w:r>
    </w:p>
  </w:footnote>
  <w:footnote w:type="continuationSeparator" w:id="0">
    <w:p w14:paraId="3ADB30A9" w14:textId="77777777" w:rsidR="00305DFF" w:rsidRDefault="00305D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8F8E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2A89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E101197"/>
    <w:multiLevelType w:val="multilevel"/>
    <w:tmpl w:val="E0B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381121">
    <w:abstractNumId w:val="0"/>
  </w:num>
  <w:num w:numId="2" w16cid:durableId="1428388298">
    <w:abstractNumId w:val="1"/>
  </w:num>
  <w:num w:numId="3" w16cid:durableId="2040813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F5"/>
    <w:rsid w:val="00084400"/>
    <w:rsid w:val="0009212E"/>
    <w:rsid w:val="000C2416"/>
    <w:rsid w:val="000E0B0F"/>
    <w:rsid w:val="00174B97"/>
    <w:rsid w:val="001756A4"/>
    <w:rsid w:val="0019365D"/>
    <w:rsid w:val="001D3D36"/>
    <w:rsid w:val="001E35F8"/>
    <w:rsid w:val="001F6016"/>
    <w:rsid w:val="00211CC6"/>
    <w:rsid w:val="0024587B"/>
    <w:rsid w:val="002F20D8"/>
    <w:rsid w:val="00305DFF"/>
    <w:rsid w:val="00330B85"/>
    <w:rsid w:val="00334132"/>
    <w:rsid w:val="00361D00"/>
    <w:rsid w:val="0036216A"/>
    <w:rsid w:val="0039502D"/>
    <w:rsid w:val="003B39F9"/>
    <w:rsid w:val="003D38C7"/>
    <w:rsid w:val="003D548C"/>
    <w:rsid w:val="003E67EE"/>
    <w:rsid w:val="00401100"/>
    <w:rsid w:val="00407954"/>
    <w:rsid w:val="00416D3C"/>
    <w:rsid w:val="00432E8D"/>
    <w:rsid w:val="0048210B"/>
    <w:rsid w:val="005001A0"/>
    <w:rsid w:val="00523595"/>
    <w:rsid w:val="005D4A32"/>
    <w:rsid w:val="00634AB4"/>
    <w:rsid w:val="00661B3D"/>
    <w:rsid w:val="006C5856"/>
    <w:rsid w:val="007059B7"/>
    <w:rsid w:val="00710933"/>
    <w:rsid w:val="00735D4C"/>
    <w:rsid w:val="00737A36"/>
    <w:rsid w:val="00745F91"/>
    <w:rsid w:val="00761377"/>
    <w:rsid w:val="007B5B0E"/>
    <w:rsid w:val="007F13A5"/>
    <w:rsid w:val="007F6E8E"/>
    <w:rsid w:val="008109BD"/>
    <w:rsid w:val="00821434"/>
    <w:rsid w:val="00892128"/>
    <w:rsid w:val="008A49AE"/>
    <w:rsid w:val="00911EBB"/>
    <w:rsid w:val="00951759"/>
    <w:rsid w:val="00970B6F"/>
    <w:rsid w:val="00973FC8"/>
    <w:rsid w:val="00A154ED"/>
    <w:rsid w:val="00A17F36"/>
    <w:rsid w:val="00A33D5E"/>
    <w:rsid w:val="00A532A8"/>
    <w:rsid w:val="00A73B2E"/>
    <w:rsid w:val="00AE3935"/>
    <w:rsid w:val="00B35DAF"/>
    <w:rsid w:val="00B631BD"/>
    <w:rsid w:val="00B7540A"/>
    <w:rsid w:val="00B840C4"/>
    <w:rsid w:val="00BB42F3"/>
    <w:rsid w:val="00BC10FA"/>
    <w:rsid w:val="00BE1AD0"/>
    <w:rsid w:val="00C07156"/>
    <w:rsid w:val="00C46716"/>
    <w:rsid w:val="00D22B69"/>
    <w:rsid w:val="00D74966"/>
    <w:rsid w:val="00DB179E"/>
    <w:rsid w:val="00E318E7"/>
    <w:rsid w:val="00E50DF8"/>
    <w:rsid w:val="00E746D4"/>
    <w:rsid w:val="00E95B2B"/>
    <w:rsid w:val="00ED7D65"/>
    <w:rsid w:val="00EF27F1"/>
    <w:rsid w:val="00F2277E"/>
    <w:rsid w:val="00F52B8A"/>
    <w:rsid w:val="00F70B21"/>
    <w:rsid w:val="00F974E0"/>
    <w:rsid w:val="00FB6EF5"/>
    <w:rsid w:val="00FC5B0B"/>
    <w:rsid w:val="00FE65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F5E7"/>
  <w15:docId w15:val="{AA53F065-9BBD-4656-9497-AA3E8EC7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1205">
      <w:bodyDiv w:val="1"/>
      <w:marLeft w:val="0"/>
      <w:marRight w:val="0"/>
      <w:marTop w:val="0"/>
      <w:marBottom w:val="0"/>
      <w:divBdr>
        <w:top w:val="none" w:sz="0" w:space="0" w:color="auto"/>
        <w:left w:val="none" w:sz="0" w:space="0" w:color="auto"/>
        <w:bottom w:val="none" w:sz="0" w:space="0" w:color="auto"/>
        <w:right w:val="none" w:sz="0" w:space="0" w:color="auto"/>
      </w:divBdr>
      <w:divsChild>
        <w:div w:id="16561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47966">
      <w:bodyDiv w:val="1"/>
      <w:marLeft w:val="0"/>
      <w:marRight w:val="0"/>
      <w:marTop w:val="0"/>
      <w:marBottom w:val="0"/>
      <w:divBdr>
        <w:top w:val="none" w:sz="0" w:space="0" w:color="auto"/>
        <w:left w:val="none" w:sz="0" w:space="0" w:color="auto"/>
        <w:bottom w:val="none" w:sz="0" w:space="0" w:color="auto"/>
        <w:right w:val="none" w:sz="0" w:space="0" w:color="auto"/>
      </w:divBdr>
    </w:div>
    <w:div w:id="185757689">
      <w:bodyDiv w:val="1"/>
      <w:marLeft w:val="0"/>
      <w:marRight w:val="0"/>
      <w:marTop w:val="0"/>
      <w:marBottom w:val="0"/>
      <w:divBdr>
        <w:top w:val="none" w:sz="0" w:space="0" w:color="auto"/>
        <w:left w:val="none" w:sz="0" w:space="0" w:color="auto"/>
        <w:bottom w:val="none" w:sz="0" w:space="0" w:color="auto"/>
        <w:right w:val="none" w:sz="0" w:space="0" w:color="auto"/>
      </w:divBdr>
    </w:div>
    <w:div w:id="260838427">
      <w:bodyDiv w:val="1"/>
      <w:marLeft w:val="0"/>
      <w:marRight w:val="0"/>
      <w:marTop w:val="0"/>
      <w:marBottom w:val="0"/>
      <w:divBdr>
        <w:top w:val="none" w:sz="0" w:space="0" w:color="auto"/>
        <w:left w:val="none" w:sz="0" w:space="0" w:color="auto"/>
        <w:bottom w:val="none" w:sz="0" w:space="0" w:color="auto"/>
        <w:right w:val="none" w:sz="0" w:space="0" w:color="auto"/>
      </w:divBdr>
    </w:div>
    <w:div w:id="378483516">
      <w:bodyDiv w:val="1"/>
      <w:marLeft w:val="0"/>
      <w:marRight w:val="0"/>
      <w:marTop w:val="0"/>
      <w:marBottom w:val="0"/>
      <w:divBdr>
        <w:top w:val="none" w:sz="0" w:space="0" w:color="auto"/>
        <w:left w:val="none" w:sz="0" w:space="0" w:color="auto"/>
        <w:bottom w:val="none" w:sz="0" w:space="0" w:color="auto"/>
        <w:right w:val="none" w:sz="0" w:space="0" w:color="auto"/>
      </w:divBdr>
      <w:divsChild>
        <w:div w:id="2130775275">
          <w:marLeft w:val="0"/>
          <w:marRight w:val="0"/>
          <w:marTop w:val="0"/>
          <w:marBottom w:val="0"/>
          <w:divBdr>
            <w:top w:val="none" w:sz="0" w:space="0" w:color="auto"/>
            <w:left w:val="none" w:sz="0" w:space="0" w:color="auto"/>
            <w:bottom w:val="none" w:sz="0" w:space="0" w:color="auto"/>
            <w:right w:val="none" w:sz="0" w:space="0" w:color="auto"/>
          </w:divBdr>
          <w:divsChild>
            <w:div w:id="15886884">
              <w:marLeft w:val="0"/>
              <w:marRight w:val="0"/>
              <w:marTop w:val="0"/>
              <w:marBottom w:val="0"/>
              <w:divBdr>
                <w:top w:val="none" w:sz="0" w:space="0" w:color="auto"/>
                <w:left w:val="none" w:sz="0" w:space="0" w:color="auto"/>
                <w:bottom w:val="none" w:sz="0" w:space="0" w:color="auto"/>
                <w:right w:val="none" w:sz="0" w:space="0" w:color="auto"/>
              </w:divBdr>
              <w:divsChild>
                <w:div w:id="1084837713">
                  <w:marLeft w:val="0"/>
                  <w:marRight w:val="0"/>
                  <w:marTop w:val="0"/>
                  <w:marBottom w:val="0"/>
                  <w:divBdr>
                    <w:top w:val="none" w:sz="0" w:space="0" w:color="auto"/>
                    <w:left w:val="none" w:sz="0" w:space="0" w:color="auto"/>
                    <w:bottom w:val="none" w:sz="0" w:space="0" w:color="auto"/>
                    <w:right w:val="none" w:sz="0" w:space="0" w:color="auto"/>
                  </w:divBdr>
                  <w:divsChild>
                    <w:div w:id="519705640">
                      <w:marLeft w:val="0"/>
                      <w:marRight w:val="0"/>
                      <w:marTop w:val="0"/>
                      <w:marBottom w:val="0"/>
                      <w:divBdr>
                        <w:top w:val="none" w:sz="0" w:space="0" w:color="auto"/>
                        <w:left w:val="none" w:sz="0" w:space="0" w:color="auto"/>
                        <w:bottom w:val="none" w:sz="0" w:space="0" w:color="auto"/>
                        <w:right w:val="none" w:sz="0" w:space="0" w:color="auto"/>
                      </w:divBdr>
                      <w:divsChild>
                        <w:div w:id="547306467">
                          <w:marLeft w:val="0"/>
                          <w:marRight w:val="0"/>
                          <w:marTop w:val="0"/>
                          <w:marBottom w:val="0"/>
                          <w:divBdr>
                            <w:top w:val="none" w:sz="0" w:space="0" w:color="auto"/>
                            <w:left w:val="none" w:sz="0" w:space="0" w:color="auto"/>
                            <w:bottom w:val="none" w:sz="0" w:space="0" w:color="auto"/>
                            <w:right w:val="none" w:sz="0" w:space="0" w:color="auto"/>
                          </w:divBdr>
                          <w:divsChild>
                            <w:div w:id="1803038654">
                              <w:marLeft w:val="0"/>
                              <w:marRight w:val="0"/>
                              <w:marTop w:val="0"/>
                              <w:marBottom w:val="0"/>
                              <w:divBdr>
                                <w:top w:val="none" w:sz="0" w:space="0" w:color="auto"/>
                                <w:left w:val="none" w:sz="0" w:space="0" w:color="auto"/>
                                <w:bottom w:val="none" w:sz="0" w:space="0" w:color="auto"/>
                                <w:right w:val="none" w:sz="0" w:space="0" w:color="auto"/>
                              </w:divBdr>
                              <w:divsChild>
                                <w:div w:id="699208545">
                                  <w:marLeft w:val="0"/>
                                  <w:marRight w:val="0"/>
                                  <w:marTop w:val="0"/>
                                  <w:marBottom w:val="0"/>
                                  <w:divBdr>
                                    <w:top w:val="none" w:sz="0" w:space="0" w:color="auto"/>
                                    <w:left w:val="none" w:sz="0" w:space="0" w:color="auto"/>
                                    <w:bottom w:val="none" w:sz="0" w:space="0" w:color="auto"/>
                                    <w:right w:val="none" w:sz="0" w:space="0" w:color="auto"/>
                                  </w:divBdr>
                                  <w:divsChild>
                                    <w:div w:id="1758671316">
                                      <w:marLeft w:val="0"/>
                                      <w:marRight w:val="0"/>
                                      <w:marTop w:val="0"/>
                                      <w:marBottom w:val="0"/>
                                      <w:divBdr>
                                        <w:top w:val="none" w:sz="0" w:space="0" w:color="auto"/>
                                        <w:left w:val="none" w:sz="0" w:space="0" w:color="auto"/>
                                        <w:bottom w:val="none" w:sz="0" w:space="0" w:color="auto"/>
                                        <w:right w:val="none" w:sz="0" w:space="0" w:color="auto"/>
                                      </w:divBdr>
                                      <w:divsChild>
                                        <w:div w:id="1245186058">
                                          <w:marLeft w:val="0"/>
                                          <w:marRight w:val="0"/>
                                          <w:marTop w:val="0"/>
                                          <w:marBottom w:val="0"/>
                                          <w:divBdr>
                                            <w:top w:val="none" w:sz="0" w:space="0" w:color="auto"/>
                                            <w:left w:val="none" w:sz="0" w:space="0" w:color="auto"/>
                                            <w:bottom w:val="none" w:sz="0" w:space="0" w:color="auto"/>
                                            <w:right w:val="none" w:sz="0" w:space="0" w:color="auto"/>
                                          </w:divBdr>
                                          <w:divsChild>
                                            <w:div w:id="14720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3296105">
          <w:marLeft w:val="0"/>
          <w:marRight w:val="0"/>
          <w:marTop w:val="0"/>
          <w:marBottom w:val="0"/>
          <w:divBdr>
            <w:top w:val="none" w:sz="0" w:space="0" w:color="auto"/>
            <w:left w:val="none" w:sz="0" w:space="0" w:color="auto"/>
            <w:bottom w:val="none" w:sz="0" w:space="0" w:color="auto"/>
            <w:right w:val="none" w:sz="0" w:space="0" w:color="auto"/>
          </w:divBdr>
          <w:divsChild>
            <w:div w:id="1106851424">
              <w:marLeft w:val="0"/>
              <w:marRight w:val="0"/>
              <w:marTop w:val="0"/>
              <w:marBottom w:val="0"/>
              <w:divBdr>
                <w:top w:val="none" w:sz="0" w:space="0" w:color="auto"/>
                <w:left w:val="none" w:sz="0" w:space="0" w:color="auto"/>
                <w:bottom w:val="none" w:sz="0" w:space="0" w:color="auto"/>
                <w:right w:val="none" w:sz="0" w:space="0" w:color="auto"/>
              </w:divBdr>
              <w:divsChild>
                <w:div w:id="1889143330">
                  <w:marLeft w:val="0"/>
                  <w:marRight w:val="0"/>
                  <w:marTop w:val="0"/>
                  <w:marBottom w:val="0"/>
                  <w:divBdr>
                    <w:top w:val="none" w:sz="0" w:space="0" w:color="auto"/>
                    <w:left w:val="none" w:sz="0" w:space="0" w:color="auto"/>
                    <w:bottom w:val="none" w:sz="0" w:space="0" w:color="auto"/>
                    <w:right w:val="none" w:sz="0" w:space="0" w:color="auto"/>
                  </w:divBdr>
                  <w:divsChild>
                    <w:div w:id="1972709388">
                      <w:marLeft w:val="0"/>
                      <w:marRight w:val="0"/>
                      <w:marTop w:val="0"/>
                      <w:marBottom w:val="0"/>
                      <w:divBdr>
                        <w:top w:val="none" w:sz="0" w:space="0" w:color="auto"/>
                        <w:left w:val="none" w:sz="0" w:space="0" w:color="auto"/>
                        <w:bottom w:val="none" w:sz="0" w:space="0" w:color="auto"/>
                        <w:right w:val="none" w:sz="0" w:space="0" w:color="auto"/>
                      </w:divBdr>
                      <w:divsChild>
                        <w:div w:id="290091763">
                          <w:marLeft w:val="0"/>
                          <w:marRight w:val="0"/>
                          <w:marTop w:val="0"/>
                          <w:marBottom w:val="0"/>
                          <w:divBdr>
                            <w:top w:val="none" w:sz="0" w:space="0" w:color="auto"/>
                            <w:left w:val="none" w:sz="0" w:space="0" w:color="auto"/>
                            <w:bottom w:val="none" w:sz="0" w:space="0" w:color="auto"/>
                            <w:right w:val="none" w:sz="0" w:space="0" w:color="auto"/>
                          </w:divBdr>
                          <w:divsChild>
                            <w:div w:id="2100641243">
                              <w:marLeft w:val="0"/>
                              <w:marRight w:val="0"/>
                              <w:marTop w:val="0"/>
                              <w:marBottom w:val="0"/>
                              <w:divBdr>
                                <w:top w:val="none" w:sz="0" w:space="0" w:color="auto"/>
                                <w:left w:val="none" w:sz="0" w:space="0" w:color="auto"/>
                                <w:bottom w:val="none" w:sz="0" w:space="0" w:color="auto"/>
                                <w:right w:val="none" w:sz="0" w:space="0" w:color="auto"/>
                              </w:divBdr>
                              <w:divsChild>
                                <w:div w:id="325401420">
                                  <w:marLeft w:val="0"/>
                                  <w:marRight w:val="0"/>
                                  <w:marTop w:val="0"/>
                                  <w:marBottom w:val="0"/>
                                  <w:divBdr>
                                    <w:top w:val="none" w:sz="0" w:space="0" w:color="auto"/>
                                    <w:left w:val="none" w:sz="0" w:space="0" w:color="auto"/>
                                    <w:bottom w:val="none" w:sz="0" w:space="0" w:color="auto"/>
                                    <w:right w:val="none" w:sz="0" w:space="0" w:color="auto"/>
                                  </w:divBdr>
                                  <w:divsChild>
                                    <w:div w:id="387263528">
                                      <w:marLeft w:val="0"/>
                                      <w:marRight w:val="0"/>
                                      <w:marTop w:val="0"/>
                                      <w:marBottom w:val="0"/>
                                      <w:divBdr>
                                        <w:top w:val="none" w:sz="0" w:space="0" w:color="auto"/>
                                        <w:left w:val="none" w:sz="0" w:space="0" w:color="auto"/>
                                        <w:bottom w:val="none" w:sz="0" w:space="0" w:color="auto"/>
                                        <w:right w:val="none" w:sz="0" w:space="0" w:color="auto"/>
                                      </w:divBdr>
                                      <w:divsChild>
                                        <w:div w:id="15727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646365">
          <w:marLeft w:val="0"/>
          <w:marRight w:val="0"/>
          <w:marTop w:val="0"/>
          <w:marBottom w:val="0"/>
          <w:divBdr>
            <w:top w:val="none" w:sz="0" w:space="0" w:color="auto"/>
            <w:left w:val="none" w:sz="0" w:space="0" w:color="auto"/>
            <w:bottom w:val="none" w:sz="0" w:space="0" w:color="auto"/>
            <w:right w:val="none" w:sz="0" w:space="0" w:color="auto"/>
          </w:divBdr>
          <w:divsChild>
            <w:div w:id="1238444704">
              <w:marLeft w:val="0"/>
              <w:marRight w:val="0"/>
              <w:marTop w:val="0"/>
              <w:marBottom w:val="0"/>
              <w:divBdr>
                <w:top w:val="none" w:sz="0" w:space="0" w:color="auto"/>
                <w:left w:val="none" w:sz="0" w:space="0" w:color="auto"/>
                <w:bottom w:val="none" w:sz="0" w:space="0" w:color="auto"/>
                <w:right w:val="none" w:sz="0" w:space="0" w:color="auto"/>
              </w:divBdr>
              <w:divsChild>
                <w:div w:id="135337357">
                  <w:marLeft w:val="0"/>
                  <w:marRight w:val="0"/>
                  <w:marTop w:val="0"/>
                  <w:marBottom w:val="0"/>
                  <w:divBdr>
                    <w:top w:val="none" w:sz="0" w:space="0" w:color="auto"/>
                    <w:left w:val="none" w:sz="0" w:space="0" w:color="auto"/>
                    <w:bottom w:val="none" w:sz="0" w:space="0" w:color="auto"/>
                    <w:right w:val="none" w:sz="0" w:space="0" w:color="auto"/>
                  </w:divBdr>
                  <w:divsChild>
                    <w:div w:id="1140994702">
                      <w:marLeft w:val="0"/>
                      <w:marRight w:val="0"/>
                      <w:marTop w:val="0"/>
                      <w:marBottom w:val="0"/>
                      <w:divBdr>
                        <w:top w:val="none" w:sz="0" w:space="0" w:color="auto"/>
                        <w:left w:val="none" w:sz="0" w:space="0" w:color="auto"/>
                        <w:bottom w:val="none" w:sz="0" w:space="0" w:color="auto"/>
                        <w:right w:val="none" w:sz="0" w:space="0" w:color="auto"/>
                      </w:divBdr>
                      <w:divsChild>
                        <w:div w:id="1488397713">
                          <w:marLeft w:val="0"/>
                          <w:marRight w:val="0"/>
                          <w:marTop w:val="0"/>
                          <w:marBottom w:val="0"/>
                          <w:divBdr>
                            <w:top w:val="none" w:sz="0" w:space="0" w:color="auto"/>
                            <w:left w:val="none" w:sz="0" w:space="0" w:color="auto"/>
                            <w:bottom w:val="none" w:sz="0" w:space="0" w:color="auto"/>
                            <w:right w:val="none" w:sz="0" w:space="0" w:color="auto"/>
                          </w:divBdr>
                          <w:divsChild>
                            <w:div w:id="730537575">
                              <w:marLeft w:val="0"/>
                              <w:marRight w:val="0"/>
                              <w:marTop w:val="0"/>
                              <w:marBottom w:val="0"/>
                              <w:divBdr>
                                <w:top w:val="none" w:sz="0" w:space="0" w:color="auto"/>
                                <w:left w:val="none" w:sz="0" w:space="0" w:color="auto"/>
                                <w:bottom w:val="none" w:sz="0" w:space="0" w:color="auto"/>
                                <w:right w:val="none" w:sz="0" w:space="0" w:color="auto"/>
                              </w:divBdr>
                              <w:divsChild>
                                <w:div w:id="1898710755">
                                  <w:marLeft w:val="0"/>
                                  <w:marRight w:val="0"/>
                                  <w:marTop w:val="0"/>
                                  <w:marBottom w:val="0"/>
                                  <w:divBdr>
                                    <w:top w:val="none" w:sz="0" w:space="0" w:color="auto"/>
                                    <w:left w:val="none" w:sz="0" w:space="0" w:color="auto"/>
                                    <w:bottom w:val="none" w:sz="0" w:space="0" w:color="auto"/>
                                    <w:right w:val="none" w:sz="0" w:space="0" w:color="auto"/>
                                  </w:divBdr>
                                  <w:divsChild>
                                    <w:div w:id="512115596">
                                      <w:marLeft w:val="0"/>
                                      <w:marRight w:val="0"/>
                                      <w:marTop w:val="0"/>
                                      <w:marBottom w:val="0"/>
                                      <w:divBdr>
                                        <w:top w:val="none" w:sz="0" w:space="0" w:color="auto"/>
                                        <w:left w:val="none" w:sz="0" w:space="0" w:color="auto"/>
                                        <w:bottom w:val="none" w:sz="0" w:space="0" w:color="auto"/>
                                        <w:right w:val="none" w:sz="0" w:space="0" w:color="auto"/>
                                      </w:divBdr>
                                      <w:divsChild>
                                        <w:div w:id="1472095099">
                                          <w:marLeft w:val="0"/>
                                          <w:marRight w:val="0"/>
                                          <w:marTop w:val="0"/>
                                          <w:marBottom w:val="0"/>
                                          <w:divBdr>
                                            <w:top w:val="none" w:sz="0" w:space="0" w:color="auto"/>
                                            <w:left w:val="none" w:sz="0" w:space="0" w:color="auto"/>
                                            <w:bottom w:val="none" w:sz="0" w:space="0" w:color="auto"/>
                                            <w:right w:val="none" w:sz="0" w:space="0" w:color="auto"/>
                                          </w:divBdr>
                                          <w:divsChild>
                                            <w:div w:id="12747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205718">
          <w:marLeft w:val="0"/>
          <w:marRight w:val="0"/>
          <w:marTop w:val="0"/>
          <w:marBottom w:val="0"/>
          <w:divBdr>
            <w:top w:val="none" w:sz="0" w:space="0" w:color="auto"/>
            <w:left w:val="none" w:sz="0" w:space="0" w:color="auto"/>
            <w:bottom w:val="none" w:sz="0" w:space="0" w:color="auto"/>
            <w:right w:val="none" w:sz="0" w:space="0" w:color="auto"/>
          </w:divBdr>
          <w:divsChild>
            <w:div w:id="751202607">
              <w:marLeft w:val="0"/>
              <w:marRight w:val="0"/>
              <w:marTop w:val="0"/>
              <w:marBottom w:val="0"/>
              <w:divBdr>
                <w:top w:val="none" w:sz="0" w:space="0" w:color="auto"/>
                <w:left w:val="none" w:sz="0" w:space="0" w:color="auto"/>
                <w:bottom w:val="none" w:sz="0" w:space="0" w:color="auto"/>
                <w:right w:val="none" w:sz="0" w:space="0" w:color="auto"/>
              </w:divBdr>
              <w:divsChild>
                <w:div w:id="22294849">
                  <w:marLeft w:val="0"/>
                  <w:marRight w:val="0"/>
                  <w:marTop w:val="0"/>
                  <w:marBottom w:val="0"/>
                  <w:divBdr>
                    <w:top w:val="none" w:sz="0" w:space="0" w:color="auto"/>
                    <w:left w:val="none" w:sz="0" w:space="0" w:color="auto"/>
                    <w:bottom w:val="none" w:sz="0" w:space="0" w:color="auto"/>
                    <w:right w:val="none" w:sz="0" w:space="0" w:color="auto"/>
                  </w:divBdr>
                  <w:divsChild>
                    <w:div w:id="859196898">
                      <w:marLeft w:val="0"/>
                      <w:marRight w:val="0"/>
                      <w:marTop w:val="0"/>
                      <w:marBottom w:val="0"/>
                      <w:divBdr>
                        <w:top w:val="none" w:sz="0" w:space="0" w:color="auto"/>
                        <w:left w:val="none" w:sz="0" w:space="0" w:color="auto"/>
                        <w:bottom w:val="none" w:sz="0" w:space="0" w:color="auto"/>
                        <w:right w:val="none" w:sz="0" w:space="0" w:color="auto"/>
                      </w:divBdr>
                      <w:divsChild>
                        <w:div w:id="1207523619">
                          <w:marLeft w:val="0"/>
                          <w:marRight w:val="0"/>
                          <w:marTop w:val="0"/>
                          <w:marBottom w:val="0"/>
                          <w:divBdr>
                            <w:top w:val="none" w:sz="0" w:space="0" w:color="auto"/>
                            <w:left w:val="none" w:sz="0" w:space="0" w:color="auto"/>
                            <w:bottom w:val="none" w:sz="0" w:space="0" w:color="auto"/>
                            <w:right w:val="none" w:sz="0" w:space="0" w:color="auto"/>
                          </w:divBdr>
                          <w:divsChild>
                            <w:div w:id="26486395">
                              <w:marLeft w:val="0"/>
                              <w:marRight w:val="0"/>
                              <w:marTop w:val="0"/>
                              <w:marBottom w:val="0"/>
                              <w:divBdr>
                                <w:top w:val="none" w:sz="0" w:space="0" w:color="auto"/>
                                <w:left w:val="none" w:sz="0" w:space="0" w:color="auto"/>
                                <w:bottom w:val="none" w:sz="0" w:space="0" w:color="auto"/>
                                <w:right w:val="none" w:sz="0" w:space="0" w:color="auto"/>
                              </w:divBdr>
                              <w:divsChild>
                                <w:div w:id="838353995">
                                  <w:marLeft w:val="0"/>
                                  <w:marRight w:val="0"/>
                                  <w:marTop w:val="0"/>
                                  <w:marBottom w:val="0"/>
                                  <w:divBdr>
                                    <w:top w:val="none" w:sz="0" w:space="0" w:color="auto"/>
                                    <w:left w:val="none" w:sz="0" w:space="0" w:color="auto"/>
                                    <w:bottom w:val="none" w:sz="0" w:space="0" w:color="auto"/>
                                    <w:right w:val="none" w:sz="0" w:space="0" w:color="auto"/>
                                  </w:divBdr>
                                  <w:divsChild>
                                    <w:div w:id="1854765076">
                                      <w:marLeft w:val="0"/>
                                      <w:marRight w:val="0"/>
                                      <w:marTop w:val="0"/>
                                      <w:marBottom w:val="0"/>
                                      <w:divBdr>
                                        <w:top w:val="none" w:sz="0" w:space="0" w:color="auto"/>
                                        <w:left w:val="none" w:sz="0" w:space="0" w:color="auto"/>
                                        <w:bottom w:val="none" w:sz="0" w:space="0" w:color="auto"/>
                                        <w:right w:val="none" w:sz="0" w:space="0" w:color="auto"/>
                                      </w:divBdr>
                                      <w:divsChild>
                                        <w:div w:id="519438822">
                                          <w:marLeft w:val="0"/>
                                          <w:marRight w:val="0"/>
                                          <w:marTop w:val="0"/>
                                          <w:marBottom w:val="0"/>
                                          <w:divBdr>
                                            <w:top w:val="none" w:sz="0" w:space="0" w:color="auto"/>
                                            <w:left w:val="none" w:sz="0" w:space="0" w:color="auto"/>
                                            <w:bottom w:val="none" w:sz="0" w:space="0" w:color="auto"/>
                                            <w:right w:val="none" w:sz="0" w:space="0" w:color="auto"/>
                                          </w:divBdr>
                                          <w:divsChild>
                                            <w:div w:id="2119713022">
                                              <w:marLeft w:val="0"/>
                                              <w:marRight w:val="0"/>
                                              <w:marTop w:val="0"/>
                                              <w:marBottom w:val="0"/>
                                              <w:divBdr>
                                                <w:top w:val="none" w:sz="0" w:space="0" w:color="auto"/>
                                                <w:left w:val="none" w:sz="0" w:space="0" w:color="auto"/>
                                                <w:bottom w:val="none" w:sz="0" w:space="0" w:color="auto"/>
                                                <w:right w:val="none" w:sz="0" w:space="0" w:color="auto"/>
                                              </w:divBdr>
                                              <w:divsChild>
                                                <w:div w:id="729768283">
                                                  <w:marLeft w:val="0"/>
                                                  <w:marRight w:val="0"/>
                                                  <w:marTop w:val="0"/>
                                                  <w:marBottom w:val="0"/>
                                                  <w:divBdr>
                                                    <w:top w:val="none" w:sz="0" w:space="0" w:color="auto"/>
                                                    <w:left w:val="none" w:sz="0" w:space="0" w:color="auto"/>
                                                    <w:bottom w:val="none" w:sz="0" w:space="0" w:color="auto"/>
                                                    <w:right w:val="none" w:sz="0" w:space="0" w:color="auto"/>
                                                  </w:divBdr>
                                                  <w:divsChild>
                                                    <w:div w:id="259682289">
                                                      <w:marLeft w:val="0"/>
                                                      <w:marRight w:val="0"/>
                                                      <w:marTop w:val="0"/>
                                                      <w:marBottom w:val="0"/>
                                                      <w:divBdr>
                                                        <w:top w:val="none" w:sz="0" w:space="0" w:color="auto"/>
                                                        <w:left w:val="none" w:sz="0" w:space="0" w:color="auto"/>
                                                        <w:bottom w:val="none" w:sz="0" w:space="0" w:color="auto"/>
                                                        <w:right w:val="none" w:sz="0" w:space="0" w:color="auto"/>
                                                      </w:divBdr>
                                                      <w:divsChild>
                                                        <w:div w:id="1673951264">
                                                          <w:marLeft w:val="0"/>
                                                          <w:marRight w:val="0"/>
                                                          <w:marTop w:val="0"/>
                                                          <w:marBottom w:val="0"/>
                                                          <w:divBdr>
                                                            <w:top w:val="none" w:sz="0" w:space="0" w:color="auto"/>
                                                            <w:left w:val="none" w:sz="0" w:space="0" w:color="auto"/>
                                                            <w:bottom w:val="none" w:sz="0" w:space="0" w:color="auto"/>
                                                            <w:right w:val="none" w:sz="0" w:space="0" w:color="auto"/>
                                                          </w:divBdr>
                                                          <w:divsChild>
                                                            <w:div w:id="3205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86579">
                                              <w:marLeft w:val="0"/>
                                              <w:marRight w:val="0"/>
                                              <w:marTop w:val="0"/>
                                              <w:marBottom w:val="0"/>
                                              <w:divBdr>
                                                <w:top w:val="none" w:sz="0" w:space="0" w:color="auto"/>
                                                <w:left w:val="none" w:sz="0" w:space="0" w:color="auto"/>
                                                <w:bottom w:val="none" w:sz="0" w:space="0" w:color="auto"/>
                                                <w:right w:val="none" w:sz="0" w:space="0" w:color="auto"/>
                                              </w:divBdr>
                                              <w:divsChild>
                                                <w:div w:id="1350718974">
                                                  <w:marLeft w:val="0"/>
                                                  <w:marRight w:val="0"/>
                                                  <w:marTop w:val="0"/>
                                                  <w:marBottom w:val="0"/>
                                                  <w:divBdr>
                                                    <w:top w:val="none" w:sz="0" w:space="0" w:color="auto"/>
                                                    <w:left w:val="none" w:sz="0" w:space="0" w:color="auto"/>
                                                    <w:bottom w:val="none" w:sz="0" w:space="0" w:color="auto"/>
                                                    <w:right w:val="none" w:sz="0" w:space="0" w:color="auto"/>
                                                  </w:divBdr>
                                                  <w:divsChild>
                                                    <w:div w:id="1546912220">
                                                      <w:marLeft w:val="0"/>
                                                      <w:marRight w:val="0"/>
                                                      <w:marTop w:val="0"/>
                                                      <w:marBottom w:val="0"/>
                                                      <w:divBdr>
                                                        <w:top w:val="none" w:sz="0" w:space="0" w:color="auto"/>
                                                        <w:left w:val="none" w:sz="0" w:space="0" w:color="auto"/>
                                                        <w:bottom w:val="none" w:sz="0" w:space="0" w:color="auto"/>
                                                        <w:right w:val="none" w:sz="0" w:space="0" w:color="auto"/>
                                                      </w:divBdr>
                                                      <w:divsChild>
                                                        <w:div w:id="1090084986">
                                                          <w:marLeft w:val="0"/>
                                                          <w:marRight w:val="0"/>
                                                          <w:marTop w:val="0"/>
                                                          <w:marBottom w:val="0"/>
                                                          <w:divBdr>
                                                            <w:top w:val="none" w:sz="0" w:space="0" w:color="auto"/>
                                                            <w:left w:val="none" w:sz="0" w:space="0" w:color="auto"/>
                                                            <w:bottom w:val="none" w:sz="0" w:space="0" w:color="auto"/>
                                                            <w:right w:val="none" w:sz="0" w:space="0" w:color="auto"/>
                                                          </w:divBdr>
                                                          <w:divsChild>
                                                            <w:div w:id="14278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14110">
          <w:marLeft w:val="0"/>
          <w:marRight w:val="0"/>
          <w:marTop w:val="0"/>
          <w:marBottom w:val="0"/>
          <w:divBdr>
            <w:top w:val="none" w:sz="0" w:space="0" w:color="auto"/>
            <w:left w:val="none" w:sz="0" w:space="0" w:color="auto"/>
            <w:bottom w:val="none" w:sz="0" w:space="0" w:color="auto"/>
            <w:right w:val="none" w:sz="0" w:space="0" w:color="auto"/>
          </w:divBdr>
          <w:divsChild>
            <w:div w:id="897713378">
              <w:marLeft w:val="0"/>
              <w:marRight w:val="0"/>
              <w:marTop w:val="0"/>
              <w:marBottom w:val="0"/>
              <w:divBdr>
                <w:top w:val="none" w:sz="0" w:space="0" w:color="auto"/>
                <w:left w:val="none" w:sz="0" w:space="0" w:color="auto"/>
                <w:bottom w:val="none" w:sz="0" w:space="0" w:color="auto"/>
                <w:right w:val="none" w:sz="0" w:space="0" w:color="auto"/>
              </w:divBdr>
              <w:divsChild>
                <w:div w:id="858616665">
                  <w:marLeft w:val="0"/>
                  <w:marRight w:val="0"/>
                  <w:marTop w:val="0"/>
                  <w:marBottom w:val="0"/>
                  <w:divBdr>
                    <w:top w:val="none" w:sz="0" w:space="0" w:color="auto"/>
                    <w:left w:val="none" w:sz="0" w:space="0" w:color="auto"/>
                    <w:bottom w:val="none" w:sz="0" w:space="0" w:color="auto"/>
                    <w:right w:val="none" w:sz="0" w:space="0" w:color="auto"/>
                  </w:divBdr>
                  <w:divsChild>
                    <w:div w:id="1437823956">
                      <w:marLeft w:val="0"/>
                      <w:marRight w:val="0"/>
                      <w:marTop w:val="0"/>
                      <w:marBottom w:val="0"/>
                      <w:divBdr>
                        <w:top w:val="none" w:sz="0" w:space="0" w:color="auto"/>
                        <w:left w:val="none" w:sz="0" w:space="0" w:color="auto"/>
                        <w:bottom w:val="none" w:sz="0" w:space="0" w:color="auto"/>
                        <w:right w:val="none" w:sz="0" w:space="0" w:color="auto"/>
                      </w:divBdr>
                      <w:divsChild>
                        <w:div w:id="372048638">
                          <w:marLeft w:val="0"/>
                          <w:marRight w:val="0"/>
                          <w:marTop w:val="0"/>
                          <w:marBottom w:val="0"/>
                          <w:divBdr>
                            <w:top w:val="none" w:sz="0" w:space="0" w:color="auto"/>
                            <w:left w:val="none" w:sz="0" w:space="0" w:color="auto"/>
                            <w:bottom w:val="none" w:sz="0" w:space="0" w:color="auto"/>
                            <w:right w:val="none" w:sz="0" w:space="0" w:color="auto"/>
                          </w:divBdr>
                          <w:divsChild>
                            <w:div w:id="1667001">
                              <w:marLeft w:val="0"/>
                              <w:marRight w:val="0"/>
                              <w:marTop w:val="0"/>
                              <w:marBottom w:val="0"/>
                              <w:divBdr>
                                <w:top w:val="none" w:sz="0" w:space="0" w:color="auto"/>
                                <w:left w:val="none" w:sz="0" w:space="0" w:color="auto"/>
                                <w:bottom w:val="none" w:sz="0" w:space="0" w:color="auto"/>
                                <w:right w:val="none" w:sz="0" w:space="0" w:color="auto"/>
                              </w:divBdr>
                              <w:divsChild>
                                <w:div w:id="1147432614">
                                  <w:marLeft w:val="0"/>
                                  <w:marRight w:val="0"/>
                                  <w:marTop w:val="0"/>
                                  <w:marBottom w:val="0"/>
                                  <w:divBdr>
                                    <w:top w:val="none" w:sz="0" w:space="0" w:color="auto"/>
                                    <w:left w:val="none" w:sz="0" w:space="0" w:color="auto"/>
                                    <w:bottom w:val="none" w:sz="0" w:space="0" w:color="auto"/>
                                    <w:right w:val="none" w:sz="0" w:space="0" w:color="auto"/>
                                  </w:divBdr>
                                  <w:divsChild>
                                    <w:div w:id="1428312412">
                                      <w:marLeft w:val="0"/>
                                      <w:marRight w:val="0"/>
                                      <w:marTop w:val="0"/>
                                      <w:marBottom w:val="0"/>
                                      <w:divBdr>
                                        <w:top w:val="none" w:sz="0" w:space="0" w:color="auto"/>
                                        <w:left w:val="none" w:sz="0" w:space="0" w:color="auto"/>
                                        <w:bottom w:val="none" w:sz="0" w:space="0" w:color="auto"/>
                                        <w:right w:val="none" w:sz="0" w:space="0" w:color="auto"/>
                                      </w:divBdr>
                                      <w:divsChild>
                                        <w:div w:id="1486969017">
                                          <w:marLeft w:val="0"/>
                                          <w:marRight w:val="0"/>
                                          <w:marTop w:val="0"/>
                                          <w:marBottom w:val="0"/>
                                          <w:divBdr>
                                            <w:top w:val="none" w:sz="0" w:space="0" w:color="auto"/>
                                            <w:left w:val="none" w:sz="0" w:space="0" w:color="auto"/>
                                            <w:bottom w:val="none" w:sz="0" w:space="0" w:color="auto"/>
                                            <w:right w:val="none" w:sz="0" w:space="0" w:color="auto"/>
                                          </w:divBdr>
                                          <w:divsChild>
                                            <w:div w:id="299383748">
                                              <w:marLeft w:val="0"/>
                                              <w:marRight w:val="0"/>
                                              <w:marTop w:val="0"/>
                                              <w:marBottom w:val="0"/>
                                              <w:divBdr>
                                                <w:top w:val="none" w:sz="0" w:space="0" w:color="auto"/>
                                                <w:left w:val="none" w:sz="0" w:space="0" w:color="auto"/>
                                                <w:bottom w:val="none" w:sz="0" w:space="0" w:color="auto"/>
                                                <w:right w:val="none" w:sz="0" w:space="0" w:color="auto"/>
                                              </w:divBdr>
                                              <w:divsChild>
                                                <w:div w:id="1481849824">
                                                  <w:marLeft w:val="0"/>
                                                  <w:marRight w:val="0"/>
                                                  <w:marTop w:val="0"/>
                                                  <w:marBottom w:val="0"/>
                                                  <w:divBdr>
                                                    <w:top w:val="none" w:sz="0" w:space="0" w:color="auto"/>
                                                    <w:left w:val="none" w:sz="0" w:space="0" w:color="auto"/>
                                                    <w:bottom w:val="none" w:sz="0" w:space="0" w:color="auto"/>
                                                    <w:right w:val="none" w:sz="0" w:space="0" w:color="auto"/>
                                                  </w:divBdr>
                                                </w:div>
                                              </w:divsChild>
                                            </w:div>
                                            <w:div w:id="262802675">
                                              <w:marLeft w:val="0"/>
                                              <w:marRight w:val="0"/>
                                              <w:marTop w:val="0"/>
                                              <w:marBottom w:val="0"/>
                                              <w:divBdr>
                                                <w:top w:val="none" w:sz="0" w:space="0" w:color="auto"/>
                                                <w:left w:val="none" w:sz="0" w:space="0" w:color="auto"/>
                                                <w:bottom w:val="none" w:sz="0" w:space="0" w:color="auto"/>
                                                <w:right w:val="none" w:sz="0" w:space="0" w:color="auto"/>
                                              </w:divBdr>
                                              <w:divsChild>
                                                <w:div w:id="1248806273">
                                                  <w:marLeft w:val="0"/>
                                                  <w:marRight w:val="0"/>
                                                  <w:marTop w:val="0"/>
                                                  <w:marBottom w:val="0"/>
                                                  <w:divBdr>
                                                    <w:top w:val="none" w:sz="0" w:space="0" w:color="auto"/>
                                                    <w:left w:val="none" w:sz="0" w:space="0" w:color="auto"/>
                                                    <w:bottom w:val="none" w:sz="0" w:space="0" w:color="auto"/>
                                                    <w:right w:val="none" w:sz="0" w:space="0" w:color="auto"/>
                                                  </w:divBdr>
                                                  <w:divsChild>
                                                    <w:div w:id="667101789">
                                                      <w:marLeft w:val="0"/>
                                                      <w:marRight w:val="0"/>
                                                      <w:marTop w:val="0"/>
                                                      <w:marBottom w:val="0"/>
                                                      <w:divBdr>
                                                        <w:top w:val="none" w:sz="0" w:space="0" w:color="auto"/>
                                                        <w:left w:val="none" w:sz="0" w:space="0" w:color="auto"/>
                                                        <w:bottom w:val="none" w:sz="0" w:space="0" w:color="auto"/>
                                                        <w:right w:val="none" w:sz="0" w:space="0" w:color="auto"/>
                                                      </w:divBdr>
                                                      <w:divsChild>
                                                        <w:div w:id="20222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949067">
                              <w:marLeft w:val="0"/>
                              <w:marRight w:val="0"/>
                              <w:marTop w:val="0"/>
                              <w:marBottom w:val="0"/>
                              <w:divBdr>
                                <w:top w:val="none" w:sz="0" w:space="0" w:color="auto"/>
                                <w:left w:val="none" w:sz="0" w:space="0" w:color="auto"/>
                                <w:bottom w:val="none" w:sz="0" w:space="0" w:color="auto"/>
                                <w:right w:val="none" w:sz="0" w:space="0" w:color="auto"/>
                              </w:divBdr>
                              <w:divsChild>
                                <w:div w:id="130487622">
                                  <w:marLeft w:val="0"/>
                                  <w:marRight w:val="0"/>
                                  <w:marTop w:val="0"/>
                                  <w:marBottom w:val="0"/>
                                  <w:divBdr>
                                    <w:top w:val="none" w:sz="0" w:space="0" w:color="auto"/>
                                    <w:left w:val="none" w:sz="0" w:space="0" w:color="auto"/>
                                    <w:bottom w:val="none" w:sz="0" w:space="0" w:color="auto"/>
                                    <w:right w:val="none" w:sz="0" w:space="0" w:color="auto"/>
                                  </w:divBdr>
                                  <w:divsChild>
                                    <w:div w:id="1536120041">
                                      <w:marLeft w:val="0"/>
                                      <w:marRight w:val="0"/>
                                      <w:marTop w:val="0"/>
                                      <w:marBottom w:val="0"/>
                                      <w:divBdr>
                                        <w:top w:val="none" w:sz="0" w:space="0" w:color="auto"/>
                                        <w:left w:val="none" w:sz="0" w:space="0" w:color="auto"/>
                                        <w:bottom w:val="none" w:sz="0" w:space="0" w:color="auto"/>
                                        <w:right w:val="none" w:sz="0" w:space="0" w:color="auto"/>
                                      </w:divBdr>
                                      <w:divsChild>
                                        <w:div w:id="555552491">
                                          <w:marLeft w:val="0"/>
                                          <w:marRight w:val="0"/>
                                          <w:marTop w:val="0"/>
                                          <w:marBottom w:val="0"/>
                                          <w:divBdr>
                                            <w:top w:val="none" w:sz="0" w:space="0" w:color="auto"/>
                                            <w:left w:val="none" w:sz="0" w:space="0" w:color="auto"/>
                                            <w:bottom w:val="none" w:sz="0" w:space="0" w:color="auto"/>
                                            <w:right w:val="none" w:sz="0" w:space="0" w:color="auto"/>
                                          </w:divBdr>
                                          <w:divsChild>
                                            <w:div w:id="9709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059697">
          <w:marLeft w:val="0"/>
          <w:marRight w:val="0"/>
          <w:marTop w:val="0"/>
          <w:marBottom w:val="0"/>
          <w:divBdr>
            <w:top w:val="none" w:sz="0" w:space="0" w:color="auto"/>
            <w:left w:val="none" w:sz="0" w:space="0" w:color="auto"/>
            <w:bottom w:val="none" w:sz="0" w:space="0" w:color="auto"/>
            <w:right w:val="none" w:sz="0" w:space="0" w:color="auto"/>
          </w:divBdr>
          <w:divsChild>
            <w:div w:id="1311709977">
              <w:marLeft w:val="0"/>
              <w:marRight w:val="0"/>
              <w:marTop w:val="0"/>
              <w:marBottom w:val="0"/>
              <w:divBdr>
                <w:top w:val="none" w:sz="0" w:space="0" w:color="auto"/>
                <w:left w:val="none" w:sz="0" w:space="0" w:color="auto"/>
                <w:bottom w:val="none" w:sz="0" w:space="0" w:color="auto"/>
                <w:right w:val="none" w:sz="0" w:space="0" w:color="auto"/>
              </w:divBdr>
              <w:divsChild>
                <w:div w:id="1876891285">
                  <w:marLeft w:val="0"/>
                  <w:marRight w:val="0"/>
                  <w:marTop w:val="0"/>
                  <w:marBottom w:val="0"/>
                  <w:divBdr>
                    <w:top w:val="none" w:sz="0" w:space="0" w:color="auto"/>
                    <w:left w:val="none" w:sz="0" w:space="0" w:color="auto"/>
                    <w:bottom w:val="none" w:sz="0" w:space="0" w:color="auto"/>
                    <w:right w:val="none" w:sz="0" w:space="0" w:color="auto"/>
                  </w:divBdr>
                  <w:divsChild>
                    <w:div w:id="1944223008">
                      <w:marLeft w:val="0"/>
                      <w:marRight w:val="0"/>
                      <w:marTop w:val="0"/>
                      <w:marBottom w:val="0"/>
                      <w:divBdr>
                        <w:top w:val="none" w:sz="0" w:space="0" w:color="auto"/>
                        <w:left w:val="none" w:sz="0" w:space="0" w:color="auto"/>
                        <w:bottom w:val="none" w:sz="0" w:space="0" w:color="auto"/>
                        <w:right w:val="none" w:sz="0" w:space="0" w:color="auto"/>
                      </w:divBdr>
                      <w:divsChild>
                        <w:div w:id="203367206">
                          <w:marLeft w:val="0"/>
                          <w:marRight w:val="0"/>
                          <w:marTop w:val="0"/>
                          <w:marBottom w:val="0"/>
                          <w:divBdr>
                            <w:top w:val="none" w:sz="0" w:space="0" w:color="auto"/>
                            <w:left w:val="none" w:sz="0" w:space="0" w:color="auto"/>
                            <w:bottom w:val="none" w:sz="0" w:space="0" w:color="auto"/>
                            <w:right w:val="none" w:sz="0" w:space="0" w:color="auto"/>
                          </w:divBdr>
                          <w:divsChild>
                            <w:div w:id="1868525556">
                              <w:marLeft w:val="0"/>
                              <w:marRight w:val="0"/>
                              <w:marTop w:val="0"/>
                              <w:marBottom w:val="0"/>
                              <w:divBdr>
                                <w:top w:val="none" w:sz="0" w:space="0" w:color="auto"/>
                                <w:left w:val="none" w:sz="0" w:space="0" w:color="auto"/>
                                <w:bottom w:val="none" w:sz="0" w:space="0" w:color="auto"/>
                                <w:right w:val="none" w:sz="0" w:space="0" w:color="auto"/>
                              </w:divBdr>
                              <w:divsChild>
                                <w:div w:id="1536313672">
                                  <w:marLeft w:val="0"/>
                                  <w:marRight w:val="0"/>
                                  <w:marTop w:val="0"/>
                                  <w:marBottom w:val="0"/>
                                  <w:divBdr>
                                    <w:top w:val="none" w:sz="0" w:space="0" w:color="auto"/>
                                    <w:left w:val="none" w:sz="0" w:space="0" w:color="auto"/>
                                    <w:bottom w:val="none" w:sz="0" w:space="0" w:color="auto"/>
                                    <w:right w:val="none" w:sz="0" w:space="0" w:color="auto"/>
                                  </w:divBdr>
                                  <w:divsChild>
                                    <w:div w:id="478571526">
                                      <w:marLeft w:val="0"/>
                                      <w:marRight w:val="0"/>
                                      <w:marTop w:val="0"/>
                                      <w:marBottom w:val="0"/>
                                      <w:divBdr>
                                        <w:top w:val="none" w:sz="0" w:space="0" w:color="auto"/>
                                        <w:left w:val="none" w:sz="0" w:space="0" w:color="auto"/>
                                        <w:bottom w:val="none" w:sz="0" w:space="0" w:color="auto"/>
                                        <w:right w:val="none" w:sz="0" w:space="0" w:color="auto"/>
                                      </w:divBdr>
                                      <w:divsChild>
                                        <w:div w:id="12887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945358">
          <w:marLeft w:val="0"/>
          <w:marRight w:val="0"/>
          <w:marTop w:val="0"/>
          <w:marBottom w:val="0"/>
          <w:divBdr>
            <w:top w:val="none" w:sz="0" w:space="0" w:color="auto"/>
            <w:left w:val="none" w:sz="0" w:space="0" w:color="auto"/>
            <w:bottom w:val="none" w:sz="0" w:space="0" w:color="auto"/>
            <w:right w:val="none" w:sz="0" w:space="0" w:color="auto"/>
          </w:divBdr>
          <w:divsChild>
            <w:div w:id="1321688709">
              <w:marLeft w:val="0"/>
              <w:marRight w:val="0"/>
              <w:marTop w:val="0"/>
              <w:marBottom w:val="0"/>
              <w:divBdr>
                <w:top w:val="none" w:sz="0" w:space="0" w:color="auto"/>
                <w:left w:val="none" w:sz="0" w:space="0" w:color="auto"/>
                <w:bottom w:val="none" w:sz="0" w:space="0" w:color="auto"/>
                <w:right w:val="none" w:sz="0" w:space="0" w:color="auto"/>
              </w:divBdr>
              <w:divsChild>
                <w:div w:id="1460147443">
                  <w:marLeft w:val="0"/>
                  <w:marRight w:val="0"/>
                  <w:marTop w:val="0"/>
                  <w:marBottom w:val="0"/>
                  <w:divBdr>
                    <w:top w:val="none" w:sz="0" w:space="0" w:color="auto"/>
                    <w:left w:val="none" w:sz="0" w:space="0" w:color="auto"/>
                    <w:bottom w:val="none" w:sz="0" w:space="0" w:color="auto"/>
                    <w:right w:val="none" w:sz="0" w:space="0" w:color="auto"/>
                  </w:divBdr>
                  <w:divsChild>
                    <w:div w:id="739713706">
                      <w:marLeft w:val="0"/>
                      <w:marRight w:val="0"/>
                      <w:marTop w:val="0"/>
                      <w:marBottom w:val="0"/>
                      <w:divBdr>
                        <w:top w:val="none" w:sz="0" w:space="0" w:color="auto"/>
                        <w:left w:val="none" w:sz="0" w:space="0" w:color="auto"/>
                        <w:bottom w:val="none" w:sz="0" w:space="0" w:color="auto"/>
                        <w:right w:val="none" w:sz="0" w:space="0" w:color="auto"/>
                      </w:divBdr>
                      <w:divsChild>
                        <w:div w:id="450978063">
                          <w:marLeft w:val="0"/>
                          <w:marRight w:val="0"/>
                          <w:marTop w:val="0"/>
                          <w:marBottom w:val="0"/>
                          <w:divBdr>
                            <w:top w:val="none" w:sz="0" w:space="0" w:color="auto"/>
                            <w:left w:val="none" w:sz="0" w:space="0" w:color="auto"/>
                            <w:bottom w:val="none" w:sz="0" w:space="0" w:color="auto"/>
                            <w:right w:val="none" w:sz="0" w:space="0" w:color="auto"/>
                          </w:divBdr>
                          <w:divsChild>
                            <w:div w:id="1022899037">
                              <w:marLeft w:val="0"/>
                              <w:marRight w:val="0"/>
                              <w:marTop w:val="0"/>
                              <w:marBottom w:val="0"/>
                              <w:divBdr>
                                <w:top w:val="none" w:sz="0" w:space="0" w:color="auto"/>
                                <w:left w:val="none" w:sz="0" w:space="0" w:color="auto"/>
                                <w:bottom w:val="none" w:sz="0" w:space="0" w:color="auto"/>
                                <w:right w:val="none" w:sz="0" w:space="0" w:color="auto"/>
                              </w:divBdr>
                              <w:divsChild>
                                <w:div w:id="1778981878">
                                  <w:marLeft w:val="0"/>
                                  <w:marRight w:val="0"/>
                                  <w:marTop w:val="0"/>
                                  <w:marBottom w:val="0"/>
                                  <w:divBdr>
                                    <w:top w:val="none" w:sz="0" w:space="0" w:color="auto"/>
                                    <w:left w:val="none" w:sz="0" w:space="0" w:color="auto"/>
                                    <w:bottom w:val="none" w:sz="0" w:space="0" w:color="auto"/>
                                    <w:right w:val="none" w:sz="0" w:space="0" w:color="auto"/>
                                  </w:divBdr>
                                  <w:divsChild>
                                    <w:div w:id="332997964">
                                      <w:marLeft w:val="0"/>
                                      <w:marRight w:val="0"/>
                                      <w:marTop w:val="0"/>
                                      <w:marBottom w:val="0"/>
                                      <w:divBdr>
                                        <w:top w:val="none" w:sz="0" w:space="0" w:color="auto"/>
                                        <w:left w:val="none" w:sz="0" w:space="0" w:color="auto"/>
                                        <w:bottom w:val="none" w:sz="0" w:space="0" w:color="auto"/>
                                        <w:right w:val="none" w:sz="0" w:space="0" w:color="auto"/>
                                      </w:divBdr>
                                      <w:divsChild>
                                        <w:div w:id="347800133">
                                          <w:marLeft w:val="0"/>
                                          <w:marRight w:val="0"/>
                                          <w:marTop w:val="0"/>
                                          <w:marBottom w:val="0"/>
                                          <w:divBdr>
                                            <w:top w:val="none" w:sz="0" w:space="0" w:color="auto"/>
                                            <w:left w:val="none" w:sz="0" w:space="0" w:color="auto"/>
                                            <w:bottom w:val="none" w:sz="0" w:space="0" w:color="auto"/>
                                            <w:right w:val="none" w:sz="0" w:space="0" w:color="auto"/>
                                          </w:divBdr>
                                          <w:divsChild>
                                            <w:div w:id="9623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943331">
          <w:marLeft w:val="0"/>
          <w:marRight w:val="0"/>
          <w:marTop w:val="0"/>
          <w:marBottom w:val="0"/>
          <w:divBdr>
            <w:top w:val="none" w:sz="0" w:space="0" w:color="auto"/>
            <w:left w:val="none" w:sz="0" w:space="0" w:color="auto"/>
            <w:bottom w:val="none" w:sz="0" w:space="0" w:color="auto"/>
            <w:right w:val="none" w:sz="0" w:space="0" w:color="auto"/>
          </w:divBdr>
          <w:divsChild>
            <w:div w:id="614867340">
              <w:marLeft w:val="0"/>
              <w:marRight w:val="0"/>
              <w:marTop w:val="0"/>
              <w:marBottom w:val="0"/>
              <w:divBdr>
                <w:top w:val="none" w:sz="0" w:space="0" w:color="auto"/>
                <w:left w:val="none" w:sz="0" w:space="0" w:color="auto"/>
                <w:bottom w:val="none" w:sz="0" w:space="0" w:color="auto"/>
                <w:right w:val="none" w:sz="0" w:space="0" w:color="auto"/>
              </w:divBdr>
              <w:divsChild>
                <w:div w:id="1514148176">
                  <w:marLeft w:val="0"/>
                  <w:marRight w:val="0"/>
                  <w:marTop w:val="0"/>
                  <w:marBottom w:val="0"/>
                  <w:divBdr>
                    <w:top w:val="none" w:sz="0" w:space="0" w:color="auto"/>
                    <w:left w:val="none" w:sz="0" w:space="0" w:color="auto"/>
                    <w:bottom w:val="none" w:sz="0" w:space="0" w:color="auto"/>
                    <w:right w:val="none" w:sz="0" w:space="0" w:color="auto"/>
                  </w:divBdr>
                  <w:divsChild>
                    <w:div w:id="654770415">
                      <w:marLeft w:val="0"/>
                      <w:marRight w:val="0"/>
                      <w:marTop w:val="0"/>
                      <w:marBottom w:val="0"/>
                      <w:divBdr>
                        <w:top w:val="none" w:sz="0" w:space="0" w:color="auto"/>
                        <w:left w:val="none" w:sz="0" w:space="0" w:color="auto"/>
                        <w:bottom w:val="none" w:sz="0" w:space="0" w:color="auto"/>
                        <w:right w:val="none" w:sz="0" w:space="0" w:color="auto"/>
                      </w:divBdr>
                      <w:divsChild>
                        <w:div w:id="271010849">
                          <w:marLeft w:val="0"/>
                          <w:marRight w:val="0"/>
                          <w:marTop w:val="0"/>
                          <w:marBottom w:val="0"/>
                          <w:divBdr>
                            <w:top w:val="none" w:sz="0" w:space="0" w:color="auto"/>
                            <w:left w:val="none" w:sz="0" w:space="0" w:color="auto"/>
                            <w:bottom w:val="none" w:sz="0" w:space="0" w:color="auto"/>
                            <w:right w:val="none" w:sz="0" w:space="0" w:color="auto"/>
                          </w:divBdr>
                          <w:divsChild>
                            <w:div w:id="1763136508">
                              <w:marLeft w:val="0"/>
                              <w:marRight w:val="0"/>
                              <w:marTop w:val="0"/>
                              <w:marBottom w:val="0"/>
                              <w:divBdr>
                                <w:top w:val="none" w:sz="0" w:space="0" w:color="auto"/>
                                <w:left w:val="none" w:sz="0" w:space="0" w:color="auto"/>
                                <w:bottom w:val="none" w:sz="0" w:space="0" w:color="auto"/>
                                <w:right w:val="none" w:sz="0" w:space="0" w:color="auto"/>
                              </w:divBdr>
                              <w:divsChild>
                                <w:div w:id="1145856913">
                                  <w:marLeft w:val="0"/>
                                  <w:marRight w:val="0"/>
                                  <w:marTop w:val="0"/>
                                  <w:marBottom w:val="0"/>
                                  <w:divBdr>
                                    <w:top w:val="none" w:sz="0" w:space="0" w:color="auto"/>
                                    <w:left w:val="none" w:sz="0" w:space="0" w:color="auto"/>
                                    <w:bottom w:val="none" w:sz="0" w:space="0" w:color="auto"/>
                                    <w:right w:val="none" w:sz="0" w:space="0" w:color="auto"/>
                                  </w:divBdr>
                                  <w:divsChild>
                                    <w:div w:id="1036546368">
                                      <w:marLeft w:val="0"/>
                                      <w:marRight w:val="0"/>
                                      <w:marTop w:val="0"/>
                                      <w:marBottom w:val="0"/>
                                      <w:divBdr>
                                        <w:top w:val="none" w:sz="0" w:space="0" w:color="auto"/>
                                        <w:left w:val="none" w:sz="0" w:space="0" w:color="auto"/>
                                        <w:bottom w:val="none" w:sz="0" w:space="0" w:color="auto"/>
                                        <w:right w:val="none" w:sz="0" w:space="0" w:color="auto"/>
                                      </w:divBdr>
                                      <w:divsChild>
                                        <w:div w:id="704869012">
                                          <w:marLeft w:val="0"/>
                                          <w:marRight w:val="0"/>
                                          <w:marTop w:val="0"/>
                                          <w:marBottom w:val="0"/>
                                          <w:divBdr>
                                            <w:top w:val="none" w:sz="0" w:space="0" w:color="auto"/>
                                            <w:left w:val="none" w:sz="0" w:space="0" w:color="auto"/>
                                            <w:bottom w:val="none" w:sz="0" w:space="0" w:color="auto"/>
                                            <w:right w:val="none" w:sz="0" w:space="0" w:color="auto"/>
                                          </w:divBdr>
                                          <w:divsChild>
                                            <w:div w:id="239799695">
                                              <w:marLeft w:val="0"/>
                                              <w:marRight w:val="0"/>
                                              <w:marTop w:val="0"/>
                                              <w:marBottom w:val="0"/>
                                              <w:divBdr>
                                                <w:top w:val="none" w:sz="0" w:space="0" w:color="auto"/>
                                                <w:left w:val="none" w:sz="0" w:space="0" w:color="auto"/>
                                                <w:bottom w:val="none" w:sz="0" w:space="0" w:color="auto"/>
                                                <w:right w:val="none" w:sz="0" w:space="0" w:color="auto"/>
                                              </w:divBdr>
                                              <w:divsChild>
                                                <w:div w:id="1197037795">
                                                  <w:marLeft w:val="0"/>
                                                  <w:marRight w:val="0"/>
                                                  <w:marTop w:val="0"/>
                                                  <w:marBottom w:val="0"/>
                                                  <w:divBdr>
                                                    <w:top w:val="none" w:sz="0" w:space="0" w:color="auto"/>
                                                    <w:left w:val="none" w:sz="0" w:space="0" w:color="auto"/>
                                                    <w:bottom w:val="none" w:sz="0" w:space="0" w:color="auto"/>
                                                    <w:right w:val="none" w:sz="0" w:space="0" w:color="auto"/>
                                                  </w:divBdr>
                                                  <w:divsChild>
                                                    <w:div w:id="931276611">
                                                      <w:marLeft w:val="0"/>
                                                      <w:marRight w:val="0"/>
                                                      <w:marTop w:val="0"/>
                                                      <w:marBottom w:val="0"/>
                                                      <w:divBdr>
                                                        <w:top w:val="none" w:sz="0" w:space="0" w:color="auto"/>
                                                        <w:left w:val="none" w:sz="0" w:space="0" w:color="auto"/>
                                                        <w:bottom w:val="none" w:sz="0" w:space="0" w:color="auto"/>
                                                        <w:right w:val="none" w:sz="0" w:space="0" w:color="auto"/>
                                                      </w:divBdr>
                                                      <w:divsChild>
                                                        <w:div w:id="1137844348">
                                                          <w:marLeft w:val="0"/>
                                                          <w:marRight w:val="0"/>
                                                          <w:marTop w:val="0"/>
                                                          <w:marBottom w:val="0"/>
                                                          <w:divBdr>
                                                            <w:top w:val="none" w:sz="0" w:space="0" w:color="auto"/>
                                                            <w:left w:val="none" w:sz="0" w:space="0" w:color="auto"/>
                                                            <w:bottom w:val="none" w:sz="0" w:space="0" w:color="auto"/>
                                                            <w:right w:val="none" w:sz="0" w:space="0" w:color="auto"/>
                                                          </w:divBdr>
                                                          <w:divsChild>
                                                            <w:div w:id="451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74776">
                                              <w:marLeft w:val="0"/>
                                              <w:marRight w:val="0"/>
                                              <w:marTop w:val="0"/>
                                              <w:marBottom w:val="0"/>
                                              <w:divBdr>
                                                <w:top w:val="none" w:sz="0" w:space="0" w:color="auto"/>
                                                <w:left w:val="none" w:sz="0" w:space="0" w:color="auto"/>
                                                <w:bottom w:val="none" w:sz="0" w:space="0" w:color="auto"/>
                                                <w:right w:val="none" w:sz="0" w:space="0" w:color="auto"/>
                                              </w:divBdr>
                                              <w:divsChild>
                                                <w:div w:id="379523144">
                                                  <w:marLeft w:val="0"/>
                                                  <w:marRight w:val="0"/>
                                                  <w:marTop w:val="0"/>
                                                  <w:marBottom w:val="0"/>
                                                  <w:divBdr>
                                                    <w:top w:val="none" w:sz="0" w:space="0" w:color="auto"/>
                                                    <w:left w:val="none" w:sz="0" w:space="0" w:color="auto"/>
                                                    <w:bottom w:val="none" w:sz="0" w:space="0" w:color="auto"/>
                                                    <w:right w:val="none" w:sz="0" w:space="0" w:color="auto"/>
                                                  </w:divBdr>
                                                  <w:divsChild>
                                                    <w:div w:id="1512062897">
                                                      <w:marLeft w:val="0"/>
                                                      <w:marRight w:val="0"/>
                                                      <w:marTop w:val="0"/>
                                                      <w:marBottom w:val="0"/>
                                                      <w:divBdr>
                                                        <w:top w:val="none" w:sz="0" w:space="0" w:color="auto"/>
                                                        <w:left w:val="none" w:sz="0" w:space="0" w:color="auto"/>
                                                        <w:bottom w:val="none" w:sz="0" w:space="0" w:color="auto"/>
                                                        <w:right w:val="none" w:sz="0" w:space="0" w:color="auto"/>
                                                      </w:divBdr>
                                                      <w:divsChild>
                                                        <w:div w:id="1229923463">
                                                          <w:marLeft w:val="0"/>
                                                          <w:marRight w:val="0"/>
                                                          <w:marTop w:val="0"/>
                                                          <w:marBottom w:val="0"/>
                                                          <w:divBdr>
                                                            <w:top w:val="none" w:sz="0" w:space="0" w:color="auto"/>
                                                            <w:left w:val="none" w:sz="0" w:space="0" w:color="auto"/>
                                                            <w:bottom w:val="none" w:sz="0" w:space="0" w:color="auto"/>
                                                            <w:right w:val="none" w:sz="0" w:space="0" w:color="auto"/>
                                                          </w:divBdr>
                                                          <w:divsChild>
                                                            <w:div w:id="9665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831394">
      <w:bodyDiv w:val="1"/>
      <w:marLeft w:val="0"/>
      <w:marRight w:val="0"/>
      <w:marTop w:val="0"/>
      <w:marBottom w:val="0"/>
      <w:divBdr>
        <w:top w:val="none" w:sz="0" w:space="0" w:color="auto"/>
        <w:left w:val="none" w:sz="0" w:space="0" w:color="auto"/>
        <w:bottom w:val="none" w:sz="0" w:space="0" w:color="auto"/>
        <w:right w:val="none" w:sz="0" w:space="0" w:color="auto"/>
      </w:divBdr>
    </w:div>
    <w:div w:id="685834656">
      <w:bodyDiv w:val="1"/>
      <w:marLeft w:val="0"/>
      <w:marRight w:val="0"/>
      <w:marTop w:val="0"/>
      <w:marBottom w:val="0"/>
      <w:divBdr>
        <w:top w:val="none" w:sz="0" w:space="0" w:color="auto"/>
        <w:left w:val="none" w:sz="0" w:space="0" w:color="auto"/>
        <w:bottom w:val="none" w:sz="0" w:space="0" w:color="auto"/>
        <w:right w:val="none" w:sz="0" w:space="0" w:color="auto"/>
      </w:divBdr>
    </w:div>
    <w:div w:id="745035218">
      <w:bodyDiv w:val="1"/>
      <w:marLeft w:val="0"/>
      <w:marRight w:val="0"/>
      <w:marTop w:val="0"/>
      <w:marBottom w:val="0"/>
      <w:divBdr>
        <w:top w:val="none" w:sz="0" w:space="0" w:color="auto"/>
        <w:left w:val="none" w:sz="0" w:space="0" w:color="auto"/>
        <w:bottom w:val="none" w:sz="0" w:space="0" w:color="auto"/>
        <w:right w:val="none" w:sz="0" w:space="0" w:color="auto"/>
      </w:divBdr>
    </w:div>
    <w:div w:id="1171068047">
      <w:bodyDiv w:val="1"/>
      <w:marLeft w:val="0"/>
      <w:marRight w:val="0"/>
      <w:marTop w:val="0"/>
      <w:marBottom w:val="0"/>
      <w:divBdr>
        <w:top w:val="none" w:sz="0" w:space="0" w:color="auto"/>
        <w:left w:val="none" w:sz="0" w:space="0" w:color="auto"/>
        <w:bottom w:val="none" w:sz="0" w:space="0" w:color="auto"/>
        <w:right w:val="none" w:sz="0" w:space="0" w:color="auto"/>
      </w:divBdr>
      <w:divsChild>
        <w:div w:id="728767217">
          <w:marLeft w:val="0"/>
          <w:marRight w:val="0"/>
          <w:marTop w:val="0"/>
          <w:marBottom w:val="0"/>
          <w:divBdr>
            <w:top w:val="none" w:sz="0" w:space="0" w:color="auto"/>
            <w:left w:val="none" w:sz="0" w:space="0" w:color="auto"/>
            <w:bottom w:val="none" w:sz="0" w:space="0" w:color="auto"/>
            <w:right w:val="none" w:sz="0" w:space="0" w:color="auto"/>
          </w:divBdr>
          <w:divsChild>
            <w:div w:id="1698461909">
              <w:marLeft w:val="0"/>
              <w:marRight w:val="0"/>
              <w:marTop w:val="0"/>
              <w:marBottom w:val="0"/>
              <w:divBdr>
                <w:top w:val="none" w:sz="0" w:space="0" w:color="auto"/>
                <w:left w:val="none" w:sz="0" w:space="0" w:color="auto"/>
                <w:bottom w:val="none" w:sz="0" w:space="0" w:color="auto"/>
                <w:right w:val="none" w:sz="0" w:space="0" w:color="auto"/>
              </w:divBdr>
              <w:divsChild>
                <w:div w:id="1982809245">
                  <w:marLeft w:val="0"/>
                  <w:marRight w:val="0"/>
                  <w:marTop w:val="0"/>
                  <w:marBottom w:val="0"/>
                  <w:divBdr>
                    <w:top w:val="none" w:sz="0" w:space="0" w:color="auto"/>
                    <w:left w:val="none" w:sz="0" w:space="0" w:color="auto"/>
                    <w:bottom w:val="none" w:sz="0" w:space="0" w:color="auto"/>
                    <w:right w:val="none" w:sz="0" w:space="0" w:color="auto"/>
                  </w:divBdr>
                  <w:divsChild>
                    <w:div w:id="102923623">
                      <w:marLeft w:val="0"/>
                      <w:marRight w:val="0"/>
                      <w:marTop w:val="0"/>
                      <w:marBottom w:val="0"/>
                      <w:divBdr>
                        <w:top w:val="none" w:sz="0" w:space="0" w:color="auto"/>
                        <w:left w:val="none" w:sz="0" w:space="0" w:color="auto"/>
                        <w:bottom w:val="none" w:sz="0" w:space="0" w:color="auto"/>
                        <w:right w:val="none" w:sz="0" w:space="0" w:color="auto"/>
                      </w:divBdr>
                      <w:divsChild>
                        <w:div w:id="2075666185">
                          <w:marLeft w:val="0"/>
                          <w:marRight w:val="0"/>
                          <w:marTop w:val="0"/>
                          <w:marBottom w:val="0"/>
                          <w:divBdr>
                            <w:top w:val="none" w:sz="0" w:space="0" w:color="auto"/>
                            <w:left w:val="none" w:sz="0" w:space="0" w:color="auto"/>
                            <w:bottom w:val="none" w:sz="0" w:space="0" w:color="auto"/>
                            <w:right w:val="none" w:sz="0" w:space="0" w:color="auto"/>
                          </w:divBdr>
                          <w:divsChild>
                            <w:div w:id="342633902">
                              <w:marLeft w:val="0"/>
                              <w:marRight w:val="0"/>
                              <w:marTop w:val="0"/>
                              <w:marBottom w:val="0"/>
                              <w:divBdr>
                                <w:top w:val="none" w:sz="0" w:space="0" w:color="auto"/>
                                <w:left w:val="none" w:sz="0" w:space="0" w:color="auto"/>
                                <w:bottom w:val="none" w:sz="0" w:space="0" w:color="auto"/>
                                <w:right w:val="none" w:sz="0" w:space="0" w:color="auto"/>
                              </w:divBdr>
                              <w:divsChild>
                                <w:div w:id="1100636427">
                                  <w:marLeft w:val="0"/>
                                  <w:marRight w:val="0"/>
                                  <w:marTop w:val="0"/>
                                  <w:marBottom w:val="0"/>
                                  <w:divBdr>
                                    <w:top w:val="none" w:sz="0" w:space="0" w:color="auto"/>
                                    <w:left w:val="none" w:sz="0" w:space="0" w:color="auto"/>
                                    <w:bottom w:val="none" w:sz="0" w:space="0" w:color="auto"/>
                                    <w:right w:val="none" w:sz="0" w:space="0" w:color="auto"/>
                                  </w:divBdr>
                                  <w:divsChild>
                                    <w:div w:id="538468797">
                                      <w:marLeft w:val="0"/>
                                      <w:marRight w:val="0"/>
                                      <w:marTop w:val="0"/>
                                      <w:marBottom w:val="0"/>
                                      <w:divBdr>
                                        <w:top w:val="none" w:sz="0" w:space="0" w:color="auto"/>
                                        <w:left w:val="none" w:sz="0" w:space="0" w:color="auto"/>
                                        <w:bottom w:val="none" w:sz="0" w:space="0" w:color="auto"/>
                                        <w:right w:val="none" w:sz="0" w:space="0" w:color="auto"/>
                                      </w:divBdr>
                                      <w:divsChild>
                                        <w:div w:id="25028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28664">
          <w:marLeft w:val="0"/>
          <w:marRight w:val="0"/>
          <w:marTop w:val="0"/>
          <w:marBottom w:val="0"/>
          <w:divBdr>
            <w:top w:val="none" w:sz="0" w:space="0" w:color="auto"/>
            <w:left w:val="none" w:sz="0" w:space="0" w:color="auto"/>
            <w:bottom w:val="none" w:sz="0" w:space="0" w:color="auto"/>
            <w:right w:val="none" w:sz="0" w:space="0" w:color="auto"/>
          </w:divBdr>
          <w:divsChild>
            <w:div w:id="1111054105">
              <w:marLeft w:val="0"/>
              <w:marRight w:val="0"/>
              <w:marTop w:val="0"/>
              <w:marBottom w:val="0"/>
              <w:divBdr>
                <w:top w:val="none" w:sz="0" w:space="0" w:color="auto"/>
                <w:left w:val="none" w:sz="0" w:space="0" w:color="auto"/>
                <w:bottom w:val="none" w:sz="0" w:space="0" w:color="auto"/>
                <w:right w:val="none" w:sz="0" w:space="0" w:color="auto"/>
              </w:divBdr>
              <w:divsChild>
                <w:div w:id="779644250">
                  <w:marLeft w:val="0"/>
                  <w:marRight w:val="0"/>
                  <w:marTop w:val="0"/>
                  <w:marBottom w:val="0"/>
                  <w:divBdr>
                    <w:top w:val="none" w:sz="0" w:space="0" w:color="auto"/>
                    <w:left w:val="none" w:sz="0" w:space="0" w:color="auto"/>
                    <w:bottom w:val="none" w:sz="0" w:space="0" w:color="auto"/>
                    <w:right w:val="none" w:sz="0" w:space="0" w:color="auto"/>
                  </w:divBdr>
                  <w:divsChild>
                    <w:div w:id="1904829465">
                      <w:marLeft w:val="0"/>
                      <w:marRight w:val="0"/>
                      <w:marTop w:val="0"/>
                      <w:marBottom w:val="0"/>
                      <w:divBdr>
                        <w:top w:val="none" w:sz="0" w:space="0" w:color="auto"/>
                        <w:left w:val="none" w:sz="0" w:space="0" w:color="auto"/>
                        <w:bottom w:val="none" w:sz="0" w:space="0" w:color="auto"/>
                        <w:right w:val="none" w:sz="0" w:space="0" w:color="auto"/>
                      </w:divBdr>
                      <w:divsChild>
                        <w:div w:id="1472483173">
                          <w:marLeft w:val="0"/>
                          <w:marRight w:val="0"/>
                          <w:marTop w:val="0"/>
                          <w:marBottom w:val="0"/>
                          <w:divBdr>
                            <w:top w:val="none" w:sz="0" w:space="0" w:color="auto"/>
                            <w:left w:val="none" w:sz="0" w:space="0" w:color="auto"/>
                            <w:bottom w:val="none" w:sz="0" w:space="0" w:color="auto"/>
                            <w:right w:val="none" w:sz="0" w:space="0" w:color="auto"/>
                          </w:divBdr>
                          <w:divsChild>
                            <w:div w:id="1536771866">
                              <w:marLeft w:val="0"/>
                              <w:marRight w:val="0"/>
                              <w:marTop w:val="0"/>
                              <w:marBottom w:val="0"/>
                              <w:divBdr>
                                <w:top w:val="none" w:sz="0" w:space="0" w:color="auto"/>
                                <w:left w:val="none" w:sz="0" w:space="0" w:color="auto"/>
                                <w:bottom w:val="none" w:sz="0" w:space="0" w:color="auto"/>
                                <w:right w:val="none" w:sz="0" w:space="0" w:color="auto"/>
                              </w:divBdr>
                              <w:divsChild>
                                <w:div w:id="858354785">
                                  <w:marLeft w:val="0"/>
                                  <w:marRight w:val="0"/>
                                  <w:marTop w:val="0"/>
                                  <w:marBottom w:val="0"/>
                                  <w:divBdr>
                                    <w:top w:val="none" w:sz="0" w:space="0" w:color="auto"/>
                                    <w:left w:val="none" w:sz="0" w:space="0" w:color="auto"/>
                                    <w:bottom w:val="none" w:sz="0" w:space="0" w:color="auto"/>
                                    <w:right w:val="none" w:sz="0" w:space="0" w:color="auto"/>
                                  </w:divBdr>
                                  <w:divsChild>
                                    <w:div w:id="1598292336">
                                      <w:marLeft w:val="0"/>
                                      <w:marRight w:val="0"/>
                                      <w:marTop w:val="0"/>
                                      <w:marBottom w:val="0"/>
                                      <w:divBdr>
                                        <w:top w:val="none" w:sz="0" w:space="0" w:color="auto"/>
                                        <w:left w:val="none" w:sz="0" w:space="0" w:color="auto"/>
                                        <w:bottom w:val="none" w:sz="0" w:space="0" w:color="auto"/>
                                        <w:right w:val="none" w:sz="0" w:space="0" w:color="auto"/>
                                      </w:divBdr>
                                      <w:divsChild>
                                        <w:div w:id="317077797">
                                          <w:marLeft w:val="0"/>
                                          <w:marRight w:val="0"/>
                                          <w:marTop w:val="0"/>
                                          <w:marBottom w:val="0"/>
                                          <w:divBdr>
                                            <w:top w:val="none" w:sz="0" w:space="0" w:color="auto"/>
                                            <w:left w:val="none" w:sz="0" w:space="0" w:color="auto"/>
                                            <w:bottom w:val="none" w:sz="0" w:space="0" w:color="auto"/>
                                            <w:right w:val="none" w:sz="0" w:space="0" w:color="auto"/>
                                          </w:divBdr>
                                          <w:divsChild>
                                            <w:div w:id="6888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920126">
          <w:marLeft w:val="0"/>
          <w:marRight w:val="0"/>
          <w:marTop w:val="0"/>
          <w:marBottom w:val="0"/>
          <w:divBdr>
            <w:top w:val="none" w:sz="0" w:space="0" w:color="auto"/>
            <w:left w:val="none" w:sz="0" w:space="0" w:color="auto"/>
            <w:bottom w:val="none" w:sz="0" w:space="0" w:color="auto"/>
            <w:right w:val="none" w:sz="0" w:space="0" w:color="auto"/>
          </w:divBdr>
          <w:divsChild>
            <w:div w:id="1834025100">
              <w:marLeft w:val="0"/>
              <w:marRight w:val="0"/>
              <w:marTop w:val="0"/>
              <w:marBottom w:val="0"/>
              <w:divBdr>
                <w:top w:val="none" w:sz="0" w:space="0" w:color="auto"/>
                <w:left w:val="none" w:sz="0" w:space="0" w:color="auto"/>
                <w:bottom w:val="none" w:sz="0" w:space="0" w:color="auto"/>
                <w:right w:val="none" w:sz="0" w:space="0" w:color="auto"/>
              </w:divBdr>
              <w:divsChild>
                <w:div w:id="1773280975">
                  <w:marLeft w:val="0"/>
                  <w:marRight w:val="0"/>
                  <w:marTop w:val="0"/>
                  <w:marBottom w:val="0"/>
                  <w:divBdr>
                    <w:top w:val="none" w:sz="0" w:space="0" w:color="auto"/>
                    <w:left w:val="none" w:sz="0" w:space="0" w:color="auto"/>
                    <w:bottom w:val="none" w:sz="0" w:space="0" w:color="auto"/>
                    <w:right w:val="none" w:sz="0" w:space="0" w:color="auto"/>
                  </w:divBdr>
                  <w:divsChild>
                    <w:div w:id="523860069">
                      <w:marLeft w:val="0"/>
                      <w:marRight w:val="0"/>
                      <w:marTop w:val="0"/>
                      <w:marBottom w:val="0"/>
                      <w:divBdr>
                        <w:top w:val="none" w:sz="0" w:space="0" w:color="auto"/>
                        <w:left w:val="none" w:sz="0" w:space="0" w:color="auto"/>
                        <w:bottom w:val="none" w:sz="0" w:space="0" w:color="auto"/>
                        <w:right w:val="none" w:sz="0" w:space="0" w:color="auto"/>
                      </w:divBdr>
                      <w:divsChild>
                        <w:div w:id="15618828">
                          <w:marLeft w:val="0"/>
                          <w:marRight w:val="0"/>
                          <w:marTop w:val="0"/>
                          <w:marBottom w:val="0"/>
                          <w:divBdr>
                            <w:top w:val="none" w:sz="0" w:space="0" w:color="auto"/>
                            <w:left w:val="none" w:sz="0" w:space="0" w:color="auto"/>
                            <w:bottom w:val="none" w:sz="0" w:space="0" w:color="auto"/>
                            <w:right w:val="none" w:sz="0" w:space="0" w:color="auto"/>
                          </w:divBdr>
                          <w:divsChild>
                            <w:div w:id="1924223405">
                              <w:marLeft w:val="0"/>
                              <w:marRight w:val="0"/>
                              <w:marTop w:val="0"/>
                              <w:marBottom w:val="0"/>
                              <w:divBdr>
                                <w:top w:val="none" w:sz="0" w:space="0" w:color="auto"/>
                                <w:left w:val="none" w:sz="0" w:space="0" w:color="auto"/>
                                <w:bottom w:val="none" w:sz="0" w:space="0" w:color="auto"/>
                                <w:right w:val="none" w:sz="0" w:space="0" w:color="auto"/>
                              </w:divBdr>
                              <w:divsChild>
                                <w:div w:id="1165513149">
                                  <w:marLeft w:val="0"/>
                                  <w:marRight w:val="0"/>
                                  <w:marTop w:val="0"/>
                                  <w:marBottom w:val="0"/>
                                  <w:divBdr>
                                    <w:top w:val="none" w:sz="0" w:space="0" w:color="auto"/>
                                    <w:left w:val="none" w:sz="0" w:space="0" w:color="auto"/>
                                    <w:bottom w:val="none" w:sz="0" w:space="0" w:color="auto"/>
                                    <w:right w:val="none" w:sz="0" w:space="0" w:color="auto"/>
                                  </w:divBdr>
                                  <w:divsChild>
                                    <w:div w:id="702631142">
                                      <w:marLeft w:val="0"/>
                                      <w:marRight w:val="0"/>
                                      <w:marTop w:val="0"/>
                                      <w:marBottom w:val="0"/>
                                      <w:divBdr>
                                        <w:top w:val="none" w:sz="0" w:space="0" w:color="auto"/>
                                        <w:left w:val="none" w:sz="0" w:space="0" w:color="auto"/>
                                        <w:bottom w:val="none" w:sz="0" w:space="0" w:color="auto"/>
                                        <w:right w:val="none" w:sz="0" w:space="0" w:color="auto"/>
                                      </w:divBdr>
                                      <w:divsChild>
                                        <w:div w:id="525992297">
                                          <w:marLeft w:val="0"/>
                                          <w:marRight w:val="0"/>
                                          <w:marTop w:val="0"/>
                                          <w:marBottom w:val="0"/>
                                          <w:divBdr>
                                            <w:top w:val="none" w:sz="0" w:space="0" w:color="auto"/>
                                            <w:left w:val="none" w:sz="0" w:space="0" w:color="auto"/>
                                            <w:bottom w:val="none" w:sz="0" w:space="0" w:color="auto"/>
                                            <w:right w:val="none" w:sz="0" w:space="0" w:color="auto"/>
                                          </w:divBdr>
                                          <w:divsChild>
                                            <w:div w:id="1586039469">
                                              <w:marLeft w:val="0"/>
                                              <w:marRight w:val="0"/>
                                              <w:marTop w:val="0"/>
                                              <w:marBottom w:val="0"/>
                                              <w:divBdr>
                                                <w:top w:val="none" w:sz="0" w:space="0" w:color="auto"/>
                                                <w:left w:val="none" w:sz="0" w:space="0" w:color="auto"/>
                                                <w:bottom w:val="none" w:sz="0" w:space="0" w:color="auto"/>
                                                <w:right w:val="none" w:sz="0" w:space="0" w:color="auto"/>
                                              </w:divBdr>
                                              <w:divsChild>
                                                <w:div w:id="788401719">
                                                  <w:marLeft w:val="0"/>
                                                  <w:marRight w:val="0"/>
                                                  <w:marTop w:val="0"/>
                                                  <w:marBottom w:val="0"/>
                                                  <w:divBdr>
                                                    <w:top w:val="none" w:sz="0" w:space="0" w:color="auto"/>
                                                    <w:left w:val="none" w:sz="0" w:space="0" w:color="auto"/>
                                                    <w:bottom w:val="none" w:sz="0" w:space="0" w:color="auto"/>
                                                    <w:right w:val="none" w:sz="0" w:space="0" w:color="auto"/>
                                                  </w:divBdr>
                                                  <w:divsChild>
                                                    <w:div w:id="1367177022">
                                                      <w:marLeft w:val="0"/>
                                                      <w:marRight w:val="0"/>
                                                      <w:marTop w:val="0"/>
                                                      <w:marBottom w:val="0"/>
                                                      <w:divBdr>
                                                        <w:top w:val="none" w:sz="0" w:space="0" w:color="auto"/>
                                                        <w:left w:val="none" w:sz="0" w:space="0" w:color="auto"/>
                                                        <w:bottom w:val="none" w:sz="0" w:space="0" w:color="auto"/>
                                                        <w:right w:val="none" w:sz="0" w:space="0" w:color="auto"/>
                                                      </w:divBdr>
                                                      <w:divsChild>
                                                        <w:div w:id="415857428">
                                                          <w:marLeft w:val="0"/>
                                                          <w:marRight w:val="0"/>
                                                          <w:marTop w:val="0"/>
                                                          <w:marBottom w:val="0"/>
                                                          <w:divBdr>
                                                            <w:top w:val="none" w:sz="0" w:space="0" w:color="auto"/>
                                                            <w:left w:val="none" w:sz="0" w:space="0" w:color="auto"/>
                                                            <w:bottom w:val="none" w:sz="0" w:space="0" w:color="auto"/>
                                                            <w:right w:val="none" w:sz="0" w:space="0" w:color="auto"/>
                                                          </w:divBdr>
                                                          <w:divsChild>
                                                            <w:div w:id="6429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88948">
                                              <w:marLeft w:val="0"/>
                                              <w:marRight w:val="0"/>
                                              <w:marTop w:val="0"/>
                                              <w:marBottom w:val="0"/>
                                              <w:divBdr>
                                                <w:top w:val="none" w:sz="0" w:space="0" w:color="auto"/>
                                                <w:left w:val="none" w:sz="0" w:space="0" w:color="auto"/>
                                                <w:bottom w:val="none" w:sz="0" w:space="0" w:color="auto"/>
                                                <w:right w:val="none" w:sz="0" w:space="0" w:color="auto"/>
                                              </w:divBdr>
                                              <w:divsChild>
                                                <w:div w:id="607544604">
                                                  <w:marLeft w:val="0"/>
                                                  <w:marRight w:val="0"/>
                                                  <w:marTop w:val="0"/>
                                                  <w:marBottom w:val="0"/>
                                                  <w:divBdr>
                                                    <w:top w:val="none" w:sz="0" w:space="0" w:color="auto"/>
                                                    <w:left w:val="none" w:sz="0" w:space="0" w:color="auto"/>
                                                    <w:bottom w:val="none" w:sz="0" w:space="0" w:color="auto"/>
                                                    <w:right w:val="none" w:sz="0" w:space="0" w:color="auto"/>
                                                  </w:divBdr>
                                                  <w:divsChild>
                                                    <w:div w:id="1264068798">
                                                      <w:marLeft w:val="0"/>
                                                      <w:marRight w:val="0"/>
                                                      <w:marTop w:val="0"/>
                                                      <w:marBottom w:val="0"/>
                                                      <w:divBdr>
                                                        <w:top w:val="none" w:sz="0" w:space="0" w:color="auto"/>
                                                        <w:left w:val="none" w:sz="0" w:space="0" w:color="auto"/>
                                                        <w:bottom w:val="none" w:sz="0" w:space="0" w:color="auto"/>
                                                        <w:right w:val="none" w:sz="0" w:space="0" w:color="auto"/>
                                                      </w:divBdr>
                                                      <w:divsChild>
                                                        <w:div w:id="1523010020">
                                                          <w:marLeft w:val="0"/>
                                                          <w:marRight w:val="0"/>
                                                          <w:marTop w:val="0"/>
                                                          <w:marBottom w:val="0"/>
                                                          <w:divBdr>
                                                            <w:top w:val="none" w:sz="0" w:space="0" w:color="auto"/>
                                                            <w:left w:val="none" w:sz="0" w:space="0" w:color="auto"/>
                                                            <w:bottom w:val="none" w:sz="0" w:space="0" w:color="auto"/>
                                                            <w:right w:val="none" w:sz="0" w:space="0" w:color="auto"/>
                                                          </w:divBdr>
                                                          <w:divsChild>
                                                            <w:div w:id="4797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347083">
                                      <w:marLeft w:val="0"/>
                                      <w:marRight w:val="0"/>
                                      <w:marTop w:val="0"/>
                                      <w:marBottom w:val="0"/>
                                      <w:divBdr>
                                        <w:top w:val="none" w:sz="0" w:space="0" w:color="auto"/>
                                        <w:left w:val="none" w:sz="0" w:space="0" w:color="auto"/>
                                        <w:bottom w:val="none" w:sz="0" w:space="0" w:color="auto"/>
                                        <w:right w:val="none" w:sz="0" w:space="0" w:color="auto"/>
                                      </w:divBdr>
                                      <w:divsChild>
                                        <w:div w:id="1894661424">
                                          <w:marLeft w:val="0"/>
                                          <w:marRight w:val="0"/>
                                          <w:marTop w:val="0"/>
                                          <w:marBottom w:val="0"/>
                                          <w:divBdr>
                                            <w:top w:val="none" w:sz="0" w:space="0" w:color="auto"/>
                                            <w:left w:val="none" w:sz="0" w:space="0" w:color="auto"/>
                                            <w:bottom w:val="none" w:sz="0" w:space="0" w:color="auto"/>
                                            <w:right w:val="none" w:sz="0" w:space="0" w:color="auto"/>
                                          </w:divBdr>
                                          <w:divsChild>
                                            <w:div w:id="1230111212">
                                              <w:marLeft w:val="0"/>
                                              <w:marRight w:val="0"/>
                                              <w:marTop w:val="0"/>
                                              <w:marBottom w:val="0"/>
                                              <w:divBdr>
                                                <w:top w:val="none" w:sz="0" w:space="0" w:color="auto"/>
                                                <w:left w:val="none" w:sz="0" w:space="0" w:color="auto"/>
                                                <w:bottom w:val="none" w:sz="0" w:space="0" w:color="auto"/>
                                                <w:right w:val="none" w:sz="0" w:space="0" w:color="auto"/>
                                              </w:divBdr>
                                              <w:divsChild>
                                                <w:div w:id="1237976520">
                                                  <w:marLeft w:val="0"/>
                                                  <w:marRight w:val="0"/>
                                                  <w:marTop w:val="0"/>
                                                  <w:marBottom w:val="0"/>
                                                  <w:divBdr>
                                                    <w:top w:val="none" w:sz="0" w:space="0" w:color="auto"/>
                                                    <w:left w:val="none" w:sz="0" w:space="0" w:color="auto"/>
                                                    <w:bottom w:val="none" w:sz="0" w:space="0" w:color="auto"/>
                                                    <w:right w:val="none" w:sz="0" w:space="0" w:color="auto"/>
                                                  </w:divBdr>
                                                  <w:divsChild>
                                                    <w:div w:id="1105224419">
                                                      <w:marLeft w:val="0"/>
                                                      <w:marRight w:val="0"/>
                                                      <w:marTop w:val="0"/>
                                                      <w:marBottom w:val="0"/>
                                                      <w:divBdr>
                                                        <w:top w:val="none" w:sz="0" w:space="0" w:color="auto"/>
                                                        <w:left w:val="none" w:sz="0" w:space="0" w:color="auto"/>
                                                        <w:bottom w:val="none" w:sz="0" w:space="0" w:color="auto"/>
                                                        <w:right w:val="none" w:sz="0" w:space="0" w:color="auto"/>
                                                      </w:divBdr>
                                                      <w:divsChild>
                                                        <w:div w:id="600917198">
                                                          <w:marLeft w:val="0"/>
                                                          <w:marRight w:val="0"/>
                                                          <w:marTop w:val="0"/>
                                                          <w:marBottom w:val="0"/>
                                                          <w:divBdr>
                                                            <w:top w:val="none" w:sz="0" w:space="0" w:color="auto"/>
                                                            <w:left w:val="none" w:sz="0" w:space="0" w:color="auto"/>
                                                            <w:bottom w:val="none" w:sz="0" w:space="0" w:color="auto"/>
                                                            <w:right w:val="none" w:sz="0" w:space="0" w:color="auto"/>
                                                          </w:divBdr>
                                                          <w:divsChild>
                                                            <w:div w:id="11144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463510">
                                              <w:marLeft w:val="0"/>
                                              <w:marRight w:val="0"/>
                                              <w:marTop w:val="0"/>
                                              <w:marBottom w:val="0"/>
                                              <w:divBdr>
                                                <w:top w:val="none" w:sz="0" w:space="0" w:color="auto"/>
                                                <w:left w:val="none" w:sz="0" w:space="0" w:color="auto"/>
                                                <w:bottom w:val="none" w:sz="0" w:space="0" w:color="auto"/>
                                                <w:right w:val="none" w:sz="0" w:space="0" w:color="auto"/>
                                              </w:divBdr>
                                              <w:divsChild>
                                                <w:div w:id="161775342">
                                                  <w:marLeft w:val="0"/>
                                                  <w:marRight w:val="0"/>
                                                  <w:marTop w:val="0"/>
                                                  <w:marBottom w:val="0"/>
                                                  <w:divBdr>
                                                    <w:top w:val="none" w:sz="0" w:space="0" w:color="auto"/>
                                                    <w:left w:val="none" w:sz="0" w:space="0" w:color="auto"/>
                                                    <w:bottom w:val="none" w:sz="0" w:space="0" w:color="auto"/>
                                                    <w:right w:val="none" w:sz="0" w:space="0" w:color="auto"/>
                                                  </w:divBdr>
                                                  <w:divsChild>
                                                    <w:div w:id="515583927">
                                                      <w:marLeft w:val="0"/>
                                                      <w:marRight w:val="0"/>
                                                      <w:marTop w:val="0"/>
                                                      <w:marBottom w:val="0"/>
                                                      <w:divBdr>
                                                        <w:top w:val="none" w:sz="0" w:space="0" w:color="auto"/>
                                                        <w:left w:val="none" w:sz="0" w:space="0" w:color="auto"/>
                                                        <w:bottom w:val="none" w:sz="0" w:space="0" w:color="auto"/>
                                                        <w:right w:val="none" w:sz="0" w:space="0" w:color="auto"/>
                                                      </w:divBdr>
                                                      <w:divsChild>
                                                        <w:div w:id="1631322780">
                                                          <w:marLeft w:val="0"/>
                                                          <w:marRight w:val="0"/>
                                                          <w:marTop w:val="0"/>
                                                          <w:marBottom w:val="0"/>
                                                          <w:divBdr>
                                                            <w:top w:val="none" w:sz="0" w:space="0" w:color="auto"/>
                                                            <w:left w:val="none" w:sz="0" w:space="0" w:color="auto"/>
                                                            <w:bottom w:val="none" w:sz="0" w:space="0" w:color="auto"/>
                                                            <w:right w:val="none" w:sz="0" w:space="0" w:color="auto"/>
                                                          </w:divBdr>
                                                          <w:divsChild>
                                                            <w:div w:id="1347488708">
                                                              <w:marLeft w:val="0"/>
                                                              <w:marRight w:val="0"/>
                                                              <w:marTop w:val="0"/>
                                                              <w:marBottom w:val="0"/>
                                                              <w:divBdr>
                                                                <w:top w:val="none" w:sz="0" w:space="0" w:color="auto"/>
                                                                <w:left w:val="none" w:sz="0" w:space="0" w:color="auto"/>
                                                                <w:bottom w:val="none" w:sz="0" w:space="0" w:color="auto"/>
                                                                <w:right w:val="none" w:sz="0" w:space="0" w:color="auto"/>
                                                              </w:divBdr>
                                                            </w:div>
                                                          </w:divsChild>
                                                        </w:div>
                                                        <w:div w:id="553392461">
                                                          <w:marLeft w:val="0"/>
                                                          <w:marRight w:val="0"/>
                                                          <w:marTop w:val="0"/>
                                                          <w:marBottom w:val="0"/>
                                                          <w:divBdr>
                                                            <w:top w:val="none" w:sz="0" w:space="0" w:color="auto"/>
                                                            <w:left w:val="none" w:sz="0" w:space="0" w:color="auto"/>
                                                            <w:bottom w:val="none" w:sz="0" w:space="0" w:color="auto"/>
                                                            <w:right w:val="none" w:sz="0" w:space="0" w:color="auto"/>
                                                          </w:divBdr>
                                                          <w:divsChild>
                                                            <w:div w:id="2066636958">
                                                              <w:marLeft w:val="0"/>
                                                              <w:marRight w:val="0"/>
                                                              <w:marTop w:val="0"/>
                                                              <w:marBottom w:val="0"/>
                                                              <w:divBdr>
                                                                <w:top w:val="none" w:sz="0" w:space="0" w:color="auto"/>
                                                                <w:left w:val="none" w:sz="0" w:space="0" w:color="auto"/>
                                                                <w:bottom w:val="none" w:sz="0" w:space="0" w:color="auto"/>
                                                                <w:right w:val="none" w:sz="0" w:space="0" w:color="auto"/>
                                                              </w:divBdr>
                                                              <w:divsChild>
                                                                <w:div w:id="1972052774">
                                                                  <w:marLeft w:val="0"/>
                                                                  <w:marRight w:val="0"/>
                                                                  <w:marTop w:val="0"/>
                                                                  <w:marBottom w:val="0"/>
                                                                  <w:divBdr>
                                                                    <w:top w:val="none" w:sz="0" w:space="0" w:color="auto"/>
                                                                    <w:left w:val="none" w:sz="0" w:space="0" w:color="auto"/>
                                                                    <w:bottom w:val="none" w:sz="0" w:space="0" w:color="auto"/>
                                                                    <w:right w:val="none" w:sz="0" w:space="0" w:color="auto"/>
                                                                  </w:divBdr>
                                                                  <w:divsChild>
                                                                    <w:div w:id="987169502">
                                                                      <w:marLeft w:val="0"/>
                                                                      <w:marRight w:val="0"/>
                                                                      <w:marTop w:val="0"/>
                                                                      <w:marBottom w:val="0"/>
                                                                      <w:divBdr>
                                                                        <w:top w:val="none" w:sz="0" w:space="0" w:color="auto"/>
                                                                        <w:left w:val="none" w:sz="0" w:space="0" w:color="auto"/>
                                                                        <w:bottom w:val="none" w:sz="0" w:space="0" w:color="auto"/>
                                                                        <w:right w:val="none" w:sz="0" w:space="0" w:color="auto"/>
                                                                      </w:divBdr>
                                                                      <w:divsChild>
                                                                        <w:div w:id="1318070223">
                                                                          <w:marLeft w:val="0"/>
                                                                          <w:marRight w:val="0"/>
                                                                          <w:marTop w:val="0"/>
                                                                          <w:marBottom w:val="0"/>
                                                                          <w:divBdr>
                                                                            <w:top w:val="none" w:sz="0" w:space="0" w:color="auto"/>
                                                                            <w:left w:val="none" w:sz="0" w:space="0" w:color="auto"/>
                                                                            <w:bottom w:val="none" w:sz="0" w:space="0" w:color="auto"/>
                                                                            <w:right w:val="none" w:sz="0" w:space="0" w:color="auto"/>
                                                                          </w:divBdr>
                                                                          <w:divsChild>
                                                                            <w:div w:id="414939659">
                                                                              <w:marLeft w:val="0"/>
                                                                              <w:marRight w:val="0"/>
                                                                              <w:marTop w:val="0"/>
                                                                              <w:marBottom w:val="0"/>
                                                                              <w:divBdr>
                                                                                <w:top w:val="none" w:sz="0" w:space="0" w:color="auto"/>
                                                                                <w:left w:val="none" w:sz="0" w:space="0" w:color="auto"/>
                                                                                <w:bottom w:val="none" w:sz="0" w:space="0" w:color="auto"/>
                                                                                <w:right w:val="none" w:sz="0" w:space="0" w:color="auto"/>
                                                                              </w:divBdr>
                                                                            </w:div>
                                                                            <w:div w:id="7781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382449">
          <w:marLeft w:val="0"/>
          <w:marRight w:val="0"/>
          <w:marTop w:val="0"/>
          <w:marBottom w:val="0"/>
          <w:divBdr>
            <w:top w:val="none" w:sz="0" w:space="0" w:color="auto"/>
            <w:left w:val="none" w:sz="0" w:space="0" w:color="auto"/>
            <w:bottom w:val="none" w:sz="0" w:space="0" w:color="auto"/>
            <w:right w:val="none" w:sz="0" w:space="0" w:color="auto"/>
          </w:divBdr>
          <w:divsChild>
            <w:div w:id="1530030391">
              <w:marLeft w:val="0"/>
              <w:marRight w:val="0"/>
              <w:marTop w:val="0"/>
              <w:marBottom w:val="0"/>
              <w:divBdr>
                <w:top w:val="none" w:sz="0" w:space="0" w:color="auto"/>
                <w:left w:val="none" w:sz="0" w:space="0" w:color="auto"/>
                <w:bottom w:val="none" w:sz="0" w:space="0" w:color="auto"/>
                <w:right w:val="none" w:sz="0" w:space="0" w:color="auto"/>
              </w:divBdr>
              <w:divsChild>
                <w:div w:id="1828353955">
                  <w:marLeft w:val="0"/>
                  <w:marRight w:val="0"/>
                  <w:marTop w:val="0"/>
                  <w:marBottom w:val="0"/>
                  <w:divBdr>
                    <w:top w:val="none" w:sz="0" w:space="0" w:color="auto"/>
                    <w:left w:val="none" w:sz="0" w:space="0" w:color="auto"/>
                    <w:bottom w:val="none" w:sz="0" w:space="0" w:color="auto"/>
                    <w:right w:val="none" w:sz="0" w:space="0" w:color="auto"/>
                  </w:divBdr>
                  <w:divsChild>
                    <w:div w:id="1728871125">
                      <w:marLeft w:val="0"/>
                      <w:marRight w:val="0"/>
                      <w:marTop w:val="0"/>
                      <w:marBottom w:val="0"/>
                      <w:divBdr>
                        <w:top w:val="none" w:sz="0" w:space="0" w:color="auto"/>
                        <w:left w:val="none" w:sz="0" w:space="0" w:color="auto"/>
                        <w:bottom w:val="none" w:sz="0" w:space="0" w:color="auto"/>
                        <w:right w:val="none" w:sz="0" w:space="0" w:color="auto"/>
                      </w:divBdr>
                      <w:divsChild>
                        <w:div w:id="1495493542">
                          <w:marLeft w:val="0"/>
                          <w:marRight w:val="0"/>
                          <w:marTop w:val="0"/>
                          <w:marBottom w:val="0"/>
                          <w:divBdr>
                            <w:top w:val="none" w:sz="0" w:space="0" w:color="auto"/>
                            <w:left w:val="none" w:sz="0" w:space="0" w:color="auto"/>
                            <w:bottom w:val="none" w:sz="0" w:space="0" w:color="auto"/>
                            <w:right w:val="none" w:sz="0" w:space="0" w:color="auto"/>
                          </w:divBdr>
                          <w:divsChild>
                            <w:div w:id="1771774844">
                              <w:marLeft w:val="0"/>
                              <w:marRight w:val="0"/>
                              <w:marTop w:val="0"/>
                              <w:marBottom w:val="0"/>
                              <w:divBdr>
                                <w:top w:val="none" w:sz="0" w:space="0" w:color="auto"/>
                                <w:left w:val="none" w:sz="0" w:space="0" w:color="auto"/>
                                <w:bottom w:val="none" w:sz="0" w:space="0" w:color="auto"/>
                                <w:right w:val="none" w:sz="0" w:space="0" w:color="auto"/>
                              </w:divBdr>
                              <w:divsChild>
                                <w:div w:id="183980364">
                                  <w:marLeft w:val="0"/>
                                  <w:marRight w:val="0"/>
                                  <w:marTop w:val="0"/>
                                  <w:marBottom w:val="0"/>
                                  <w:divBdr>
                                    <w:top w:val="none" w:sz="0" w:space="0" w:color="auto"/>
                                    <w:left w:val="none" w:sz="0" w:space="0" w:color="auto"/>
                                    <w:bottom w:val="none" w:sz="0" w:space="0" w:color="auto"/>
                                    <w:right w:val="none" w:sz="0" w:space="0" w:color="auto"/>
                                  </w:divBdr>
                                  <w:divsChild>
                                    <w:div w:id="379401650">
                                      <w:marLeft w:val="0"/>
                                      <w:marRight w:val="0"/>
                                      <w:marTop w:val="0"/>
                                      <w:marBottom w:val="0"/>
                                      <w:divBdr>
                                        <w:top w:val="none" w:sz="0" w:space="0" w:color="auto"/>
                                        <w:left w:val="none" w:sz="0" w:space="0" w:color="auto"/>
                                        <w:bottom w:val="none" w:sz="0" w:space="0" w:color="auto"/>
                                        <w:right w:val="none" w:sz="0" w:space="0" w:color="auto"/>
                                      </w:divBdr>
                                      <w:divsChild>
                                        <w:div w:id="1164004615">
                                          <w:marLeft w:val="0"/>
                                          <w:marRight w:val="0"/>
                                          <w:marTop w:val="0"/>
                                          <w:marBottom w:val="0"/>
                                          <w:divBdr>
                                            <w:top w:val="none" w:sz="0" w:space="0" w:color="auto"/>
                                            <w:left w:val="none" w:sz="0" w:space="0" w:color="auto"/>
                                            <w:bottom w:val="none" w:sz="0" w:space="0" w:color="auto"/>
                                            <w:right w:val="none" w:sz="0" w:space="0" w:color="auto"/>
                                          </w:divBdr>
                                          <w:divsChild>
                                            <w:div w:id="11461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5032076">
          <w:marLeft w:val="0"/>
          <w:marRight w:val="0"/>
          <w:marTop w:val="0"/>
          <w:marBottom w:val="0"/>
          <w:divBdr>
            <w:top w:val="none" w:sz="0" w:space="0" w:color="auto"/>
            <w:left w:val="none" w:sz="0" w:space="0" w:color="auto"/>
            <w:bottom w:val="none" w:sz="0" w:space="0" w:color="auto"/>
            <w:right w:val="none" w:sz="0" w:space="0" w:color="auto"/>
          </w:divBdr>
          <w:divsChild>
            <w:div w:id="1054351317">
              <w:marLeft w:val="0"/>
              <w:marRight w:val="0"/>
              <w:marTop w:val="0"/>
              <w:marBottom w:val="0"/>
              <w:divBdr>
                <w:top w:val="none" w:sz="0" w:space="0" w:color="auto"/>
                <w:left w:val="none" w:sz="0" w:space="0" w:color="auto"/>
                <w:bottom w:val="none" w:sz="0" w:space="0" w:color="auto"/>
                <w:right w:val="none" w:sz="0" w:space="0" w:color="auto"/>
              </w:divBdr>
              <w:divsChild>
                <w:div w:id="2133135660">
                  <w:marLeft w:val="0"/>
                  <w:marRight w:val="0"/>
                  <w:marTop w:val="0"/>
                  <w:marBottom w:val="0"/>
                  <w:divBdr>
                    <w:top w:val="none" w:sz="0" w:space="0" w:color="auto"/>
                    <w:left w:val="none" w:sz="0" w:space="0" w:color="auto"/>
                    <w:bottom w:val="none" w:sz="0" w:space="0" w:color="auto"/>
                    <w:right w:val="none" w:sz="0" w:space="0" w:color="auto"/>
                  </w:divBdr>
                  <w:divsChild>
                    <w:div w:id="530922850">
                      <w:marLeft w:val="0"/>
                      <w:marRight w:val="0"/>
                      <w:marTop w:val="0"/>
                      <w:marBottom w:val="0"/>
                      <w:divBdr>
                        <w:top w:val="none" w:sz="0" w:space="0" w:color="auto"/>
                        <w:left w:val="none" w:sz="0" w:space="0" w:color="auto"/>
                        <w:bottom w:val="none" w:sz="0" w:space="0" w:color="auto"/>
                        <w:right w:val="none" w:sz="0" w:space="0" w:color="auto"/>
                      </w:divBdr>
                      <w:divsChild>
                        <w:div w:id="1427071938">
                          <w:marLeft w:val="0"/>
                          <w:marRight w:val="0"/>
                          <w:marTop w:val="0"/>
                          <w:marBottom w:val="0"/>
                          <w:divBdr>
                            <w:top w:val="none" w:sz="0" w:space="0" w:color="auto"/>
                            <w:left w:val="none" w:sz="0" w:space="0" w:color="auto"/>
                            <w:bottom w:val="none" w:sz="0" w:space="0" w:color="auto"/>
                            <w:right w:val="none" w:sz="0" w:space="0" w:color="auto"/>
                          </w:divBdr>
                          <w:divsChild>
                            <w:div w:id="426393630">
                              <w:marLeft w:val="0"/>
                              <w:marRight w:val="0"/>
                              <w:marTop w:val="0"/>
                              <w:marBottom w:val="0"/>
                              <w:divBdr>
                                <w:top w:val="none" w:sz="0" w:space="0" w:color="auto"/>
                                <w:left w:val="none" w:sz="0" w:space="0" w:color="auto"/>
                                <w:bottom w:val="none" w:sz="0" w:space="0" w:color="auto"/>
                                <w:right w:val="none" w:sz="0" w:space="0" w:color="auto"/>
                              </w:divBdr>
                              <w:divsChild>
                                <w:div w:id="776800657">
                                  <w:marLeft w:val="0"/>
                                  <w:marRight w:val="0"/>
                                  <w:marTop w:val="0"/>
                                  <w:marBottom w:val="0"/>
                                  <w:divBdr>
                                    <w:top w:val="none" w:sz="0" w:space="0" w:color="auto"/>
                                    <w:left w:val="none" w:sz="0" w:space="0" w:color="auto"/>
                                    <w:bottom w:val="none" w:sz="0" w:space="0" w:color="auto"/>
                                    <w:right w:val="none" w:sz="0" w:space="0" w:color="auto"/>
                                  </w:divBdr>
                                  <w:divsChild>
                                    <w:div w:id="1046566185">
                                      <w:marLeft w:val="0"/>
                                      <w:marRight w:val="0"/>
                                      <w:marTop w:val="0"/>
                                      <w:marBottom w:val="0"/>
                                      <w:divBdr>
                                        <w:top w:val="none" w:sz="0" w:space="0" w:color="auto"/>
                                        <w:left w:val="none" w:sz="0" w:space="0" w:color="auto"/>
                                        <w:bottom w:val="none" w:sz="0" w:space="0" w:color="auto"/>
                                        <w:right w:val="none" w:sz="0" w:space="0" w:color="auto"/>
                                      </w:divBdr>
                                      <w:divsChild>
                                        <w:div w:id="10042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449117">
          <w:marLeft w:val="0"/>
          <w:marRight w:val="0"/>
          <w:marTop w:val="0"/>
          <w:marBottom w:val="0"/>
          <w:divBdr>
            <w:top w:val="none" w:sz="0" w:space="0" w:color="auto"/>
            <w:left w:val="none" w:sz="0" w:space="0" w:color="auto"/>
            <w:bottom w:val="none" w:sz="0" w:space="0" w:color="auto"/>
            <w:right w:val="none" w:sz="0" w:space="0" w:color="auto"/>
          </w:divBdr>
          <w:divsChild>
            <w:div w:id="1977830267">
              <w:marLeft w:val="0"/>
              <w:marRight w:val="0"/>
              <w:marTop w:val="0"/>
              <w:marBottom w:val="0"/>
              <w:divBdr>
                <w:top w:val="none" w:sz="0" w:space="0" w:color="auto"/>
                <w:left w:val="none" w:sz="0" w:space="0" w:color="auto"/>
                <w:bottom w:val="none" w:sz="0" w:space="0" w:color="auto"/>
                <w:right w:val="none" w:sz="0" w:space="0" w:color="auto"/>
              </w:divBdr>
              <w:divsChild>
                <w:div w:id="1626235597">
                  <w:marLeft w:val="0"/>
                  <w:marRight w:val="0"/>
                  <w:marTop w:val="0"/>
                  <w:marBottom w:val="0"/>
                  <w:divBdr>
                    <w:top w:val="none" w:sz="0" w:space="0" w:color="auto"/>
                    <w:left w:val="none" w:sz="0" w:space="0" w:color="auto"/>
                    <w:bottom w:val="none" w:sz="0" w:space="0" w:color="auto"/>
                    <w:right w:val="none" w:sz="0" w:space="0" w:color="auto"/>
                  </w:divBdr>
                  <w:divsChild>
                    <w:div w:id="554505643">
                      <w:marLeft w:val="0"/>
                      <w:marRight w:val="0"/>
                      <w:marTop w:val="0"/>
                      <w:marBottom w:val="0"/>
                      <w:divBdr>
                        <w:top w:val="none" w:sz="0" w:space="0" w:color="auto"/>
                        <w:left w:val="none" w:sz="0" w:space="0" w:color="auto"/>
                        <w:bottom w:val="none" w:sz="0" w:space="0" w:color="auto"/>
                        <w:right w:val="none" w:sz="0" w:space="0" w:color="auto"/>
                      </w:divBdr>
                      <w:divsChild>
                        <w:div w:id="1271164886">
                          <w:marLeft w:val="0"/>
                          <w:marRight w:val="0"/>
                          <w:marTop w:val="0"/>
                          <w:marBottom w:val="0"/>
                          <w:divBdr>
                            <w:top w:val="none" w:sz="0" w:space="0" w:color="auto"/>
                            <w:left w:val="none" w:sz="0" w:space="0" w:color="auto"/>
                            <w:bottom w:val="none" w:sz="0" w:space="0" w:color="auto"/>
                            <w:right w:val="none" w:sz="0" w:space="0" w:color="auto"/>
                          </w:divBdr>
                          <w:divsChild>
                            <w:div w:id="1301377451">
                              <w:marLeft w:val="0"/>
                              <w:marRight w:val="0"/>
                              <w:marTop w:val="0"/>
                              <w:marBottom w:val="0"/>
                              <w:divBdr>
                                <w:top w:val="none" w:sz="0" w:space="0" w:color="auto"/>
                                <w:left w:val="none" w:sz="0" w:space="0" w:color="auto"/>
                                <w:bottom w:val="none" w:sz="0" w:space="0" w:color="auto"/>
                                <w:right w:val="none" w:sz="0" w:space="0" w:color="auto"/>
                              </w:divBdr>
                              <w:divsChild>
                                <w:div w:id="1741515715">
                                  <w:marLeft w:val="0"/>
                                  <w:marRight w:val="0"/>
                                  <w:marTop w:val="0"/>
                                  <w:marBottom w:val="0"/>
                                  <w:divBdr>
                                    <w:top w:val="none" w:sz="0" w:space="0" w:color="auto"/>
                                    <w:left w:val="none" w:sz="0" w:space="0" w:color="auto"/>
                                    <w:bottom w:val="none" w:sz="0" w:space="0" w:color="auto"/>
                                    <w:right w:val="none" w:sz="0" w:space="0" w:color="auto"/>
                                  </w:divBdr>
                                  <w:divsChild>
                                    <w:div w:id="127430957">
                                      <w:marLeft w:val="0"/>
                                      <w:marRight w:val="0"/>
                                      <w:marTop w:val="0"/>
                                      <w:marBottom w:val="0"/>
                                      <w:divBdr>
                                        <w:top w:val="none" w:sz="0" w:space="0" w:color="auto"/>
                                        <w:left w:val="none" w:sz="0" w:space="0" w:color="auto"/>
                                        <w:bottom w:val="none" w:sz="0" w:space="0" w:color="auto"/>
                                        <w:right w:val="none" w:sz="0" w:space="0" w:color="auto"/>
                                      </w:divBdr>
                                      <w:divsChild>
                                        <w:div w:id="2143770243">
                                          <w:marLeft w:val="0"/>
                                          <w:marRight w:val="0"/>
                                          <w:marTop w:val="0"/>
                                          <w:marBottom w:val="0"/>
                                          <w:divBdr>
                                            <w:top w:val="none" w:sz="0" w:space="0" w:color="auto"/>
                                            <w:left w:val="none" w:sz="0" w:space="0" w:color="auto"/>
                                            <w:bottom w:val="none" w:sz="0" w:space="0" w:color="auto"/>
                                            <w:right w:val="none" w:sz="0" w:space="0" w:color="auto"/>
                                          </w:divBdr>
                                          <w:divsChild>
                                            <w:div w:id="8595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988660">
          <w:marLeft w:val="0"/>
          <w:marRight w:val="0"/>
          <w:marTop w:val="0"/>
          <w:marBottom w:val="0"/>
          <w:divBdr>
            <w:top w:val="none" w:sz="0" w:space="0" w:color="auto"/>
            <w:left w:val="none" w:sz="0" w:space="0" w:color="auto"/>
            <w:bottom w:val="none" w:sz="0" w:space="0" w:color="auto"/>
            <w:right w:val="none" w:sz="0" w:space="0" w:color="auto"/>
          </w:divBdr>
          <w:divsChild>
            <w:div w:id="2131626073">
              <w:marLeft w:val="0"/>
              <w:marRight w:val="0"/>
              <w:marTop w:val="0"/>
              <w:marBottom w:val="0"/>
              <w:divBdr>
                <w:top w:val="none" w:sz="0" w:space="0" w:color="auto"/>
                <w:left w:val="none" w:sz="0" w:space="0" w:color="auto"/>
                <w:bottom w:val="none" w:sz="0" w:space="0" w:color="auto"/>
                <w:right w:val="none" w:sz="0" w:space="0" w:color="auto"/>
              </w:divBdr>
              <w:divsChild>
                <w:div w:id="892935357">
                  <w:marLeft w:val="0"/>
                  <w:marRight w:val="0"/>
                  <w:marTop w:val="0"/>
                  <w:marBottom w:val="0"/>
                  <w:divBdr>
                    <w:top w:val="none" w:sz="0" w:space="0" w:color="auto"/>
                    <w:left w:val="none" w:sz="0" w:space="0" w:color="auto"/>
                    <w:bottom w:val="none" w:sz="0" w:space="0" w:color="auto"/>
                    <w:right w:val="none" w:sz="0" w:space="0" w:color="auto"/>
                  </w:divBdr>
                  <w:divsChild>
                    <w:div w:id="1561817878">
                      <w:marLeft w:val="0"/>
                      <w:marRight w:val="0"/>
                      <w:marTop w:val="0"/>
                      <w:marBottom w:val="0"/>
                      <w:divBdr>
                        <w:top w:val="none" w:sz="0" w:space="0" w:color="auto"/>
                        <w:left w:val="none" w:sz="0" w:space="0" w:color="auto"/>
                        <w:bottom w:val="none" w:sz="0" w:space="0" w:color="auto"/>
                        <w:right w:val="none" w:sz="0" w:space="0" w:color="auto"/>
                      </w:divBdr>
                      <w:divsChild>
                        <w:div w:id="724379706">
                          <w:marLeft w:val="0"/>
                          <w:marRight w:val="0"/>
                          <w:marTop w:val="0"/>
                          <w:marBottom w:val="0"/>
                          <w:divBdr>
                            <w:top w:val="none" w:sz="0" w:space="0" w:color="auto"/>
                            <w:left w:val="none" w:sz="0" w:space="0" w:color="auto"/>
                            <w:bottom w:val="none" w:sz="0" w:space="0" w:color="auto"/>
                            <w:right w:val="none" w:sz="0" w:space="0" w:color="auto"/>
                          </w:divBdr>
                          <w:divsChild>
                            <w:div w:id="1111629427">
                              <w:marLeft w:val="0"/>
                              <w:marRight w:val="0"/>
                              <w:marTop w:val="0"/>
                              <w:marBottom w:val="0"/>
                              <w:divBdr>
                                <w:top w:val="none" w:sz="0" w:space="0" w:color="auto"/>
                                <w:left w:val="none" w:sz="0" w:space="0" w:color="auto"/>
                                <w:bottom w:val="none" w:sz="0" w:space="0" w:color="auto"/>
                                <w:right w:val="none" w:sz="0" w:space="0" w:color="auto"/>
                              </w:divBdr>
                              <w:divsChild>
                                <w:div w:id="418211005">
                                  <w:marLeft w:val="0"/>
                                  <w:marRight w:val="0"/>
                                  <w:marTop w:val="0"/>
                                  <w:marBottom w:val="0"/>
                                  <w:divBdr>
                                    <w:top w:val="none" w:sz="0" w:space="0" w:color="auto"/>
                                    <w:left w:val="none" w:sz="0" w:space="0" w:color="auto"/>
                                    <w:bottom w:val="none" w:sz="0" w:space="0" w:color="auto"/>
                                    <w:right w:val="none" w:sz="0" w:space="0" w:color="auto"/>
                                  </w:divBdr>
                                  <w:divsChild>
                                    <w:div w:id="1407724271">
                                      <w:marLeft w:val="0"/>
                                      <w:marRight w:val="0"/>
                                      <w:marTop w:val="0"/>
                                      <w:marBottom w:val="0"/>
                                      <w:divBdr>
                                        <w:top w:val="none" w:sz="0" w:space="0" w:color="auto"/>
                                        <w:left w:val="none" w:sz="0" w:space="0" w:color="auto"/>
                                        <w:bottom w:val="none" w:sz="0" w:space="0" w:color="auto"/>
                                        <w:right w:val="none" w:sz="0" w:space="0" w:color="auto"/>
                                      </w:divBdr>
                                      <w:divsChild>
                                        <w:div w:id="10745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629142">
          <w:marLeft w:val="0"/>
          <w:marRight w:val="0"/>
          <w:marTop w:val="0"/>
          <w:marBottom w:val="0"/>
          <w:divBdr>
            <w:top w:val="none" w:sz="0" w:space="0" w:color="auto"/>
            <w:left w:val="none" w:sz="0" w:space="0" w:color="auto"/>
            <w:bottom w:val="none" w:sz="0" w:space="0" w:color="auto"/>
            <w:right w:val="none" w:sz="0" w:space="0" w:color="auto"/>
          </w:divBdr>
          <w:divsChild>
            <w:div w:id="521821829">
              <w:marLeft w:val="0"/>
              <w:marRight w:val="0"/>
              <w:marTop w:val="0"/>
              <w:marBottom w:val="0"/>
              <w:divBdr>
                <w:top w:val="none" w:sz="0" w:space="0" w:color="auto"/>
                <w:left w:val="none" w:sz="0" w:space="0" w:color="auto"/>
                <w:bottom w:val="none" w:sz="0" w:space="0" w:color="auto"/>
                <w:right w:val="none" w:sz="0" w:space="0" w:color="auto"/>
              </w:divBdr>
              <w:divsChild>
                <w:div w:id="1670786088">
                  <w:marLeft w:val="0"/>
                  <w:marRight w:val="0"/>
                  <w:marTop w:val="0"/>
                  <w:marBottom w:val="0"/>
                  <w:divBdr>
                    <w:top w:val="none" w:sz="0" w:space="0" w:color="auto"/>
                    <w:left w:val="none" w:sz="0" w:space="0" w:color="auto"/>
                    <w:bottom w:val="none" w:sz="0" w:space="0" w:color="auto"/>
                    <w:right w:val="none" w:sz="0" w:space="0" w:color="auto"/>
                  </w:divBdr>
                  <w:divsChild>
                    <w:div w:id="28802062">
                      <w:marLeft w:val="0"/>
                      <w:marRight w:val="0"/>
                      <w:marTop w:val="0"/>
                      <w:marBottom w:val="0"/>
                      <w:divBdr>
                        <w:top w:val="none" w:sz="0" w:space="0" w:color="auto"/>
                        <w:left w:val="none" w:sz="0" w:space="0" w:color="auto"/>
                        <w:bottom w:val="none" w:sz="0" w:space="0" w:color="auto"/>
                        <w:right w:val="none" w:sz="0" w:space="0" w:color="auto"/>
                      </w:divBdr>
                      <w:divsChild>
                        <w:div w:id="994333208">
                          <w:marLeft w:val="0"/>
                          <w:marRight w:val="0"/>
                          <w:marTop w:val="0"/>
                          <w:marBottom w:val="0"/>
                          <w:divBdr>
                            <w:top w:val="none" w:sz="0" w:space="0" w:color="auto"/>
                            <w:left w:val="none" w:sz="0" w:space="0" w:color="auto"/>
                            <w:bottom w:val="none" w:sz="0" w:space="0" w:color="auto"/>
                            <w:right w:val="none" w:sz="0" w:space="0" w:color="auto"/>
                          </w:divBdr>
                          <w:divsChild>
                            <w:div w:id="1238245653">
                              <w:marLeft w:val="0"/>
                              <w:marRight w:val="0"/>
                              <w:marTop w:val="0"/>
                              <w:marBottom w:val="0"/>
                              <w:divBdr>
                                <w:top w:val="none" w:sz="0" w:space="0" w:color="auto"/>
                                <w:left w:val="none" w:sz="0" w:space="0" w:color="auto"/>
                                <w:bottom w:val="none" w:sz="0" w:space="0" w:color="auto"/>
                                <w:right w:val="none" w:sz="0" w:space="0" w:color="auto"/>
                              </w:divBdr>
                              <w:divsChild>
                                <w:div w:id="311176470">
                                  <w:marLeft w:val="0"/>
                                  <w:marRight w:val="0"/>
                                  <w:marTop w:val="0"/>
                                  <w:marBottom w:val="0"/>
                                  <w:divBdr>
                                    <w:top w:val="none" w:sz="0" w:space="0" w:color="auto"/>
                                    <w:left w:val="none" w:sz="0" w:space="0" w:color="auto"/>
                                    <w:bottom w:val="none" w:sz="0" w:space="0" w:color="auto"/>
                                    <w:right w:val="none" w:sz="0" w:space="0" w:color="auto"/>
                                  </w:divBdr>
                                  <w:divsChild>
                                    <w:div w:id="1187019945">
                                      <w:marLeft w:val="0"/>
                                      <w:marRight w:val="0"/>
                                      <w:marTop w:val="0"/>
                                      <w:marBottom w:val="0"/>
                                      <w:divBdr>
                                        <w:top w:val="none" w:sz="0" w:space="0" w:color="auto"/>
                                        <w:left w:val="none" w:sz="0" w:space="0" w:color="auto"/>
                                        <w:bottom w:val="none" w:sz="0" w:space="0" w:color="auto"/>
                                        <w:right w:val="none" w:sz="0" w:space="0" w:color="auto"/>
                                      </w:divBdr>
                                      <w:divsChild>
                                        <w:div w:id="286745252">
                                          <w:marLeft w:val="0"/>
                                          <w:marRight w:val="0"/>
                                          <w:marTop w:val="0"/>
                                          <w:marBottom w:val="0"/>
                                          <w:divBdr>
                                            <w:top w:val="none" w:sz="0" w:space="0" w:color="auto"/>
                                            <w:left w:val="none" w:sz="0" w:space="0" w:color="auto"/>
                                            <w:bottom w:val="none" w:sz="0" w:space="0" w:color="auto"/>
                                            <w:right w:val="none" w:sz="0" w:space="0" w:color="auto"/>
                                          </w:divBdr>
                                          <w:divsChild>
                                            <w:div w:id="11583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514248">
          <w:marLeft w:val="0"/>
          <w:marRight w:val="0"/>
          <w:marTop w:val="0"/>
          <w:marBottom w:val="0"/>
          <w:divBdr>
            <w:top w:val="none" w:sz="0" w:space="0" w:color="auto"/>
            <w:left w:val="none" w:sz="0" w:space="0" w:color="auto"/>
            <w:bottom w:val="none" w:sz="0" w:space="0" w:color="auto"/>
            <w:right w:val="none" w:sz="0" w:space="0" w:color="auto"/>
          </w:divBdr>
          <w:divsChild>
            <w:div w:id="816190587">
              <w:marLeft w:val="0"/>
              <w:marRight w:val="0"/>
              <w:marTop w:val="0"/>
              <w:marBottom w:val="0"/>
              <w:divBdr>
                <w:top w:val="none" w:sz="0" w:space="0" w:color="auto"/>
                <w:left w:val="none" w:sz="0" w:space="0" w:color="auto"/>
                <w:bottom w:val="none" w:sz="0" w:space="0" w:color="auto"/>
                <w:right w:val="none" w:sz="0" w:space="0" w:color="auto"/>
              </w:divBdr>
              <w:divsChild>
                <w:div w:id="1390768661">
                  <w:marLeft w:val="0"/>
                  <w:marRight w:val="0"/>
                  <w:marTop w:val="0"/>
                  <w:marBottom w:val="0"/>
                  <w:divBdr>
                    <w:top w:val="none" w:sz="0" w:space="0" w:color="auto"/>
                    <w:left w:val="none" w:sz="0" w:space="0" w:color="auto"/>
                    <w:bottom w:val="none" w:sz="0" w:space="0" w:color="auto"/>
                    <w:right w:val="none" w:sz="0" w:space="0" w:color="auto"/>
                  </w:divBdr>
                  <w:divsChild>
                    <w:div w:id="1125078955">
                      <w:marLeft w:val="0"/>
                      <w:marRight w:val="0"/>
                      <w:marTop w:val="0"/>
                      <w:marBottom w:val="0"/>
                      <w:divBdr>
                        <w:top w:val="none" w:sz="0" w:space="0" w:color="auto"/>
                        <w:left w:val="none" w:sz="0" w:space="0" w:color="auto"/>
                        <w:bottom w:val="none" w:sz="0" w:space="0" w:color="auto"/>
                        <w:right w:val="none" w:sz="0" w:space="0" w:color="auto"/>
                      </w:divBdr>
                      <w:divsChild>
                        <w:div w:id="966739211">
                          <w:marLeft w:val="0"/>
                          <w:marRight w:val="0"/>
                          <w:marTop w:val="0"/>
                          <w:marBottom w:val="0"/>
                          <w:divBdr>
                            <w:top w:val="none" w:sz="0" w:space="0" w:color="auto"/>
                            <w:left w:val="none" w:sz="0" w:space="0" w:color="auto"/>
                            <w:bottom w:val="none" w:sz="0" w:space="0" w:color="auto"/>
                            <w:right w:val="none" w:sz="0" w:space="0" w:color="auto"/>
                          </w:divBdr>
                          <w:divsChild>
                            <w:div w:id="1463697224">
                              <w:marLeft w:val="0"/>
                              <w:marRight w:val="0"/>
                              <w:marTop w:val="0"/>
                              <w:marBottom w:val="0"/>
                              <w:divBdr>
                                <w:top w:val="none" w:sz="0" w:space="0" w:color="auto"/>
                                <w:left w:val="none" w:sz="0" w:space="0" w:color="auto"/>
                                <w:bottom w:val="none" w:sz="0" w:space="0" w:color="auto"/>
                                <w:right w:val="none" w:sz="0" w:space="0" w:color="auto"/>
                              </w:divBdr>
                              <w:divsChild>
                                <w:div w:id="241989839">
                                  <w:marLeft w:val="0"/>
                                  <w:marRight w:val="0"/>
                                  <w:marTop w:val="0"/>
                                  <w:marBottom w:val="0"/>
                                  <w:divBdr>
                                    <w:top w:val="none" w:sz="0" w:space="0" w:color="auto"/>
                                    <w:left w:val="none" w:sz="0" w:space="0" w:color="auto"/>
                                    <w:bottom w:val="none" w:sz="0" w:space="0" w:color="auto"/>
                                    <w:right w:val="none" w:sz="0" w:space="0" w:color="auto"/>
                                  </w:divBdr>
                                  <w:divsChild>
                                    <w:div w:id="1509098103">
                                      <w:marLeft w:val="0"/>
                                      <w:marRight w:val="0"/>
                                      <w:marTop w:val="0"/>
                                      <w:marBottom w:val="0"/>
                                      <w:divBdr>
                                        <w:top w:val="none" w:sz="0" w:space="0" w:color="auto"/>
                                        <w:left w:val="none" w:sz="0" w:space="0" w:color="auto"/>
                                        <w:bottom w:val="none" w:sz="0" w:space="0" w:color="auto"/>
                                        <w:right w:val="none" w:sz="0" w:space="0" w:color="auto"/>
                                      </w:divBdr>
                                      <w:divsChild>
                                        <w:div w:id="1100636106">
                                          <w:marLeft w:val="0"/>
                                          <w:marRight w:val="0"/>
                                          <w:marTop w:val="0"/>
                                          <w:marBottom w:val="0"/>
                                          <w:divBdr>
                                            <w:top w:val="none" w:sz="0" w:space="0" w:color="auto"/>
                                            <w:left w:val="none" w:sz="0" w:space="0" w:color="auto"/>
                                            <w:bottom w:val="none" w:sz="0" w:space="0" w:color="auto"/>
                                            <w:right w:val="none" w:sz="0" w:space="0" w:color="auto"/>
                                          </w:divBdr>
                                          <w:divsChild>
                                            <w:div w:id="1403991985">
                                              <w:marLeft w:val="0"/>
                                              <w:marRight w:val="0"/>
                                              <w:marTop w:val="0"/>
                                              <w:marBottom w:val="0"/>
                                              <w:divBdr>
                                                <w:top w:val="none" w:sz="0" w:space="0" w:color="auto"/>
                                                <w:left w:val="none" w:sz="0" w:space="0" w:color="auto"/>
                                                <w:bottom w:val="none" w:sz="0" w:space="0" w:color="auto"/>
                                                <w:right w:val="none" w:sz="0" w:space="0" w:color="auto"/>
                                              </w:divBdr>
                                              <w:divsChild>
                                                <w:div w:id="507405454">
                                                  <w:marLeft w:val="0"/>
                                                  <w:marRight w:val="0"/>
                                                  <w:marTop w:val="0"/>
                                                  <w:marBottom w:val="0"/>
                                                  <w:divBdr>
                                                    <w:top w:val="none" w:sz="0" w:space="0" w:color="auto"/>
                                                    <w:left w:val="none" w:sz="0" w:space="0" w:color="auto"/>
                                                    <w:bottom w:val="none" w:sz="0" w:space="0" w:color="auto"/>
                                                    <w:right w:val="none" w:sz="0" w:space="0" w:color="auto"/>
                                                  </w:divBdr>
                                                  <w:divsChild>
                                                    <w:div w:id="1253929866">
                                                      <w:marLeft w:val="0"/>
                                                      <w:marRight w:val="0"/>
                                                      <w:marTop w:val="0"/>
                                                      <w:marBottom w:val="0"/>
                                                      <w:divBdr>
                                                        <w:top w:val="none" w:sz="0" w:space="0" w:color="auto"/>
                                                        <w:left w:val="none" w:sz="0" w:space="0" w:color="auto"/>
                                                        <w:bottom w:val="none" w:sz="0" w:space="0" w:color="auto"/>
                                                        <w:right w:val="none" w:sz="0" w:space="0" w:color="auto"/>
                                                      </w:divBdr>
                                                      <w:divsChild>
                                                        <w:div w:id="1544059024">
                                                          <w:marLeft w:val="0"/>
                                                          <w:marRight w:val="0"/>
                                                          <w:marTop w:val="0"/>
                                                          <w:marBottom w:val="0"/>
                                                          <w:divBdr>
                                                            <w:top w:val="none" w:sz="0" w:space="0" w:color="auto"/>
                                                            <w:left w:val="none" w:sz="0" w:space="0" w:color="auto"/>
                                                            <w:bottom w:val="none" w:sz="0" w:space="0" w:color="auto"/>
                                                            <w:right w:val="none" w:sz="0" w:space="0" w:color="auto"/>
                                                          </w:divBdr>
                                                          <w:divsChild>
                                                            <w:div w:id="8498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4859">
                                              <w:marLeft w:val="0"/>
                                              <w:marRight w:val="0"/>
                                              <w:marTop w:val="0"/>
                                              <w:marBottom w:val="0"/>
                                              <w:divBdr>
                                                <w:top w:val="none" w:sz="0" w:space="0" w:color="auto"/>
                                                <w:left w:val="none" w:sz="0" w:space="0" w:color="auto"/>
                                                <w:bottom w:val="none" w:sz="0" w:space="0" w:color="auto"/>
                                                <w:right w:val="none" w:sz="0" w:space="0" w:color="auto"/>
                                              </w:divBdr>
                                              <w:divsChild>
                                                <w:div w:id="1834369375">
                                                  <w:marLeft w:val="0"/>
                                                  <w:marRight w:val="0"/>
                                                  <w:marTop w:val="0"/>
                                                  <w:marBottom w:val="0"/>
                                                  <w:divBdr>
                                                    <w:top w:val="none" w:sz="0" w:space="0" w:color="auto"/>
                                                    <w:left w:val="none" w:sz="0" w:space="0" w:color="auto"/>
                                                    <w:bottom w:val="none" w:sz="0" w:space="0" w:color="auto"/>
                                                    <w:right w:val="none" w:sz="0" w:space="0" w:color="auto"/>
                                                  </w:divBdr>
                                                  <w:divsChild>
                                                    <w:div w:id="1725644056">
                                                      <w:marLeft w:val="0"/>
                                                      <w:marRight w:val="0"/>
                                                      <w:marTop w:val="0"/>
                                                      <w:marBottom w:val="0"/>
                                                      <w:divBdr>
                                                        <w:top w:val="none" w:sz="0" w:space="0" w:color="auto"/>
                                                        <w:left w:val="none" w:sz="0" w:space="0" w:color="auto"/>
                                                        <w:bottom w:val="none" w:sz="0" w:space="0" w:color="auto"/>
                                                        <w:right w:val="none" w:sz="0" w:space="0" w:color="auto"/>
                                                      </w:divBdr>
                                                      <w:divsChild>
                                                        <w:div w:id="252707169">
                                                          <w:marLeft w:val="0"/>
                                                          <w:marRight w:val="0"/>
                                                          <w:marTop w:val="0"/>
                                                          <w:marBottom w:val="0"/>
                                                          <w:divBdr>
                                                            <w:top w:val="none" w:sz="0" w:space="0" w:color="auto"/>
                                                            <w:left w:val="none" w:sz="0" w:space="0" w:color="auto"/>
                                                            <w:bottom w:val="none" w:sz="0" w:space="0" w:color="auto"/>
                                                            <w:right w:val="none" w:sz="0" w:space="0" w:color="auto"/>
                                                          </w:divBdr>
                                                          <w:divsChild>
                                                            <w:div w:id="20274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1630309">
      <w:bodyDiv w:val="1"/>
      <w:marLeft w:val="0"/>
      <w:marRight w:val="0"/>
      <w:marTop w:val="0"/>
      <w:marBottom w:val="0"/>
      <w:divBdr>
        <w:top w:val="none" w:sz="0" w:space="0" w:color="auto"/>
        <w:left w:val="none" w:sz="0" w:space="0" w:color="auto"/>
        <w:bottom w:val="none" w:sz="0" w:space="0" w:color="auto"/>
        <w:right w:val="none" w:sz="0" w:space="0" w:color="auto"/>
      </w:divBdr>
    </w:div>
    <w:div w:id="1559121803">
      <w:bodyDiv w:val="1"/>
      <w:marLeft w:val="0"/>
      <w:marRight w:val="0"/>
      <w:marTop w:val="0"/>
      <w:marBottom w:val="0"/>
      <w:divBdr>
        <w:top w:val="none" w:sz="0" w:space="0" w:color="auto"/>
        <w:left w:val="none" w:sz="0" w:space="0" w:color="auto"/>
        <w:bottom w:val="none" w:sz="0" w:space="0" w:color="auto"/>
        <w:right w:val="none" w:sz="0" w:space="0" w:color="auto"/>
      </w:divBdr>
      <w:divsChild>
        <w:div w:id="122803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617156">
      <w:bodyDiv w:val="1"/>
      <w:marLeft w:val="0"/>
      <w:marRight w:val="0"/>
      <w:marTop w:val="0"/>
      <w:marBottom w:val="0"/>
      <w:divBdr>
        <w:top w:val="none" w:sz="0" w:space="0" w:color="auto"/>
        <w:left w:val="none" w:sz="0" w:space="0" w:color="auto"/>
        <w:bottom w:val="none" w:sz="0" w:space="0" w:color="auto"/>
        <w:right w:val="none" w:sz="0" w:space="0" w:color="auto"/>
      </w:divBdr>
    </w:div>
    <w:div w:id="20563441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B82F0-B605-4135-9808-2F904A65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16204</Words>
  <Characters>89127</Characters>
  <Application>Microsoft Office Word</Application>
  <DocSecurity>0</DocSecurity>
  <Lines>742</Lines>
  <Paragraphs>210</Paragraphs>
  <ScaleCrop>false</ScaleCrop>
  <HeadingPairs>
    <vt:vector size="4" baseType="variant">
      <vt:variant>
        <vt:lpstr>Titre</vt:lpstr>
      </vt:variant>
      <vt:variant>
        <vt:i4>1</vt:i4>
      </vt:variant>
      <vt:variant>
        <vt:lpstr>Titres</vt:lpstr>
      </vt:variant>
      <vt:variant>
        <vt:i4>55</vt:i4>
      </vt:variant>
    </vt:vector>
  </HeadingPairs>
  <TitlesOfParts>
    <vt:vector size="56" baseType="lpstr">
      <vt:lpstr/>
      <vt:lpstr>Entre les soussignés</vt:lpstr>
      <vt:lpstr>Préambule</vt:lpstr>
      <vt:lpstr>Principe directeur de la transaction</vt:lpstr>
      <vt:lpstr>Principes directeurs de la décision</vt:lpstr>
      <vt:lpstr>    Principe I — Acceptabilité (le nécessaire)</vt:lpstr>
      <vt:lpstr>    Principe II — Préférence (le souhaitable)</vt:lpstr>
      <vt:lpstr>    Principe III — Composition, primauté et cohérence</vt:lpstr>
      <vt:lpstr>Définitions</vt:lpstr>
      <vt:lpstr>Titre I — Le Capital d’Ancrage : fondement patrimonial du commun</vt:lpstr>
      <vt:lpstr>    Article 1 — Apport et libération du Capital d’Ancrage</vt:lpstr>
      <vt:lpstr>    Article 2 — Objet du Capital d’Ancrage</vt:lpstr>
      <vt:lpstr>    Article 3 — Immobilisation du Capital d’Ancrage</vt:lpstr>
      <vt:lpstr>    Article 4 — Fonction de dimensionnement</vt:lpstr>
      <vt:lpstr>    Article 5 — Régime juridique du Capital d’Ancrage</vt:lpstr>
      <vt:lpstr>Titre II — Le droit d’usage collectif et le commun informationnel</vt:lpstr>
      <vt:lpstr>    Article 6 — Objet du droit d’usage collectif</vt:lpstr>
      <vt:lpstr>    Article 7 — Caractères du droit d’usage</vt:lpstr>
      <vt:lpstr>    Article 8 — Nature juridique</vt:lpstr>
      <vt:lpstr>    Article 9 — Les unités internes</vt:lpstr>
      <vt:lpstr>    Article 10 — Conséquences juridiques</vt:lpstr>
      <vt:lpstr>    Article 11 — Admission au commun</vt:lpstr>
      <vt:lpstr>Titre III — Le graphe d'échange : structure, compensation et conséquences</vt:lpstr>
      <vt:lpstr>    Article 12 — Structure du graphe : nœuds, arcs, pondération</vt:lpstr>
      <vt:lpstr>    Article 13 — Cycles, compensation et richesse compensatoire</vt:lpstr>
      <vt:lpstr>    Article 14 — Inscription, scellement et réalisation</vt:lpstr>
      <vt:lpstr>    Article 15 — Conséquences juridiques de la structure</vt:lpstr>
      <vt:lpstr>    Article 16 — Les avantages économiques du dispositif</vt:lpstr>
      <vt:lpstr>Titre IV — Les invariants prudentiels du commun</vt:lpstr>
      <vt:lpstr>    Article 17 — Premier invariant : conservation de la valeur (∑ sᵢ = 0)</vt:lpstr>
      <vt:lpstr>    Article 18 — Deuxième invariant : limitation de l'exposition (∑ δᵢ ≤ K)</vt:lpstr>
      <vt:lpstr>    Article 19 — Troisième invariant : absence de concentration</vt:lpstr>
      <vt:lpstr>    Article 20 — Quatrième invariant : localité des perturbations</vt:lpstr>
      <vt:lpstr>    Article 21 — Cinquième invariant : collatéralisation intégrale</vt:lpstr>
      <vt:lpstr>    Article 22 — Constitution et réalisation du préfinancement en cas de défaillance</vt:lpstr>
      <vt:lpstr>    Article 23 — Conséquences économiques et prudentielles</vt:lpstr>
      <vt:lpstr>Titre V — Entrée, sortie, gestion et défaillance</vt:lpstr>
      <vt:lpstr>    Article 24 — Les modalités d’entrée dans le système</vt:lpstr>
      <vt:lpstr>    Article 25 — La liberté de sortie du système</vt:lpstr>
      <vt:lpstr>    Article 26 — Rupture des engagements contractuels et responsabilité</vt:lpstr>
      <vt:lpstr>Titre VI — Pureté du noyau et frontière externe</vt:lpstr>
      <vt:lpstr>    Article 27 — La pureté du noyau</vt:lpstr>
      <vt:lpstr>    Article 28 — Une fonction non rivale et non exclusive</vt:lpstr>
      <vt:lpstr>    Article 29 — Le financement de la frontière externe</vt:lpstr>
      <vt:lpstr>Titre VII — Choix de projets, priorisation et vote de préférence</vt:lpstr>
      <vt:lpstr>    Article 30 — Critère de bénéfice, extra-comptable</vt:lpstr>
      <vt:lpstr>    Article 31 — Priorisation par vote de consensus</vt:lpstr>
      <vt:lpstr>    Article 32 — Vote qui s’exprime par un engagement de créance</vt:lpstr>
      <vt:lpstr>Titre VIII — Comptabilité </vt:lpstr>
      <vt:lpstr>Titre IX — Gouvernance</vt:lpstr>
      <vt:lpstr>    Article 42 — Nature, composition et mission de l’Organe de Gouvernance</vt:lpstr>
      <vt:lpstr>    Article 43 — Outils de transmission numérique et infrastructure du registre</vt:lpstr>
      <vt:lpstr>    Article 44 — Gestion algorithmique du graphe</vt:lpstr>
      <vt:lpstr>    Article 45 — Contrôle des opérations du graphe</vt:lpstr>
      <vt:lpstr>    Article 46 — Animation du réseau</vt:lpstr>
      <vt:lpstr>    Article 47 — Rapport annuel d’activité et reddition</vt:lpstr>
    </vt:vector>
  </TitlesOfParts>
  <Company/>
  <LinksUpToDate>false</LinksUpToDate>
  <CharactersWithSpaces>105121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 Rocca</dc:creator>
  <cp:keywords/>
  <cp:lastModifiedBy>Olivier Rocca</cp:lastModifiedBy>
  <cp:revision>2</cp:revision>
  <dcterms:created xsi:type="dcterms:W3CDTF">2026-08-11T09:04:00Z</dcterms:created>
  <dcterms:modified xsi:type="dcterms:W3CDTF">2026-08-11T09:04:00Z</dcterms:modified>
</cp:coreProperties>
</file>