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paid off. If people struggle to use a site they’ll give up using something straight away.</w:t>
      </w:r>
    </w:p>
    <w:p>
      <w:pPr>
        <w:pStyle w:val="Normal"/>
        <w:spacing w:before="0" w:after="160"/>
        <w:rPr/>
      </w:pPr>
      <w:r>
        <w:rPr/>
      </w:r>
    </w:p>
    <w:p>
      <w:pPr>
        <w:pStyle w:val="Normal"/>
        <w:spacing w:before="0" w:after="160"/>
        <w:rPr/>
      </w:pPr>
      <w:r>
        <w:rPr/>
        <w:t>3. 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4. 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5. 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p>
      <w:pPr>
        <w:pStyle w:val="Normal"/>
        <w:spacing w:before="0" w:after="160"/>
        <w:rPr/>
      </w:pPr>
      <w:r>
        <w:rPr/>
      </w:r>
    </w:p>
    <w:p>
      <w:pPr>
        <w:pStyle w:val="Normal"/>
        <w:spacing w:before="0" w:after="160"/>
        <w:rPr/>
      </w:pPr>
      <w:r>
        <w:rPr/>
        <w:t xml:space="preserve">6. </w:t>
      </w:r>
      <w:r>
        <w:rPr/>
        <w:t>What (if any) improvements would you like to see?</w:t>
      </w:r>
    </w:p>
    <w:p>
      <w:pPr>
        <w:pStyle w:val="Normal"/>
        <w:spacing w:before="0" w:after="160"/>
        <w:rPr/>
      </w:pPr>
      <w:r>
        <w:rPr/>
        <w:t xml:space="preserve">The final two questions in the survey were both optional and aimed at </w:t>
      </w:r>
      <w:r>
        <w:rPr/>
        <w:t>things for the future rather opinions about the current build. This question received seven responses. Two of theses were about making the layout more interesting and take up more space on the screen. While I see what they’re on about, the layout is designed to work well on tablets and phones as well as large computer screens, which means the larger screens end up with more free space. For example, the gap between sections of content and the edges of the screen will be larger on bigger screen resolutions. This can be seen below:</w:t>
      </w:r>
    </w:p>
    <w:p>
      <w:pPr>
        <w:pStyle w:val="Normal"/>
        <w:spacing w:before="0" w:after="160"/>
        <w:rPr/>
      </w:pPr>
      <w:r>
        <w:rPr/>
        <w:t>Full size homepage (original image 1920x1080):</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10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104515"/>
                    </a:xfrm>
                    <a:prstGeom prst="rect">
                      <a:avLst/>
                    </a:prstGeom>
                  </pic:spPr>
                </pic:pic>
              </a:graphicData>
            </a:graphic>
          </wp:anchor>
        </w:drawing>
      </w:r>
      <w:r>
        <w:rPr/>
        <w:t>Small window:</w:t>
      </w:r>
    </w:p>
    <w:p>
      <w:pPr>
        <w:pStyle w:val="Normal"/>
        <w:spacing w:before="0" w:after="160"/>
        <w:rPr/>
      </w:pPr>
      <w:r>
        <w:rPr/>
        <w:drawing>
          <wp:anchor behindDoc="0" distT="0" distB="0" distL="0" distR="0" simplePos="0" locked="0" layoutInCell="1" allowOverlap="1" relativeHeight="3">
            <wp:simplePos x="0" y="0"/>
            <wp:positionH relativeFrom="column">
              <wp:posOffset>11430</wp:posOffset>
            </wp:positionH>
            <wp:positionV relativeFrom="paragraph">
              <wp:posOffset>-47625</wp:posOffset>
            </wp:positionV>
            <wp:extent cx="3145155" cy="2466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45155" cy="246697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You can see that the gap between the edges of the screen expands on bigger screen sizes. This is because an easy way of creating a responsive website is to design for small screens and expand outwards. This is because a website designed for screen will work on that size and anything bigger (when done properly), but a website designed for a large 4k screen won’t work on a small phone. In response to this feedback I would redesign the website on larger screens, as well as creating a separate version for phones, all of which should help address people’s criticism.</w:t>
      </w:r>
    </w:p>
    <w:p>
      <w:pPr>
        <w:pStyle w:val="Normal"/>
        <w:spacing w:before="0" w:after="160"/>
        <w:rPr/>
      </w:pPr>
      <w:r>
        <w:rPr/>
        <w:t>The other responses I had from this question were that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352</TotalTime>
  <Application>LibreOffice/6.1.4.2$Windows_X86_64 LibreOffice_project/9d0f32d1f0b509096fd65e0d4bec26ddd1938fd3</Application>
  <Pages>8</Pages>
  <Words>2163</Words>
  <Characters>10090</Characters>
  <CharactersWithSpaces>12048</CharactersWithSpaces>
  <Paragraphs>212</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2019-01-29T21:59:55Z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