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8C7D"/>
          <w:sz w:val="44"/>
        </w:rPr>
        <w:t>SOFTWARE FUNCTIONALITY DESCRIPTION</w:t>
      </w:r>
    </w:p>
    <w:p>
      <w:pPr>
        <w:jc w:val="center"/>
      </w:pPr>
      <w:r>
        <w:rPr>
          <w:i/>
          <w:color w:val="777777"/>
          <w:sz w:val="24"/>
        </w:rPr>
        <w:t>Onekof Platform — Companion Document to Form C-1</w:t>
      </w:r>
    </w:p>
    <w:p>
      <w:pPr>
        <w:spacing w:before="120" w:after="280"/>
        <w:pBdr>
          <w:bottom w:val="single" w:sz="18" w:space="1" w:color="1C8C7D"/>
        </w:pBdr>
      </w:pPr>
    </w:p>
    <w:p>
      <w:pPr>
        <w:keepNext/>
        <w:spacing w:before="280" w:after="80"/>
      </w:pPr>
      <w:r>
        <w:rPr>
          <w:b/>
          <w:color w:val="1C8C7D"/>
          <w:sz w:val="24"/>
        </w:rPr>
        <w:t>TITLE</w:t>
      </w:r>
    </w:p>
    <w:p>
      <w:pPr>
        <w:spacing w:after="120"/>
      </w:pPr>
      <w:r>
        <w:rPr>
          <w:sz w:val="22"/>
        </w:rPr>
        <w:t>Onekof Platform — AI-Powered Enterprise Project Management, Budget Tracking, and Document Processing Software System.</w:t>
      </w:r>
    </w:p>
    <w:p>
      <w:pPr>
        <w:keepNext/>
        <w:spacing w:before="280" w:after="80"/>
      </w:pPr>
      <w:r>
        <w:rPr>
          <w:b/>
          <w:color w:val="1C8C7D"/>
          <w:sz w:val="24"/>
        </w:rPr>
        <w:t>PURPOSE</w:t>
      </w:r>
    </w:p>
    <w:p>
      <w:pPr>
        <w:spacing w:after="120"/>
      </w:pPr>
      <w:r>
        <w:rPr>
          <w:sz w:val="22"/>
        </w:rPr>
        <w:t>Onekof is a cloud-based, multi-tenant Software-as-a-Service platform that enables Ethiopian and East African organizations — including private companies, government ministries, NGOs, and construction firms — to manage projects, budgets, teams, and documents in a single integrated environment, with native support for Ethiopian languages, calendar, and fiscal conventions.</w:t>
      </w:r>
    </w:p>
    <w:p>
      <w:pPr>
        <w:keepNext/>
        <w:spacing w:before="280" w:after="80"/>
      </w:pPr>
      <w:r>
        <w:rPr>
          <w:b/>
          <w:color w:val="1C8C7D"/>
          <w:sz w:val="24"/>
        </w:rPr>
        <w:t>CORE FUNCTIONALITY</w:t>
      </w:r>
    </w:p>
    <w:p>
      <w:pPr>
        <w:keepNext/>
        <w:spacing w:before="160" w:after="40"/>
      </w:pPr>
      <w:r>
        <w:rPr>
          <w:b/>
          <w:color w:val="22272B"/>
          <w:sz w:val="22"/>
        </w:rPr>
        <w:t>1. Multi-Tenant Architecture</w:t>
      </w:r>
    </w:p>
    <w:p>
      <w:pPr>
        <w:pStyle w:val="ListBullet"/>
        <w:spacing w:after="40"/>
      </w:pPr>
      <w:r>
        <w:rPr>
          <w:sz w:val="22"/>
        </w:rPr>
        <w:t>Subdomain-based organization isolation ({orgslug}.onekof.com)</w:t>
      </w:r>
    </w:p>
    <w:p>
      <w:pPr>
        <w:pStyle w:val="ListBullet"/>
        <w:spacing w:after="40"/>
      </w:pPr>
      <w:r>
        <w:rPr>
          <w:sz w:val="22"/>
        </w:rPr>
        <w:t>Independent data, users, roles, and configuration per organization</w:t>
      </w:r>
    </w:p>
    <w:p>
      <w:pPr>
        <w:pStyle w:val="ListBullet"/>
        <w:spacing w:after="40"/>
      </w:pPr>
      <w:r>
        <w:rPr>
          <w:sz w:val="22"/>
        </w:rPr>
        <w:t>Cross-subdomain authentication via shared JWT cookie scope</w:t>
      </w:r>
    </w:p>
    <w:p>
      <w:pPr>
        <w:pStyle w:val="ListBullet"/>
        <w:spacing w:after="40"/>
      </w:pPr>
      <w:r>
        <w:rPr>
          <w:sz w:val="22"/>
        </w:rPr>
        <w:t>Middleware enforces x-organization-slug header for every request</w:t>
      </w:r>
    </w:p>
    <w:p>
      <w:pPr>
        <w:keepNext/>
        <w:spacing w:before="160" w:after="40"/>
      </w:pPr>
      <w:r>
        <w:rPr>
          <w:b/>
          <w:color w:val="22272B"/>
          <w:sz w:val="22"/>
        </w:rPr>
        <w:t>2. Authentication &amp; Authorization</w:t>
      </w:r>
    </w:p>
    <w:p>
      <w:pPr>
        <w:pStyle w:val="ListBullet"/>
        <w:spacing w:after="40"/>
      </w:pPr>
      <w:r>
        <w:rPr>
          <w:sz w:val="22"/>
        </w:rPr>
        <w:t>NextAuth.js v4 with JWT session strategy</w:t>
      </w:r>
    </w:p>
    <w:p>
      <w:pPr>
        <w:pStyle w:val="ListBullet"/>
        <w:spacing w:after="40"/>
      </w:pPr>
      <w:r>
        <w:rPr>
          <w:sz w:val="22"/>
        </w:rPr>
        <w:t>Bcrypt password hashing (12 rounds) with email verification</w:t>
      </w:r>
    </w:p>
    <w:p>
      <w:pPr>
        <w:pStyle w:val="ListBullet"/>
        <w:spacing w:after="40"/>
      </w:pPr>
      <w:r>
        <w:rPr>
          <w:sz w:val="22"/>
        </w:rPr>
        <w:t>Account lockout protection against brute-force attacks</w:t>
      </w:r>
    </w:p>
    <w:p>
      <w:pPr>
        <w:pStyle w:val="ListBullet"/>
        <w:spacing w:after="40"/>
      </w:pPr>
      <w:r>
        <w:rPr>
          <w:sz w:val="22"/>
        </w:rPr>
        <w:t>Role-based access control: Owner, Admin, Manager, Member, Viewer</w:t>
      </w:r>
    </w:p>
    <w:p>
      <w:pPr>
        <w:pStyle w:val="ListBullet"/>
        <w:spacing w:after="40"/>
      </w:pPr>
      <w:r>
        <w:rPr>
          <w:sz w:val="22"/>
        </w:rPr>
        <w:t>Project-level visibility: PUBLIC, INTERNAL, PRIVATE, CONFIDENTIAL</w:t>
      </w:r>
    </w:p>
    <w:p>
      <w:pPr>
        <w:keepNext/>
        <w:spacing w:before="160" w:after="40"/>
      </w:pPr>
      <w:r>
        <w:rPr>
          <w:b/>
          <w:color w:val="22272B"/>
          <w:sz w:val="22"/>
        </w:rPr>
        <w:t>3. Project &amp; Issue Management</w:t>
      </w:r>
    </w:p>
    <w:p>
      <w:pPr>
        <w:pStyle w:val="ListBullet"/>
        <w:spacing w:after="40"/>
      </w:pPr>
      <w:r>
        <w:rPr>
          <w:sz w:val="22"/>
        </w:rPr>
        <w:t>Six industry-specific project types: Software, Business, Marketing, Operations, Research, Construction</w:t>
      </w:r>
    </w:p>
    <w:p>
      <w:pPr>
        <w:pStyle w:val="ListBullet"/>
        <w:spacing w:after="40"/>
      </w:pPr>
      <w:r>
        <w:rPr>
          <w:sz w:val="22"/>
        </w:rPr>
        <w:t>Kanban boards, backlog, sprint planning, and issue tracking</w:t>
      </w:r>
    </w:p>
    <w:p>
      <w:pPr>
        <w:pStyle w:val="ListBullet"/>
        <w:spacing w:after="40"/>
      </w:pPr>
      <w:r>
        <w:rPr>
          <w:sz w:val="22"/>
        </w:rPr>
        <w:t>Hierarchical tasks, sub-issues, labels, and custom workflows</w:t>
      </w:r>
    </w:p>
    <w:p>
      <w:pPr>
        <w:pStyle w:val="ListBullet"/>
        <w:spacing w:after="40"/>
      </w:pPr>
      <w:r>
        <w:rPr>
          <w:sz w:val="22"/>
        </w:rPr>
        <w:t>Optimistic drag-and-drop updates with server rollback on failure</w:t>
      </w:r>
    </w:p>
    <w:p>
      <w:pPr>
        <w:keepNext/>
        <w:spacing w:before="160" w:after="40"/>
      </w:pPr>
      <w:r>
        <w:rPr>
          <w:b/>
          <w:color w:val="22272B"/>
          <w:sz w:val="22"/>
        </w:rPr>
        <w:t>4. Budget &amp; Financial Management</w:t>
      </w:r>
    </w:p>
    <w:p>
      <w:pPr>
        <w:pStyle w:val="ListBullet"/>
        <w:spacing w:after="40"/>
      </w:pPr>
      <w:r>
        <w:rPr>
          <w:sz w:val="22"/>
        </w:rPr>
        <w:t>Multi-level budget allocation and approval workflows</w:t>
      </w:r>
    </w:p>
    <w:p>
      <w:pPr>
        <w:pStyle w:val="ListBullet"/>
        <w:spacing w:after="40"/>
      </w:pPr>
      <w:r>
        <w:rPr>
          <w:sz w:val="22"/>
        </w:rPr>
        <w:t>Expense tracking with multi-currency support (ETB default)</w:t>
      </w:r>
    </w:p>
    <w:p>
      <w:pPr>
        <w:pStyle w:val="ListBullet"/>
        <w:spacing w:after="40"/>
      </w:pPr>
      <w:r>
        <w:rPr>
          <w:sz w:val="22"/>
        </w:rPr>
        <w:t>Ethiopian fiscal year alignment (Hamle 1 — Sene 30)</w:t>
      </w:r>
    </w:p>
    <w:p>
      <w:pPr>
        <w:pStyle w:val="ListBullet"/>
        <w:spacing w:after="40"/>
      </w:pPr>
      <w:r>
        <w:rPr>
          <w:sz w:val="22"/>
        </w:rPr>
        <w:t>Role-based financial visibility and audit logging</w:t>
      </w:r>
    </w:p>
    <w:p>
      <w:pPr>
        <w:pStyle w:val="ListBullet"/>
        <w:spacing w:after="40"/>
      </w:pPr>
      <w:r>
        <w:rPr>
          <w:sz w:val="22"/>
        </w:rPr>
        <w:t>Real-time dashboards for budget utilization and variance</w:t>
      </w:r>
    </w:p>
    <w:p>
      <w:pPr>
        <w:keepNext/>
        <w:spacing w:before="160" w:after="40"/>
      </w:pPr>
      <w:r>
        <w:rPr>
          <w:b/>
          <w:color w:val="22272B"/>
          <w:sz w:val="22"/>
        </w:rPr>
        <w:t>5. AI-Powered Document Processing</w:t>
      </w:r>
    </w:p>
    <w:p>
      <w:pPr>
        <w:pStyle w:val="ListBullet"/>
        <w:spacing w:after="40"/>
      </w:pPr>
      <w:r>
        <w:rPr>
          <w:sz w:val="22"/>
        </w:rPr>
        <w:t>Automated extraction of structured data from invoices, receipts, contracts, proposals, and government budget documents</w:t>
      </w:r>
    </w:p>
    <w:p>
      <w:pPr>
        <w:pStyle w:val="ListBullet"/>
        <w:spacing w:after="40"/>
      </w:pPr>
      <w:r>
        <w:rPr>
          <w:sz w:val="22"/>
        </w:rPr>
        <w:t>Natural language understanding via third-party AI vendor API</w:t>
      </w:r>
    </w:p>
    <w:p>
      <w:pPr>
        <w:pStyle w:val="ListBullet"/>
        <w:spacing w:after="40"/>
      </w:pPr>
      <w:r>
        <w:rPr>
          <w:sz w:val="22"/>
        </w:rPr>
        <w:t>Ethiopian-format document support (Amharic text, ETB values, Ge'ez dates)</w:t>
      </w:r>
    </w:p>
    <w:p>
      <w:pPr>
        <w:keepNext/>
        <w:spacing w:before="160" w:after="40"/>
      </w:pPr>
      <w:r>
        <w:rPr>
          <w:b/>
          <w:color w:val="22272B"/>
          <w:sz w:val="22"/>
        </w:rPr>
        <w:t>6. Ethiopian-First Localization</w:t>
      </w:r>
    </w:p>
    <w:p>
      <w:pPr>
        <w:pStyle w:val="ListBullet"/>
        <w:spacing w:after="40"/>
      </w:pPr>
      <w:r>
        <w:rPr>
          <w:sz w:val="22"/>
        </w:rPr>
        <w:t>Native Ethiopian (Ge'ez) calendar with 13-month support</w:t>
      </w:r>
    </w:p>
    <w:p>
      <w:pPr>
        <w:pStyle w:val="ListBullet"/>
        <w:spacing w:after="40"/>
      </w:pPr>
      <w:r>
        <w:rPr>
          <w:sz w:val="22"/>
        </w:rPr>
        <w:t>Bidirectional Gregorian ↔ Ethiopian date conversion library</w:t>
      </w:r>
    </w:p>
    <w:p>
      <w:pPr>
        <w:pStyle w:val="ListBullet"/>
        <w:spacing w:after="40"/>
      </w:pPr>
      <w:r>
        <w:rPr>
          <w:sz w:val="22"/>
        </w:rPr>
        <w:t>Five-language user interface: English, Amharic, Afaan Oromoo, Tigrinya, Somali</w:t>
      </w:r>
    </w:p>
    <w:p>
      <w:pPr>
        <w:pStyle w:val="ListBullet"/>
        <w:spacing w:after="40"/>
      </w:pPr>
      <w:r>
        <w:rPr>
          <w:sz w:val="22"/>
        </w:rPr>
        <w:t>Abyssinica SIL font for Ge'ez script; Inter for Latin scripts</w:t>
      </w:r>
    </w:p>
    <w:p>
      <w:pPr>
        <w:pStyle w:val="ListBullet"/>
        <w:spacing w:after="40"/>
      </w:pPr>
      <w:r>
        <w:rPr>
          <w:sz w:val="22"/>
        </w:rPr>
        <w:t>ETB currency as default across all financial screens</w:t>
      </w:r>
    </w:p>
    <w:p>
      <w:pPr>
        <w:keepNext/>
        <w:spacing w:before="160" w:after="40"/>
      </w:pPr>
      <w:r>
        <w:rPr>
          <w:b/>
          <w:color w:val="22272B"/>
          <w:sz w:val="22"/>
        </w:rPr>
        <w:t>7. Collaboration &amp; Notifications</w:t>
      </w:r>
    </w:p>
    <w:p>
      <w:pPr>
        <w:pStyle w:val="ListBullet"/>
        <w:spacing w:after="40"/>
      </w:pPr>
      <w:r>
        <w:rPr>
          <w:sz w:val="22"/>
        </w:rPr>
        <w:t>Team management, member invitations, and role assignment</w:t>
      </w:r>
    </w:p>
    <w:p>
      <w:pPr>
        <w:pStyle w:val="ListBullet"/>
        <w:spacing w:after="40"/>
      </w:pPr>
      <w:r>
        <w:rPr>
          <w:sz w:val="22"/>
        </w:rPr>
        <w:t>Activity feeds, comment threads, and @mentions</w:t>
      </w:r>
    </w:p>
    <w:p>
      <w:pPr>
        <w:pStyle w:val="ListBullet"/>
        <w:spacing w:after="40"/>
      </w:pPr>
      <w:r>
        <w:rPr>
          <w:sz w:val="22"/>
        </w:rPr>
        <w:t>Watcher and subscription system for issue updates</w:t>
      </w:r>
    </w:p>
    <w:p>
      <w:pPr>
        <w:pStyle w:val="ListBullet"/>
        <w:spacing w:after="40"/>
      </w:pPr>
      <w:r>
        <w:rPr>
          <w:sz w:val="22"/>
        </w:rPr>
        <w:t>Document attachments and version tracking</w:t>
      </w:r>
    </w:p>
    <w:p>
      <w:pPr>
        <w:keepNext/>
        <w:spacing w:before="280" w:after="80"/>
      </w:pPr>
      <w:r>
        <w:rPr>
          <w:b/>
          <w:color w:val="1C8C7D"/>
          <w:sz w:val="24"/>
        </w:rPr>
        <w:t>TECHNICAL ARCHITECTURE</w:t>
      </w:r>
    </w:p>
    <w:tbl>
      <w:tblPr>
        <w:tblStyle w:val="LightList-Accent1"/>
        <w:tblW w:type="auto" w:w="0"/>
        <w:tblLayout w:type="fixed"/>
        <w:tblLook w:firstColumn="1" w:firstRow="1" w:lastColumn="0" w:lastRow="0" w:noHBand="0" w:noVBand="1" w:val="04A0"/>
      </w:tblPr>
      <w:tblGrid>
        <w:gridCol w:w="4680"/>
        <w:gridCol w:w="4680"/>
      </w:tblGrid>
      <w:tr>
        <w:tc>
          <w:tcPr>
            <w:tcW w:type="dxa" w:w="3600"/>
            <w:shd w:val="clear" w:color="auto" w:fill="E8F5F3"/>
            <w:vAlign w:val="center"/>
          </w:tcPr>
          <w:p>
            <w:pPr>
              <w:spacing w:after="0"/>
            </w:pPr>
            <w:r>
              <w:rPr>
                <w:b/>
                <w:color w:val="22272B"/>
                <w:sz w:val="20"/>
              </w:rPr>
              <w:t>Application Framework</w:t>
            </w:r>
          </w:p>
        </w:tc>
        <w:tc>
          <w:tcPr>
            <w:tcW w:type="dxa" w:w="5760"/>
            <w:vAlign w:val="center"/>
          </w:tcPr>
          <w:p>
            <w:pPr>
              <w:spacing w:after="0"/>
            </w:pPr>
            <w:r>
              <w:rPr>
                <w:sz w:val="20"/>
              </w:rPr>
              <w:t>Next.js 14 (App Router)</w:t>
            </w:r>
          </w:p>
        </w:tc>
      </w:tr>
      <w:tr>
        <w:tc>
          <w:tcPr>
            <w:tcW w:type="dxa" w:w="3600"/>
            <w:shd w:val="clear" w:color="auto" w:fill="E8F5F3"/>
            <w:vAlign w:val="center"/>
          </w:tcPr>
          <w:p>
            <w:pPr>
              <w:spacing w:after="0"/>
            </w:pPr>
            <w:r>
              <w:rPr>
                <w:b/>
                <w:color w:val="22272B"/>
                <w:sz w:val="20"/>
              </w:rPr>
              <w:t>Programming Language</w:t>
            </w:r>
          </w:p>
        </w:tc>
        <w:tc>
          <w:tcPr>
            <w:tcW w:type="dxa" w:w="5760"/>
            <w:vAlign w:val="center"/>
          </w:tcPr>
          <w:p>
            <w:pPr>
              <w:spacing w:after="0"/>
            </w:pPr>
            <w:r>
              <w:rPr>
                <w:sz w:val="20"/>
              </w:rPr>
              <w:t>TypeScript 5.0</w:t>
            </w:r>
          </w:p>
        </w:tc>
      </w:tr>
      <w:tr>
        <w:tc>
          <w:tcPr>
            <w:tcW w:type="dxa" w:w="3600"/>
            <w:shd w:val="clear" w:color="auto" w:fill="E8F5F3"/>
            <w:vAlign w:val="center"/>
          </w:tcPr>
          <w:p>
            <w:pPr>
              <w:spacing w:after="0"/>
            </w:pPr>
            <w:r>
              <w:rPr>
                <w:b/>
                <w:color w:val="22272B"/>
                <w:sz w:val="20"/>
              </w:rPr>
              <w:t>User Interface</w:t>
            </w:r>
          </w:p>
        </w:tc>
        <w:tc>
          <w:tcPr>
            <w:tcW w:type="dxa" w:w="5760"/>
            <w:vAlign w:val="center"/>
          </w:tcPr>
          <w:p>
            <w:pPr>
              <w:spacing w:after="0"/>
            </w:pPr>
            <w:r>
              <w:rPr>
                <w:sz w:val="20"/>
              </w:rPr>
              <w:t>React 18, Radix UI, Tailwind CSS</w:t>
            </w:r>
          </w:p>
        </w:tc>
      </w:tr>
      <w:tr>
        <w:tc>
          <w:tcPr>
            <w:tcW w:type="dxa" w:w="3600"/>
            <w:shd w:val="clear" w:color="auto" w:fill="E8F5F3"/>
            <w:vAlign w:val="center"/>
          </w:tcPr>
          <w:p>
            <w:pPr>
              <w:spacing w:after="0"/>
            </w:pPr>
            <w:r>
              <w:rPr>
                <w:b/>
                <w:color w:val="22272B"/>
                <w:sz w:val="20"/>
              </w:rPr>
              <w:t>Database</w:t>
            </w:r>
          </w:p>
        </w:tc>
        <w:tc>
          <w:tcPr>
            <w:tcW w:type="dxa" w:w="5760"/>
            <w:vAlign w:val="center"/>
          </w:tcPr>
          <w:p>
            <w:pPr>
              <w:spacing w:after="0"/>
            </w:pPr>
            <w:r>
              <w:rPr>
                <w:sz w:val="20"/>
              </w:rPr>
              <w:t>PostgreSQL 15 via Prisma ORM 5.0</w:t>
            </w:r>
          </w:p>
        </w:tc>
      </w:tr>
      <w:tr>
        <w:tc>
          <w:tcPr>
            <w:tcW w:type="dxa" w:w="3600"/>
            <w:shd w:val="clear" w:color="auto" w:fill="E8F5F3"/>
            <w:vAlign w:val="center"/>
          </w:tcPr>
          <w:p>
            <w:pPr>
              <w:spacing w:after="0"/>
            </w:pPr>
            <w:r>
              <w:rPr>
                <w:b/>
                <w:color w:val="22272B"/>
                <w:sz w:val="20"/>
              </w:rPr>
              <w:t>Authentication</w:t>
            </w:r>
          </w:p>
        </w:tc>
        <w:tc>
          <w:tcPr>
            <w:tcW w:type="dxa" w:w="5760"/>
            <w:vAlign w:val="center"/>
          </w:tcPr>
          <w:p>
            <w:pPr>
              <w:spacing w:after="0"/>
            </w:pPr>
            <w:r>
              <w:rPr>
                <w:sz w:val="20"/>
              </w:rPr>
              <w:t>NextAuth.js v4 (JWT)</w:t>
            </w:r>
          </w:p>
        </w:tc>
      </w:tr>
      <w:tr>
        <w:tc>
          <w:tcPr>
            <w:tcW w:type="dxa" w:w="3600"/>
            <w:shd w:val="clear" w:color="auto" w:fill="E8F5F3"/>
            <w:vAlign w:val="center"/>
          </w:tcPr>
          <w:p>
            <w:pPr>
              <w:spacing w:after="0"/>
            </w:pPr>
            <w:r>
              <w:rPr>
                <w:b/>
                <w:color w:val="22272B"/>
                <w:sz w:val="20"/>
              </w:rPr>
              <w:t>AI Processing</w:t>
            </w:r>
          </w:p>
        </w:tc>
        <w:tc>
          <w:tcPr>
            <w:tcW w:type="dxa" w:w="5760"/>
            <w:vAlign w:val="center"/>
          </w:tcPr>
          <w:p>
            <w:pPr>
              <w:spacing w:after="0"/>
            </w:pPr>
            <w:r>
              <w:rPr>
                <w:sz w:val="20"/>
              </w:rPr>
              <w:t>Third-party AI vendor API</w:t>
            </w:r>
          </w:p>
        </w:tc>
      </w:tr>
      <w:tr>
        <w:tc>
          <w:tcPr>
            <w:tcW w:type="dxa" w:w="3600"/>
            <w:shd w:val="clear" w:color="auto" w:fill="E8F5F3"/>
            <w:vAlign w:val="center"/>
          </w:tcPr>
          <w:p>
            <w:pPr>
              <w:spacing w:after="0"/>
            </w:pPr>
            <w:r>
              <w:rPr>
                <w:b/>
                <w:color w:val="22272B"/>
                <w:sz w:val="20"/>
              </w:rPr>
              <w:t>Deployment</w:t>
            </w:r>
          </w:p>
        </w:tc>
        <w:tc>
          <w:tcPr>
            <w:tcW w:type="dxa" w:w="5760"/>
            <w:vAlign w:val="center"/>
          </w:tcPr>
          <w:p>
            <w:pPr>
              <w:spacing w:after="0"/>
            </w:pPr>
            <w:r>
              <w:rPr>
                <w:sz w:val="20"/>
              </w:rPr>
              <w:t>Vercel serverless (fra1 region)</w:t>
            </w:r>
          </w:p>
        </w:tc>
      </w:tr>
      <w:tr>
        <w:tc>
          <w:tcPr>
            <w:tcW w:type="dxa" w:w="3600"/>
            <w:shd w:val="clear" w:color="auto" w:fill="E8F5F3"/>
            <w:vAlign w:val="center"/>
          </w:tcPr>
          <w:p>
            <w:pPr>
              <w:spacing w:after="0"/>
            </w:pPr>
            <w:r>
              <w:rPr>
                <w:b/>
                <w:color w:val="22272B"/>
                <w:sz w:val="20"/>
              </w:rPr>
              <w:t>Monorepo Tooling</w:t>
            </w:r>
          </w:p>
        </w:tc>
        <w:tc>
          <w:tcPr>
            <w:tcW w:type="dxa" w:w="5760"/>
            <w:vAlign w:val="center"/>
          </w:tcPr>
          <w:p>
            <w:pPr>
              <w:spacing w:after="0"/>
            </w:pPr>
            <w:r>
              <w:rPr>
                <w:sz w:val="20"/>
              </w:rPr>
              <w:t>Turborepo + pnpm workspaces</w:t>
            </w:r>
          </w:p>
        </w:tc>
      </w:tr>
      <w:tr>
        <w:tc>
          <w:tcPr>
            <w:tcW w:type="dxa" w:w="3600"/>
            <w:shd w:val="clear" w:color="auto" w:fill="E8F5F3"/>
            <w:vAlign w:val="center"/>
          </w:tcPr>
          <w:p>
            <w:pPr>
              <w:spacing w:after="0"/>
            </w:pPr>
            <w:r>
              <w:rPr>
                <w:b/>
                <w:color w:val="22272B"/>
                <w:sz w:val="20"/>
              </w:rPr>
              <w:t>Database Hosting</w:t>
            </w:r>
          </w:p>
        </w:tc>
        <w:tc>
          <w:tcPr>
            <w:tcW w:type="dxa" w:w="5760"/>
            <w:vAlign w:val="center"/>
          </w:tcPr>
          <w:p>
            <w:pPr>
              <w:spacing w:after="0"/>
            </w:pPr>
            <w:r>
              <w:rPr>
                <w:sz w:val="20"/>
              </w:rPr>
              <w:t>Supabase (aws-1-eu-central-1)</w:t>
            </w:r>
          </w:p>
        </w:tc>
      </w:tr>
    </w:tbl>
    <w:p/>
    <w:p>
      <w:pPr>
        <w:keepNext/>
        <w:spacing w:before="280" w:after="80"/>
      </w:pPr>
      <w:r>
        <w:rPr>
          <w:b/>
          <w:color w:val="1C8C7D"/>
          <w:sz w:val="24"/>
        </w:rPr>
        <w:t>SOURCE CODE METRICS</w:t>
      </w:r>
    </w:p>
    <w:tbl>
      <w:tblPr>
        <w:tblStyle w:val="LightList-Accent1"/>
        <w:tblW w:type="auto" w:w="0"/>
        <w:tblLayout w:type="fixed"/>
        <w:tblLook w:firstColumn="1" w:firstRow="1" w:lastColumn="0" w:lastRow="0" w:noHBand="0" w:noVBand="1" w:val="04A0"/>
      </w:tblPr>
      <w:tblGrid>
        <w:gridCol w:w="4680"/>
        <w:gridCol w:w="4680"/>
      </w:tblGrid>
      <w:tr>
        <w:tc>
          <w:tcPr>
            <w:tcW w:type="dxa" w:w="3600"/>
            <w:shd w:val="clear" w:color="auto" w:fill="E8F5F3"/>
            <w:vAlign w:val="center"/>
          </w:tcPr>
          <w:p>
            <w:pPr>
              <w:spacing w:after="0"/>
            </w:pPr>
            <w:r>
              <w:rPr>
                <w:b/>
                <w:color w:val="22272B"/>
                <w:sz w:val="20"/>
              </w:rPr>
              <w:t>Total Source Files</w:t>
            </w:r>
          </w:p>
        </w:tc>
        <w:tc>
          <w:tcPr>
            <w:tcW w:type="dxa" w:w="5760"/>
            <w:vAlign w:val="center"/>
          </w:tcPr>
          <w:p>
            <w:pPr>
              <w:spacing w:after="0"/>
            </w:pPr>
            <w:r>
              <w:rPr>
                <w:sz w:val="20"/>
              </w:rPr>
              <w:t>689</w:t>
            </w:r>
          </w:p>
        </w:tc>
      </w:tr>
      <w:tr>
        <w:tc>
          <w:tcPr>
            <w:tcW w:type="dxa" w:w="3600"/>
            <w:shd w:val="clear" w:color="auto" w:fill="E8F5F3"/>
            <w:vAlign w:val="center"/>
          </w:tcPr>
          <w:p>
            <w:pPr>
              <w:spacing w:after="0"/>
            </w:pPr>
            <w:r>
              <w:rPr>
                <w:b/>
                <w:color w:val="22272B"/>
                <w:sz w:val="20"/>
              </w:rPr>
              <w:t>Total Lines of Code</w:t>
            </w:r>
          </w:p>
        </w:tc>
        <w:tc>
          <w:tcPr>
            <w:tcW w:type="dxa" w:w="5760"/>
            <w:vAlign w:val="center"/>
          </w:tcPr>
          <w:p>
            <w:pPr>
              <w:spacing w:after="0"/>
            </w:pPr>
            <w:r>
              <w:rPr>
                <w:sz w:val="20"/>
              </w:rPr>
              <w:t>132,173</w:t>
            </w:r>
          </w:p>
        </w:tc>
      </w:tr>
      <w:tr>
        <w:tc>
          <w:tcPr>
            <w:tcW w:type="dxa" w:w="3600"/>
            <w:shd w:val="clear" w:color="auto" w:fill="E8F5F3"/>
            <w:vAlign w:val="center"/>
          </w:tcPr>
          <w:p>
            <w:pPr>
              <w:spacing w:after="0"/>
            </w:pPr>
            <w:r>
              <w:rPr>
                <w:b/>
                <w:color w:val="22272B"/>
                <w:sz w:val="20"/>
              </w:rPr>
              <w:t>API Routes</w:t>
            </w:r>
          </w:p>
        </w:tc>
        <w:tc>
          <w:tcPr>
            <w:tcW w:type="dxa" w:w="5760"/>
            <w:vAlign w:val="center"/>
          </w:tcPr>
          <w:p>
            <w:pPr>
              <w:spacing w:after="0"/>
            </w:pPr>
            <w:r>
              <w:rPr>
                <w:sz w:val="20"/>
              </w:rPr>
              <w:t>120+ Next.js App Router route handlers</w:t>
            </w:r>
          </w:p>
        </w:tc>
      </w:tr>
      <w:tr>
        <w:tc>
          <w:tcPr>
            <w:tcW w:type="dxa" w:w="3600"/>
            <w:shd w:val="clear" w:color="auto" w:fill="E8F5F3"/>
            <w:vAlign w:val="center"/>
          </w:tcPr>
          <w:p>
            <w:pPr>
              <w:spacing w:after="0"/>
            </w:pPr>
            <w:r>
              <w:rPr>
                <w:b/>
                <w:color w:val="22272B"/>
                <w:sz w:val="20"/>
              </w:rPr>
              <w:t>React Components</w:t>
            </w:r>
          </w:p>
        </w:tc>
        <w:tc>
          <w:tcPr>
            <w:tcW w:type="dxa" w:w="5760"/>
            <w:vAlign w:val="center"/>
          </w:tcPr>
          <w:p>
            <w:pPr>
              <w:spacing w:after="0"/>
            </w:pPr>
            <w:r>
              <w:rPr>
                <w:sz w:val="20"/>
              </w:rPr>
              <w:t>400+ client and server components</w:t>
            </w:r>
          </w:p>
        </w:tc>
      </w:tr>
      <w:tr>
        <w:tc>
          <w:tcPr>
            <w:tcW w:type="dxa" w:w="3600"/>
            <w:shd w:val="clear" w:color="auto" w:fill="E8F5F3"/>
            <w:vAlign w:val="center"/>
          </w:tcPr>
          <w:p>
            <w:pPr>
              <w:spacing w:after="0"/>
            </w:pPr>
            <w:r>
              <w:rPr>
                <w:b/>
                <w:color w:val="22272B"/>
                <w:sz w:val="20"/>
              </w:rPr>
              <w:t>Database Models</w:t>
            </w:r>
          </w:p>
        </w:tc>
        <w:tc>
          <w:tcPr>
            <w:tcW w:type="dxa" w:w="5760"/>
            <w:vAlign w:val="center"/>
          </w:tcPr>
          <w:p>
            <w:pPr>
              <w:spacing w:after="0"/>
            </w:pPr>
            <w:r>
              <w:rPr>
                <w:sz w:val="20"/>
              </w:rPr>
              <w:t>80+ Prisma models</w:t>
            </w:r>
          </w:p>
        </w:tc>
      </w:tr>
      <w:tr>
        <w:tc>
          <w:tcPr>
            <w:tcW w:type="dxa" w:w="3600"/>
            <w:shd w:val="clear" w:color="auto" w:fill="E8F5F3"/>
            <w:vAlign w:val="center"/>
          </w:tcPr>
          <w:p>
            <w:pPr>
              <w:spacing w:after="0"/>
            </w:pPr>
            <w:r>
              <w:rPr>
                <w:b/>
                <w:color w:val="22272B"/>
                <w:sz w:val="20"/>
              </w:rPr>
              <w:t>Locale Files</w:t>
            </w:r>
          </w:p>
        </w:tc>
        <w:tc>
          <w:tcPr>
            <w:tcW w:type="dxa" w:w="5760"/>
            <w:vAlign w:val="center"/>
          </w:tcPr>
          <w:p>
            <w:pPr>
              <w:spacing w:after="0"/>
            </w:pPr>
            <w:r>
              <w:rPr>
                <w:sz w:val="20"/>
              </w:rPr>
              <w:t>5 language JSON dictionaries</w:t>
            </w:r>
          </w:p>
        </w:tc>
      </w:tr>
    </w:tbl>
    <w:p/>
    <w:p>
      <w:pPr>
        <w:keepNext/>
        <w:spacing w:before="280" w:after="80"/>
      </w:pPr>
      <w:r>
        <w:rPr>
          <w:b/>
          <w:color w:val="1C8C7D"/>
          <w:sz w:val="24"/>
        </w:rPr>
        <w:t>STATEMENT OF ORIGINALITY</w:t>
      </w:r>
    </w:p>
    <w:p>
      <w:pPr>
        <w:spacing w:after="120"/>
      </w:pPr>
      <w:r>
        <w:rPr>
          <w:sz w:val="22"/>
        </w:rPr>
        <w:t>The Onekof Platform is an original work created by Oli Tamrat Oli. All source code, database schema, architectural decisions, user interface designs, business logic, Ethiopian localization assets, and documentation are original creations. No portion of the work copies or derives from any other protected work. Third-party open-source libraries are used under their respective licenses and are not claimed as part of the work being registered; only the original application code authored by the applicant is the subject of this registration.</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Software Description  |  Onekof Platform  |  Oli Tamrat Oli  |  Generated April 11,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