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pPr>
    </w:p>
    <w:p>
      <w:pPr>
        <w:jc w:val="center"/>
      </w:pPr>
      <w:r>
        <w:drawing>
          <wp:inline distT="0" distB="0" distL="0" distR="0">
            <wp:extent cx="2762250" cy="3619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0" cy="361950"/>
                    </a:xfrm>
                    <a:prstGeom prst="rect">
                      <a:avLst/>
                    </a:prstGeom>
                  </pic:spPr>
                </pic:pic>
              </a:graphicData>
            </a:graphic>
          </wp:inline>
        </w:drawing>
      </w:r>
    </w:p>
    <w:p>
      <w:pPr>
        <w:spacing w:after="180"/>
      </w:pPr>
    </w:p>
    <w:p>
      <w:pPr>
        <w:jc w:val="center"/>
      </w:pPr>
      <w:r>
        <w:drawing>
          <wp:inline distT="0" distB="0" distL="0" distR="0">
            <wp:extent cx="3143250" cy="1200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143250" cy="1200150"/>
                    </a:xfrm>
                    <a:prstGeom prst="rect">
                      <a:avLst/>
                    </a:prstGeom>
                  </pic:spPr>
                </pic:pic>
              </a:graphicData>
            </a:graphic>
          </wp:inline>
        </w:drawing>
      </w:r>
    </w:p>
    <w:p>
      <w:pPr>
        <w:spacing w:after="220"/>
      </w:pPr>
    </w:p>
    <w:p>
      <w:pPr>
        <w:spacing w:after="70"/>
        <w:jc w:val="center"/>
      </w:pPr>
      <w:r>
        <w:rPr>
          <w:rFonts w:ascii="Calibri" w:cs="Calibri" w:eastAsia="Calibri" w:hAnsi="Calibri"/>
          <w:b/>
          <w:bCs/>
          <w:i w:val="false"/>
          <w:iCs w:val="false"/>
          <w:color w:val="1B3A6B"/>
          <w:sz w:val="36"/>
          <w:szCs w:val="36"/>
        </w:rPr>
        <w:t xml:space="preserve">MARKET ASSESSMENT &amp;</w:t>
      </w:r>
    </w:p>
    <w:p>
      <w:pPr>
        <w:spacing w:after="60"/>
        <w:jc w:val="center"/>
      </w:pPr>
      <w:r>
        <w:rPr>
          <w:rFonts w:ascii="Calibri" w:cs="Calibri" w:eastAsia="Calibri" w:hAnsi="Calibri"/>
          <w:b/>
          <w:bCs/>
          <w:i w:val="false"/>
          <w:iCs w:val="false"/>
          <w:color w:val="1B3A6B"/>
          <w:sz w:val="36"/>
          <w:szCs w:val="36"/>
        </w:rPr>
        <w:t xml:space="preserve">COMMERCIALIZATION STRATEGY</w:t>
      </w:r>
    </w:p>
    <w:p>
      <w:pPr>
        <w:spacing w:after="200"/>
        <w:jc w:val="center"/>
      </w:pPr>
      <w:r>
        <w:rPr>
          <w:rFonts w:ascii="Calibri" w:cs="Calibri" w:eastAsia="Calibri" w:hAnsi="Calibri"/>
          <w:b w:val="false"/>
          <w:bCs w:val="false"/>
          <w:i/>
          <w:iCs/>
          <w:color w:val="6B7280"/>
          <w:sz w:val="22"/>
          <w:szCs w:val="22"/>
        </w:rPr>
        <w:t xml:space="preserve">Pricing, cost structure, and growth scenarios for the Ethiopian market</w:t>
      </w:r>
    </w:p>
    <w:p>
      <w:pPr>
        <w:pBdr>
          <w:bottom w:val="single" w:color="0D9488" w:sz="2"/>
        </w:pBdr>
        <w:spacing w:after="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Prepared by</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DAPS PLC</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Product</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Onekof — Project, Budget &amp; Document Intelligence Platform</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Date</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August 2026</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Status</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Internal strategy — for founder and board review</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Supersedes</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Onekof Pricing Model and Commercialization Strategy (draft)</w:t>
            </w:r>
          </w:p>
        </w:tc>
      </w:tr>
      <w:tr>
        <w:tc>
          <w:tcPr>
            <w:tcW w:type="dxa" w:w="3200"/>
            <w:tcBorders>
              <w:top w:val="none" w:sz="0"/>
              <w:left w:val="none" w:sz="0"/>
              <w:bottom w:val="none" w:sz="0"/>
              <w:right w:val="none" w:sz="0"/>
            </w:tcBorders>
          </w:tcPr>
          <w:p>
            <w:pPr>
              <w:spacing w:after="40"/>
            </w:pPr>
            <w:r>
              <w:rPr>
                <w:rFonts w:ascii="Calibri" w:cs="Calibri" w:eastAsia="Calibri" w:hAnsi="Calibri"/>
                <w:b/>
                <w:bCs/>
                <w:i w:val="false"/>
                <w:iCs w:val="false"/>
                <w:color w:val="6B7280"/>
                <w:sz w:val="20"/>
                <w:szCs w:val="20"/>
              </w:rPr>
              <w:t xml:space="preserve">Classification</w:t>
            </w:r>
          </w:p>
        </w:tc>
        <w:tc>
          <w:tcPr>
            <w:tcW w:type="dxa" w:w="6160"/>
            <w:tcBorders>
              <w:top w:val="none" w:sz="0"/>
              <w:left w:val="none" w:sz="0"/>
              <w:bottom w:val="none" w:sz="0"/>
              <w:right w:val="none" w:sz="0"/>
            </w:tcBorders>
          </w:tcPr>
          <w:p>
            <w:pPr>
              <w:spacing w:after="40"/>
            </w:pPr>
            <w:r>
              <w:rPr>
                <w:rFonts w:ascii="Calibri" w:cs="Calibri" w:eastAsia="Calibri" w:hAnsi="Calibri"/>
                <w:b w:val="false"/>
                <w:bCs w:val="false"/>
                <w:i w:val="false"/>
                <w:iCs w:val="false"/>
                <w:color w:val="1F2937"/>
                <w:sz w:val="20"/>
                <w:szCs w:val="20"/>
              </w:rPr>
              <w:t xml:space="preserve">Confidential</w:t>
            </w:r>
          </w:p>
        </w:tc>
      </w:tr>
    </w:tbl>
    <w:p>
      <w:pPr>
        <w:spacing w:after="400"/>
      </w:pPr>
    </w:p>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Basis of this document  </w:t>
      </w:r>
      <w:r>
        <w:rPr>
          <w:rFonts w:ascii="Calibri" w:cs="Calibri" w:eastAsia="Calibri" w:hAnsi="Calibri"/>
          <w:b w:val="false"/>
          <w:bCs w:val="false"/>
          <w:i w:val="false"/>
          <w:iCs w:val="false"/>
          <w:color w:val="1F2937"/>
          <w:sz w:val="19"/>
          <w:szCs w:val="19"/>
        </w:rPr>
        <w:t xml:space="preserve">Product capabilities were verified directly against the Onekof codebase, not taken from the draft. Market sizing, salary, rent, and marketing figures are planning estimates built from public information and stated as such — they require local validation before use in fundraising or board commitments. Infrastructure costs use the confirmed Ethio Telecom quotation.</w:t>
      </w:r>
    </w:p>
    <w:p>
      <w:pPr>
        <w:sectPr>
          <w:pgSz w:w="12240" w:h="15840" w:orient="portrait"/>
          <w:pgMar w:top="1727" w:right="1656" w:bottom="1440" w:left="1656" w:header="708" w:footer="708" w:gutter="0"/>
          <w:pgNumType/>
          <w:docGrid w:linePitch="360"/>
        </w:sectPr>
      </w:pPr>
    </w:p>
    <w:p>
      <w:pPr>
        <w:pStyle w:val="Heading1"/>
        <w:spacing w:after="180" w:before="380"/>
      </w:pPr>
      <w:r>
        <w:rPr>
          <w:rFonts w:ascii="Calibri" w:cs="Calibri" w:eastAsia="Calibri" w:hAnsi="Calibri"/>
          <w:b/>
          <w:bCs/>
          <w:i w:val="false"/>
          <w:iCs w:val="false"/>
          <w:color w:val="1B3A6B"/>
          <w:sz w:val="28"/>
          <w:szCs w:val="28"/>
        </w:rPr>
        <w:t xml:space="preserve">1. Executive Summary</w:t>
      </w:r>
    </w:p>
    <w:p>
      <w:pPr>
        <w:spacing w:after="130" w:line="268"/>
        <w:jc w:val="left"/>
      </w:pPr>
      <w:r>
        <w:rPr>
          <w:rFonts w:ascii="Calibri" w:cs="Calibri" w:eastAsia="Calibri" w:hAnsi="Calibri"/>
          <w:b w:val="false"/>
          <w:bCs w:val="false"/>
          <w:i w:val="false"/>
          <w:iCs w:val="false"/>
          <w:color w:val="1F2937"/>
          <w:sz w:val="21"/>
          <w:szCs w:val="21"/>
        </w:rPr>
        <w:t xml:space="preserve">The existing draft is competent commercial work. Its pricing architecture — organization-first licensing with block-based expansion — is the right structure for Ethiopian procurement, and its segment sequencing is correct. This assessment keeps both.</w:t>
      </w:r>
    </w:p>
    <w:p>
      <w:pPr>
        <w:spacing w:after="130" w:line="268"/>
        <w:jc w:val="left"/>
      </w:pPr>
      <w:r>
        <w:rPr>
          <w:rFonts w:ascii="Calibri" w:cs="Calibri" w:eastAsia="Calibri" w:hAnsi="Calibri"/>
          <w:b w:val="false"/>
          <w:bCs w:val="false"/>
          <w:i w:val="false"/>
          <w:iCs w:val="false"/>
          <w:color w:val="1F2937"/>
          <w:sz w:val="21"/>
          <w:szCs w:val="21"/>
        </w:rPr>
        <w:t xml:space="preserve">It is also mispositioned, and the mispositioning is expensive. The draft sells Onekof as a project management platform that happens to include budget tracking and an optional AI module. The codebase says something different: budget management is nine dedicated data models with revision history and its own audit log, and the AI engine reads uploaded documents and extracts budget line items and project milestones from them. That combination — plan, budget, and the document evidence behind both, in one auditable system, in five languages, on sovereign infrastructure — is not a project management tool. It is a public finance accountability platform.</w:t>
      </w:r>
    </w:p>
    <w:p>
      <w:pPr>
        <w:spacing w:after="130" w:line="268"/>
        <w:jc w:val="left"/>
      </w:pPr>
      <w:r>
        <w:rPr>
          <w:rFonts w:ascii="Calibri" w:cs="Calibri" w:eastAsia="Calibri" w:hAnsi="Calibri"/>
          <w:b w:val="false"/>
          <w:bCs w:val="false"/>
          <w:i w:val="false"/>
          <w:iCs w:val="false"/>
          <w:color w:val="1F2937"/>
          <w:sz w:val="21"/>
          <w:szCs w:val="21"/>
        </w:rPr>
        <w:t xml:space="preserve">The distinction matters commercially because it changes the buyer. A project management tool is bought by an IT department against a rate card and compared to Jira. An accountability platform is bought by a finance directorate or an oversight body against a mandate, and compared to nothing, because nothing else in the market does it in Amharic.</w:t>
      </w:r>
    </w:p>
    <w:p>
      <w:pPr>
        <w:pStyle w:val="Heading2"/>
        <w:spacing w:after="140" w:before="300"/>
      </w:pPr>
      <w:r>
        <w:rPr>
          <w:rFonts w:ascii="Calibri" w:cs="Calibri" w:eastAsia="Calibri" w:hAnsi="Calibri"/>
          <w:b/>
          <w:bCs/>
          <w:i w:val="false"/>
          <w:iCs w:val="false"/>
          <w:color w:val="0D9488"/>
          <w:sz w:val="24"/>
          <w:szCs w:val="24"/>
        </w:rPr>
        <w:t xml:space="preserve">What this document changes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4960"/>
      </w:tblGrid>
      <w:tr>
        <w:trPr>
          <w:tblHeader/>
        </w:trPr>
        <w:tc>
          <w:tcPr>
            <w:tcW w:type="dxa" w:w="4400"/>
            <w:shd w:fill="1B3A6B" w:color="auto" w:val="clear"/>
          </w:tcPr>
          <w:p>
            <w:pPr>
              <w:spacing w:after="50" w:before="50"/>
            </w:pPr>
            <w:r>
              <w:rPr>
                <w:rFonts w:ascii="Calibri" w:cs="Calibri" w:eastAsia="Calibri" w:hAnsi="Calibri"/>
                <w:b/>
                <w:bCs/>
                <w:i w:val="false"/>
                <w:iCs w:val="false"/>
                <w:color w:val="FFFFFF"/>
                <w:sz w:val="19"/>
                <w:szCs w:val="19"/>
              </w:rPr>
              <w:t xml:space="preserve">Draft position</w:t>
            </w:r>
          </w:p>
        </w:tc>
        <w:tc>
          <w:tcPr>
            <w:tcW w:type="dxa" w:w="4960"/>
            <w:shd w:fill="1B3A6B" w:color="auto" w:val="clear"/>
          </w:tcPr>
          <w:p>
            <w:pPr>
              <w:spacing w:after="50" w:before="50"/>
            </w:pPr>
            <w:r>
              <w:rPr>
                <w:rFonts w:ascii="Calibri" w:cs="Calibri" w:eastAsia="Calibri" w:hAnsi="Calibri"/>
                <w:b/>
                <w:bCs/>
                <w:i w:val="false"/>
                <w:iCs w:val="false"/>
                <w:color w:val="FFFFFF"/>
                <w:sz w:val="19"/>
                <w:szCs w:val="19"/>
              </w:rPr>
              <w:t xml:space="preserve">Revised position</w:t>
            </w:r>
          </w:p>
        </w:tc>
      </w:tr>
      <w:tr>
        <w:tc>
          <w:tcPr>
            <w:tcW w:type="dxa" w:w="4400"/>
          </w:tcPr>
          <w:p>
            <w:pPr>
              <w:spacing w:after="40" w:before="40"/>
            </w:pPr>
            <w:r>
              <w:rPr>
                <w:rFonts w:ascii="Calibri" w:cs="Calibri" w:eastAsia="Calibri" w:hAnsi="Calibri"/>
                <w:b w:val="false"/>
                <w:bCs w:val="false"/>
                <w:i w:val="false"/>
                <w:iCs w:val="false"/>
                <w:color w:val="1F2937"/>
                <w:sz w:val="19"/>
                <w:szCs w:val="19"/>
              </w:rPr>
              <w:t xml:space="preserve">"Enterprise work and project portfolio management platform"</w:t>
            </w:r>
          </w:p>
        </w:tc>
        <w:tc>
          <w:tcPr>
            <w:tcW w:type="dxa" w:w="4960"/>
          </w:tcPr>
          <w:p>
            <w:pPr>
              <w:spacing w:after="40" w:before="40"/>
            </w:pPr>
            <w:r>
              <w:rPr>
                <w:rFonts w:ascii="Calibri" w:cs="Calibri" w:eastAsia="Calibri" w:hAnsi="Calibri"/>
                <w:b w:val="false"/>
                <w:bCs w:val="false"/>
                <w:i w:val="false"/>
                <w:iCs w:val="false"/>
                <w:color w:val="1F2937"/>
                <w:sz w:val="19"/>
                <w:szCs w:val="19"/>
              </w:rPr>
              <w:t xml:space="preserve">Public finance accountability platform — plan, budget, and evidence in one auditable record</w:t>
            </w:r>
          </w:p>
        </w:tc>
      </w:tr>
      <w:tr>
        <w:tc>
          <w:tcPr>
            <w:tcW w:type="dxa" w:w="44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AI sold as a 10,000 ETB/year optional add-on</w:t>
            </w:r>
          </w:p>
        </w:tc>
        <w:tc>
          <w:tcPr>
            <w:tcW w:type="dxa" w:w="49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AI quota included in every paid tier; it costs ~2.5 ETB per document and is the one thing no competitor has</w:t>
            </w:r>
          </w:p>
        </w:tc>
      </w:tr>
      <w:tr>
        <w:tc>
          <w:tcPr>
            <w:tcW w:type="dxa" w:w="4400"/>
          </w:tcPr>
          <w:p>
            <w:pPr>
              <w:spacing w:after="40" w:before="40"/>
            </w:pPr>
            <w:r>
              <w:rPr>
                <w:rFonts w:ascii="Calibri" w:cs="Calibri" w:eastAsia="Calibri" w:hAnsi="Calibri"/>
                <w:b w:val="false"/>
                <w:bCs w:val="false"/>
                <w:i w:val="false"/>
                <w:iCs w:val="false"/>
                <w:color w:val="1F2937"/>
                <w:sz w:val="19"/>
                <w:szCs w:val="19"/>
              </w:rPr>
              <w:t xml:space="preserve">Multilingual = "Amharic / Afaan Oromo"</w:t>
            </w:r>
          </w:p>
        </w:tc>
        <w:tc>
          <w:tcPr>
            <w:tcW w:type="dxa" w:w="4960"/>
          </w:tcPr>
          <w:p>
            <w:pPr>
              <w:spacing w:after="40" w:before="40"/>
            </w:pPr>
            <w:r>
              <w:rPr>
                <w:rFonts w:ascii="Calibri" w:cs="Calibri" w:eastAsia="Calibri" w:hAnsi="Calibri"/>
                <w:b w:val="false"/>
                <w:bCs w:val="false"/>
                <w:i w:val="false"/>
                <w:iCs w:val="false"/>
                <w:color w:val="1F2937"/>
                <w:sz w:val="19"/>
                <w:szCs w:val="19"/>
              </w:rPr>
              <w:t xml:space="preserve">Five languages shipped, including Tigrinya and Somali — an uncontested wedge into regional bureaus</w:t>
            </w:r>
          </w:p>
        </w:tc>
      </w:tr>
      <w:tr>
        <w:tc>
          <w:tcPr>
            <w:tcW w:type="dxa" w:w="44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Government pricing = "custom quotation"</w:t>
            </w:r>
          </w:p>
        </w:tc>
        <w:tc>
          <w:tcPr>
            <w:tcW w:type="dxa" w:w="49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Explicit government floor, internal rate card, and bid model</w:t>
            </w:r>
          </w:p>
        </w:tc>
      </w:tr>
      <w:tr>
        <w:tc>
          <w:tcPr>
            <w:tcW w:type="dxa" w:w="4400"/>
          </w:tcPr>
          <w:p>
            <w:pPr>
              <w:spacing w:after="40" w:before="40"/>
            </w:pPr>
            <w:r>
              <w:rPr>
                <w:rFonts w:ascii="Calibri" w:cs="Calibri" w:eastAsia="Calibri" w:hAnsi="Calibri"/>
                <w:b w:val="false"/>
                <w:bCs w:val="false"/>
                <w:i w:val="false"/>
                <w:iCs w:val="false"/>
                <w:color w:val="1F2937"/>
                <w:sz w:val="19"/>
                <w:szCs w:val="19"/>
              </w:rPr>
              <w:t xml:space="preserve">Cost-to-serve listed as a pre-launch to-do</w:t>
            </w:r>
          </w:p>
        </w:tc>
        <w:tc>
          <w:tcPr>
            <w:tcW w:type="dxa" w:w="4960"/>
          </w:tcPr>
          <w:p>
            <w:pPr>
              <w:spacing w:after="40" w:before="40"/>
            </w:pPr>
            <w:r>
              <w:rPr>
                <w:rFonts w:ascii="Calibri" w:cs="Calibri" w:eastAsia="Calibri" w:hAnsi="Calibri"/>
                <w:b w:val="false"/>
                <w:bCs w:val="false"/>
                <w:i w:val="false"/>
                <w:iCs w:val="false"/>
                <w:color w:val="1F2937"/>
                <w:sz w:val="19"/>
                <w:szCs w:val="19"/>
              </w:rPr>
              <w:t xml:space="preserve">Full cost model built — infrastructure, people, premises, marketing, compliance</w:t>
            </w:r>
          </w:p>
        </w:tc>
      </w:tr>
      <w:tr>
        <w:tc>
          <w:tcPr>
            <w:tcW w:type="dxa" w:w="44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No funding requirement stated</w:t>
            </w:r>
          </w:p>
        </w:tc>
        <w:tc>
          <w:tcPr>
            <w:tcW w:type="dxa" w:w="49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Break-even path quantified across three scenarios</w:t>
            </w:r>
          </w:p>
        </w:tc>
      </w:tr>
    </w:tbl>
    <w:p>
      <w:pPr>
        <w:pStyle w:val="Heading2"/>
        <w:spacing w:after="140" w:before="300"/>
      </w:pPr>
      <w:r>
        <w:rPr>
          <w:rFonts w:ascii="Calibri" w:cs="Calibri" w:eastAsia="Calibri" w:hAnsi="Calibri"/>
          <w:b/>
          <w:bCs/>
          <w:i w:val="false"/>
          <w:iCs w:val="false"/>
          <w:color w:val="0D9488"/>
          <w:sz w:val="24"/>
          <w:szCs w:val="24"/>
        </w:rPr>
        <w:t xml:space="preserve">Headline findings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The business is financeable at modest scale. </w:t>
      </w:r>
      <w:r>
        <w:rPr>
          <w:rFonts w:ascii="Calibri" w:cs="Calibri" w:eastAsia="Calibri" w:hAnsi="Calibri"/>
          <w:b w:val="false"/>
          <w:bCs w:val="false"/>
          <w:i w:val="false"/>
          <w:iCs w:val="false"/>
          <w:color w:val="1F2937"/>
          <w:sz w:val="21"/>
          <w:szCs w:val="21"/>
        </w:rPr>
        <w:t xml:space="preserve">The recommended operating plan costs roughly 6.7M ETB (~$42,000) in Year 1 and reaches break-even during Year 2. Peak cumulative funding need is approximately 3.5M ETB (~$22,000).</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Government contracts carry the model. </w:t>
      </w:r>
      <w:r>
        <w:rPr>
          <w:rFonts w:ascii="Calibri" w:cs="Calibri" w:eastAsia="Calibri" w:hAnsi="Calibri"/>
          <w:b w:val="false"/>
          <w:bCs w:val="false"/>
          <w:i w:val="false"/>
          <w:iCs w:val="false"/>
          <w:color w:val="1F2937"/>
          <w:sz w:val="21"/>
          <w:szCs w:val="21"/>
        </w:rPr>
        <w:t xml:space="preserve">Two to three ministry-scale contracts are worth more than the entire self-serve SME book. This validates the draft's decision to sequence government first, but means the pricing table must stop treating government as an afterthought.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AI is nearly free to deliver and is being underused as a weapon. </w:t>
      </w:r>
      <w:r>
        <w:rPr>
          <w:rFonts w:ascii="Calibri" w:cs="Calibri" w:eastAsia="Calibri" w:hAnsi="Calibri"/>
          <w:b w:val="false"/>
          <w:bCs w:val="false"/>
          <w:i w:val="false"/>
          <w:iCs w:val="false"/>
          <w:color w:val="1F2937"/>
          <w:sz w:val="21"/>
          <w:szCs w:val="21"/>
        </w:rPr>
        <w:t xml:space="preserve">At current volumes the inference cost is under 3 ETB per document. Gating it behind a paid add-on hides the single most differentiated capability from the customers evaluating the product.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The pricing model cannot currently be billed as designed. </w:t>
      </w:r>
      <w:r>
        <w:rPr>
          <w:rFonts w:ascii="Calibri" w:cs="Calibri" w:eastAsia="Calibri" w:hAnsi="Calibri"/>
          <w:b w:val="false"/>
          <w:bCs w:val="false"/>
          <w:i w:val="false"/>
          <w:iCs w:val="false"/>
          <w:color w:val="1F2937"/>
          <w:sz w:val="21"/>
          <w:szCs w:val="21"/>
        </w:rPr>
        <w:t xml:space="preserve">The subscription schema supports four plans; the pricing table defines six. Business and Government tiers have no representation in the billing system.</w:t>
      </w:r>
    </w:p>
    <w:p>
      <w:pPr>
        <w:pBdr>
          <w:top w:val="single" w:color="B45309" w:sz="1"/>
          <w:bottom w:val="single" w:color="B45309" w:sz="1"/>
          <w:left w:val="single" w:color="B45309" w:sz="8"/>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The finding that governs the timetable  </w:t>
      </w:r>
      <w:r>
        <w:rPr>
          <w:rFonts w:ascii="Calibri" w:cs="Calibri" w:eastAsia="Calibri" w:hAnsi="Calibri"/>
          <w:b w:val="false"/>
          <w:bCs w:val="false"/>
          <w:i w:val="false"/>
          <w:iCs w:val="false"/>
          <w:color w:val="1F2937"/>
          <w:sz w:val="19"/>
          <w:szCs w:val="19"/>
        </w:rPr>
        <w:t xml:space="preserve">INSA certification carries six-month validity and expires around January 2027. Government tender cycles run 6–18 months. Under the current expiry, the certification that unlocks government sales lapses before a tender opened today could close. Renewal is not an administrative task to schedule later — it is the gating dependency for the entire government segment, and it belongs in the Year 1 budget and calendar now.</w:t>
      </w:r>
    </w:p>
    <w:p>
      <w:r>
        <w:br w:type="page"/>
      </w:r>
    </w:p>
    <w:p>
      <w:pPr>
        <w:pStyle w:val="Heading1"/>
        <w:spacing w:after="180" w:before="380"/>
      </w:pPr>
      <w:r>
        <w:rPr>
          <w:rFonts w:ascii="Calibri" w:cs="Calibri" w:eastAsia="Calibri" w:hAnsi="Calibri"/>
          <w:b/>
          <w:bCs/>
          <w:i w:val="false"/>
          <w:iCs w:val="false"/>
          <w:color w:val="1B3A6B"/>
          <w:sz w:val="28"/>
          <w:szCs w:val="28"/>
        </w:rPr>
        <w:t xml:space="preserve">2. What Onekof Actually Is</w:t>
      </w:r>
    </w:p>
    <w:p>
      <w:pPr>
        <w:spacing w:after="130" w:line="268"/>
        <w:jc w:val="left"/>
      </w:pPr>
      <w:r>
        <w:rPr>
          <w:rFonts w:ascii="Calibri" w:cs="Calibri" w:eastAsia="Calibri" w:hAnsi="Calibri"/>
          <w:b w:val="false"/>
          <w:bCs w:val="false"/>
          <w:i w:val="false"/>
          <w:iCs w:val="false"/>
          <w:color w:val="1F2937"/>
          <w:sz w:val="21"/>
          <w:szCs w:val="21"/>
        </w:rPr>
        <w:t xml:space="preserve">The draft carries a footnote asking that its capability claims be validated against shipped functionality before external use. That validation is done below, against the codebase.</w:t>
      </w:r>
    </w:p>
    <w:p>
      <w:pPr>
        <w:pStyle w:val="Heading2"/>
        <w:spacing w:after="140" w:before="300"/>
      </w:pPr>
      <w:r>
        <w:rPr>
          <w:rFonts w:ascii="Calibri" w:cs="Calibri" w:eastAsia="Calibri" w:hAnsi="Calibri"/>
          <w:b/>
          <w:bCs/>
          <w:i w:val="false"/>
          <w:iCs w:val="false"/>
          <w:color w:val="0D9488"/>
          <w:sz w:val="24"/>
          <w:szCs w:val="24"/>
        </w:rPr>
        <w:t xml:space="preserve">2.1  Verified capability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shd w:fill="1B3A6B" w:color="auto" w:val="clear"/>
          </w:tcPr>
          <w:p>
            <w:pPr>
              <w:spacing w:after="50" w:before="50"/>
            </w:pPr>
            <w:r>
              <w:rPr>
                <w:rFonts w:ascii="Calibri" w:cs="Calibri" w:eastAsia="Calibri" w:hAnsi="Calibri"/>
                <w:b/>
                <w:bCs/>
                <w:i w:val="false"/>
                <w:iCs w:val="false"/>
                <w:color w:val="FFFFFF"/>
                <w:sz w:val="19"/>
                <w:szCs w:val="19"/>
              </w:rPr>
              <w:t xml:space="preserve">Capability</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Status</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Evidence</w:t>
            </w:r>
          </w:p>
        </w:tc>
      </w:tr>
      <w:tr>
        <w:tc>
          <w:tcPr>
            <w:tcW w:type="dxa" w:w="3800"/>
          </w:tcPr>
          <w:p>
            <w:pPr>
              <w:spacing w:after="40" w:before="40"/>
            </w:pPr>
            <w:r>
              <w:rPr>
                <w:rFonts w:ascii="Calibri" w:cs="Calibri" w:eastAsia="Calibri" w:hAnsi="Calibri"/>
                <w:b/>
                <w:bCs/>
                <w:i w:val="false"/>
                <w:iCs w:val="false"/>
                <w:color w:val="1F2937"/>
                <w:sz w:val="19"/>
                <w:szCs w:val="19"/>
              </w:rPr>
              <w:t xml:space="preserve">Project &amp; portfolio management</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Projects, sprints, tasks, teams, goals, key results, hierarchy</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Budget management</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 — deep</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 models: budgets, categories, expenses, per-task budgets, revisions, watchers, expense attachments, dedicated audit log</w:t>
            </w:r>
          </w:p>
        </w:tc>
      </w:tr>
      <w:tr>
        <w:tc>
          <w:tcPr>
            <w:tcW w:type="dxa" w:w="3800"/>
          </w:tcPr>
          <w:p>
            <w:pPr>
              <w:spacing w:after="40" w:before="40"/>
            </w:pPr>
            <w:r>
              <w:rPr>
                <w:rFonts w:ascii="Calibri" w:cs="Calibri" w:eastAsia="Calibri" w:hAnsi="Calibri"/>
                <w:b/>
                <w:bCs/>
                <w:i w:val="false"/>
                <w:iCs w:val="false"/>
                <w:color w:val="1F2937"/>
                <w:sz w:val="19"/>
                <w:szCs w:val="19"/>
              </w:rPr>
              <w:t xml:space="preserve">AI document processing</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Anthropic-backed; extracts budget line items and milestones from uploaded documents; quota-metered with usage recording</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Five-language interface</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English, Amharic, Afaan Oromo, Tigrinya, Somali — ~2,935 translation keys each</w:t>
            </w:r>
          </w:p>
        </w:tc>
      </w:tr>
      <w:tr>
        <w:tc>
          <w:tcPr>
            <w:tcW w:type="dxa" w:w="3800"/>
          </w:tcPr>
          <w:p>
            <w:pPr>
              <w:spacing w:after="40" w:before="40"/>
            </w:pPr>
            <w:r>
              <w:rPr>
                <w:rFonts w:ascii="Calibri" w:cs="Calibri" w:eastAsia="Calibri" w:hAnsi="Calibri"/>
                <w:b/>
                <w:bCs/>
                <w:i w:val="false"/>
                <w:iCs w:val="false"/>
                <w:color w:val="1F2937"/>
                <w:sz w:val="19"/>
                <w:szCs w:val="19"/>
              </w:rPr>
              <w:t xml:space="preserve">Ethiopian calendar</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Ge'ez calendar date handling throughout</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Multi-tenancy</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Subdomain-per-organization with tenant-scoped access</w:t>
            </w:r>
          </w:p>
        </w:tc>
      </w:tr>
      <w:tr>
        <w:tc>
          <w:tcPr>
            <w:tcW w:type="dxa" w:w="3800"/>
          </w:tcPr>
          <w:p>
            <w:pPr>
              <w:spacing w:after="40" w:before="40"/>
            </w:pPr>
            <w:r>
              <w:rPr>
                <w:rFonts w:ascii="Calibri" w:cs="Calibri" w:eastAsia="Calibri" w:hAnsi="Calibri"/>
                <w:b/>
                <w:bCs/>
                <w:i w:val="false"/>
                <w:iCs w:val="false"/>
                <w:color w:val="1F2937"/>
                <w:sz w:val="19"/>
                <w:szCs w:val="19"/>
              </w:rPr>
              <w:t xml:space="preserve">Audit &amp; accountability</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Three separate append-only audit logs: organization, budget, administrative</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Ethiopian payment rails</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Shipped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Chapa integration (Telebirr, CBE); Stripe for international</w:t>
            </w:r>
          </w:p>
        </w:tc>
      </w:tr>
      <w:tr>
        <w:tc>
          <w:tcPr>
            <w:tcW w:type="dxa" w:w="3800"/>
          </w:tcPr>
          <w:p>
            <w:pPr>
              <w:spacing w:after="40" w:before="40"/>
            </w:pPr>
            <w:r>
              <w:rPr>
                <w:rFonts w:ascii="Calibri" w:cs="Calibri" w:eastAsia="Calibri" w:hAnsi="Calibri"/>
                <w:b/>
                <w:bCs/>
                <w:i w:val="false"/>
                <w:iCs w:val="false"/>
                <w:color w:val="1F2937"/>
                <w:sz w:val="19"/>
                <w:szCs w:val="19"/>
              </w:rPr>
              <w:t xml:space="preserve">Data sovereignty deployment</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Ready</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Self-contained Docker stack; Ethio Telecom ECS provisioning in progress</w:t>
            </w:r>
          </w:p>
        </w:tc>
      </w:tr>
      <w:tr>
        <w:tc>
          <w:tcPr>
            <w:tcW w:type="dxa" w:w="3800"/>
            <w:shd w:fill="F8FAFC" w:color="auto" w:val="clear"/>
          </w:tcPr>
          <w:p>
            <w:pPr>
              <w:spacing w:after="40" w:before="40"/>
            </w:pPr>
            <w:r>
              <w:rPr>
                <w:rFonts w:ascii="Calibri" w:cs="Calibri" w:eastAsia="Calibri" w:hAnsi="Calibri"/>
                <w:b/>
                <w:bCs/>
                <w:i w:val="false"/>
                <w:iCs w:val="false"/>
                <w:color w:val="1F2937"/>
                <w:sz w:val="19"/>
                <w:szCs w:val="19"/>
              </w:rPr>
              <w:t xml:space="preserve">Security certification</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Achieved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INSA certified; 49-test security assessment passed</w:t>
            </w:r>
          </w:p>
        </w:tc>
      </w:tr>
    </w:tbl>
    <w:p>
      <w:pPr>
        <w:pStyle w:val="Heading2"/>
        <w:spacing w:after="140" w:before="300"/>
      </w:pPr>
      <w:r>
        <w:rPr>
          <w:rFonts w:ascii="Calibri" w:cs="Calibri" w:eastAsia="Calibri" w:hAnsi="Calibri"/>
          <w:b/>
          <w:bCs/>
          <w:i w:val="false"/>
          <w:iCs w:val="false"/>
          <w:color w:val="0D9488"/>
          <w:sz w:val="24"/>
          <w:szCs w:val="24"/>
        </w:rPr>
        <w:t xml:space="preserve">2.2  Where the draft overstates</w:t>
      </w:r>
    </w:p>
    <w:p>
      <w:pPr>
        <w:spacing w:after="130" w:line="268"/>
        <w:jc w:val="left"/>
      </w:pPr>
      <w:r>
        <w:rPr>
          <w:rFonts w:ascii="Calibri" w:cs="Calibri" w:eastAsia="Calibri" w:hAnsi="Calibri"/>
          <w:b w:val="false"/>
          <w:bCs w:val="false"/>
          <w:i w:val="false"/>
          <w:iCs w:val="false"/>
          <w:color w:val="1F2937"/>
          <w:sz w:val="21"/>
          <w:szCs w:val="21"/>
        </w:rPr>
        <w:t xml:space="preserve">Two rows in the draft's competitive table should not go into external materials in their current form.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2780"/>
        <w:gridCol w:w="2780"/>
      </w:tblGrid>
      <w:tr>
        <w:trPr>
          <w:tblHeader/>
        </w:trPr>
        <w:tc>
          <w:tcPr>
            <w:tcW w:type="dxa" w:w="3800"/>
            <w:shd w:fill="1B3A6B" w:color="auto" w:val="clear"/>
          </w:tcPr>
          <w:p>
            <w:pPr>
              <w:spacing w:after="50" w:before="50"/>
            </w:pPr>
            <w:r>
              <w:rPr>
                <w:rFonts w:ascii="Calibri" w:cs="Calibri" w:eastAsia="Calibri" w:hAnsi="Calibri"/>
                <w:b/>
                <w:bCs/>
                <w:i w:val="false"/>
                <w:iCs w:val="false"/>
                <w:color w:val="FFFFFF"/>
                <w:sz w:val="19"/>
                <w:szCs w:val="19"/>
              </w:rPr>
              <w:t xml:space="preserve">Draft claim</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Reality</w:t>
            </w:r>
          </w:p>
        </w:tc>
        <w:tc>
          <w:tcPr>
            <w:tcW w:type="dxa" w:w="2780"/>
            <w:shd w:fill="1B3A6B" w:color="auto" w:val="clear"/>
          </w:tcPr>
          <w:p>
            <w:pPr>
              <w:spacing w:after="50" w:before="50"/>
            </w:pPr>
            <w:r>
              <w:rPr>
                <w:rFonts w:ascii="Calibri" w:cs="Calibri" w:eastAsia="Calibri" w:hAnsi="Calibri"/>
                <w:b/>
                <w:bCs/>
                <w:i w:val="false"/>
                <w:iCs w:val="false"/>
                <w:color w:val="FFFFFF"/>
                <w:sz w:val="19"/>
                <w:szCs w:val="19"/>
              </w:rPr>
              <w:t xml:space="preserve">Recommended wording</w:t>
            </w:r>
          </w:p>
        </w:tc>
      </w:tr>
      <w:tr>
        <w:tc>
          <w:tcPr>
            <w:tcW w:type="dxa" w:w="3800"/>
          </w:tcPr>
          <w:p>
            <w:pPr>
              <w:spacing w:after="40" w:before="40"/>
            </w:pPr>
            <w:r>
              <w:rPr>
                <w:rFonts w:ascii="Calibri" w:cs="Calibri" w:eastAsia="Calibri" w:hAnsi="Calibri"/>
                <w:b w:val="false"/>
                <w:bCs w:val="false"/>
                <w:i w:val="false"/>
                <w:iCs w:val="false"/>
                <w:color w:val="1F2937"/>
                <w:sz w:val="19"/>
                <w:szCs w:val="19"/>
              </w:rPr>
              <w:t xml:space="preserve">"AI Decision Support ✓" vs. competitors "Limited"</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The AI performs document extraction — reading documents and pulling out budget items and milestones. It does not perform decision support or recommendation.</w:t>
            </w:r>
          </w:p>
        </w:tc>
        <w:tc>
          <w:tcPr>
            <w:tcW w:type="dxa" w:w="2780"/>
          </w:tcPr>
          <w:p>
            <w:pPr>
              <w:spacing w:after="40" w:before="40"/>
            </w:pPr>
            <w:r>
              <w:rPr>
                <w:rFonts w:ascii="Calibri" w:cs="Calibri" w:eastAsia="Calibri" w:hAnsi="Calibri"/>
                <w:b w:val="false"/>
                <w:bCs w:val="false"/>
                <w:i w:val="false"/>
                <w:iCs w:val="false"/>
                <w:color w:val="1F2937"/>
                <w:sz w:val="19"/>
                <w:szCs w:val="19"/>
              </w:rPr>
              <w:t xml:space="preserve">Claim "AI document extraction" — which is true, verifiable in a demo, and genuinely unmatched locally. It is a stronger claim than the vague one it replaces.</w:t>
            </w:r>
          </w:p>
        </w:tc>
      </w:tr>
      <w:tr>
        <w:tc>
          <w:tcPr>
            <w:tcW w:type="dxa" w:w="38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"On-Premises Option ✓"</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The Docker stack is deployable on customer infrastructure, but no customer deployment has been executed and no on-premise runbook has been proven in the field.</w:t>
            </w:r>
          </w:p>
        </w:tc>
        <w:tc>
          <w:tcPr>
            <w:tcW w:type="dxa" w:w="27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Claim "deployable on customer infrastructure" until the first on-premise installation is complete, then upgrade the claim.</w:t>
            </w:r>
          </w:p>
        </w:tc>
      </w:tr>
    </w:tbl>
    <w:p>
      <w:pPr>
        <w:pBdr>
          <w:top w:val="single" w:color="B45309" w:sz="1"/>
          <w:bottom w:val="single" w:color="B45309" w:sz="1"/>
          <w:left w:val="single" w:color="B45309" w:sz="8"/>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Why this matters commercially  </w:t>
      </w:r>
      <w:r>
        <w:rPr>
          <w:rFonts w:ascii="Calibri" w:cs="Calibri" w:eastAsia="Calibri" w:hAnsi="Calibri"/>
          <w:b w:val="false"/>
          <w:bCs w:val="false"/>
          <w:i w:val="false"/>
          <w:iCs w:val="false"/>
          <w:color w:val="1F2937"/>
          <w:sz w:val="19"/>
          <w:szCs w:val="19"/>
        </w:rPr>
        <w:t xml:space="preserve">Government and bank procurement teams verify claims during evaluation. A capability table that overstates is worse than one that understates — a single unverifiable checkmark invites scrutiny of every other row, including the ones that are true and genuinely differentiating.</w:t>
      </w:r>
    </w:p>
    <w:p>
      <w:pPr>
        <w:pStyle w:val="Heading2"/>
        <w:spacing w:after="140" w:before="300"/>
      </w:pPr>
      <w:r>
        <w:rPr>
          <w:rFonts w:ascii="Calibri" w:cs="Calibri" w:eastAsia="Calibri" w:hAnsi="Calibri"/>
          <w:b/>
          <w:bCs/>
          <w:i w:val="false"/>
          <w:iCs w:val="false"/>
          <w:color w:val="0D9488"/>
          <w:sz w:val="24"/>
          <w:szCs w:val="24"/>
        </w:rPr>
        <w:t xml:space="preserve">2.3  Where the draft understates</w:t>
      </w:r>
    </w:p>
    <w:p>
      <w:pPr>
        <w:spacing w:after="130" w:line="268"/>
        <w:jc w:val="left"/>
      </w:pPr>
      <w:r>
        <w:rPr>
          <w:rFonts w:ascii="Calibri" w:cs="Calibri" w:eastAsia="Calibri" w:hAnsi="Calibri"/>
          <w:b w:val="false"/>
          <w:bCs w:val="false"/>
          <w:i w:val="false"/>
          <w:iCs w:val="false"/>
          <w:color w:val="1F2937"/>
          <w:sz w:val="21"/>
          <w:szCs w:val="21"/>
        </w:rPr>
        <w:t xml:space="preserve">The draft gives away three assets it already owns.</w:t>
      </w:r>
    </w:p>
    <w:p>
      <w:pPr>
        <w:spacing w:after="130" w:line="268"/>
      </w:pPr>
      <w:r>
        <w:rPr>
          <w:rFonts w:ascii="Calibri" w:cs="Calibri" w:eastAsia="Calibri" w:hAnsi="Calibri"/>
          <w:b/>
          <w:bCs/>
          <w:i w:val="false"/>
          <w:iCs w:val="false"/>
          <w:color w:val="1F2937"/>
          <w:sz w:val="21"/>
          <w:szCs w:val="21"/>
        </w:rPr>
        <w:t xml:space="preserve">Tigrinya and Somali. </w:t>
      </w:r>
      <w:r>
        <w:rPr>
          <w:rFonts w:ascii="Calibri" w:cs="Calibri" w:eastAsia="Calibri" w:hAnsi="Calibri"/>
          <w:b w:val="false"/>
          <w:bCs w:val="false"/>
          <w:i w:val="false"/>
          <w:iCs w:val="false"/>
          <w:color w:val="1F2937"/>
          <w:sz w:val="21"/>
          <w:szCs w:val="21"/>
        </w:rPr>
        <w:t xml:space="preserve">The draft consistently says "Amharic / Afaan Oromo." Two further languages are fully translated and shipping. Regional bureaus in Tigray and the Somali region have no enterprise software in their working language from any vendor at any price. This is the least contested entry point in the entire market and the draft does not mention it once.</w:t>
      </w:r>
    </w:p>
    <w:p>
      <w:pPr>
        <w:spacing w:after="130" w:line="268"/>
      </w:pPr>
      <w:r>
        <w:rPr>
          <w:rFonts w:ascii="Calibri" w:cs="Calibri" w:eastAsia="Calibri" w:hAnsi="Calibri"/>
          <w:b/>
          <w:bCs/>
          <w:i w:val="false"/>
          <w:iCs w:val="false"/>
          <w:color w:val="1F2937"/>
          <w:sz w:val="21"/>
          <w:szCs w:val="21"/>
        </w:rPr>
        <w:t xml:space="preserve">The budget engine. </w:t>
      </w:r>
      <w:r>
        <w:rPr>
          <w:rFonts w:ascii="Calibri" w:cs="Calibri" w:eastAsia="Calibri" w:hAnsi="Calibri"/>
          <w:b w:val="false"/>
          <w:bCs w:val="false"/>
          <w:i w:val="false"/>
          <w:iCs w:val="false"/>
          <w:color w:val="1F2937"/>
          <w:sz w:val="21"/>
          <w:szCs w:val="21"/>
        </w:rPr>
        <w:t xml:space="preserve">The draft lists "Budget overruns → Financial tracking" as one row in a ten-row value table. Budget management with revision history and an independent audit trail is not a feature — for a public-sector finance buyer it is the entire purchase rationale.</w:t>
      </w:r>
    </w:p>
    <w:p>
      <w:pPr>
        <w:spacing w:after="130" w:line="268"/>
      </w:pPr>
      <w:r>
        <w:rPr>
          <w:rFonts w:ascii="Calibri" w:cs="Calibri" w:eastAsia="Calibri" w:hAnsi="Calibri"/>
          <w:b/>
          <w:bCs/>
          <w:i w:val="false"/>
          <w:iCs w:val="false"/>
          <w:color w:val="1F2937"/>
          <w:sz w:val="21"/>
          <w:szCs w:val="21"/>
        </w:rPr>
        <w:t xml:space="preserve">Document-to-budget extraction. </w:t>
      </w:r>
      <w:r>
        <w:rPr>
          <w:rFonts w:ascii="Calibri" w:cs="Calibri" w:eastAsia="Calibri" w:hAnsi="Calibri"/>
          <w:b w:val="false"/>
          <w:bCs w:val="false"/>
          <w:i w:val="false"/>
          <w:iCs w:val="false"/>
          <w:color w:val="1F2937"/>
          <w:sz w:val="21"/>
          <w:szCs w:val="21"/>
        </w:rPr>
        <w:t xml:space="preserve">An officer uploads a contract or invoice and the system extracts the line items and milestones into a tracked, auditable budget. That is the demo that wins meetings. In the draft it is a 10,000 ETB add-on listed below "additional storage."</w:t>
      </w:r>
    </w:p>
    <w:p>
      <w:r>
        <w:br w:type="page"/>
      </w:r>
    </w:p>
    <w:p>
      <w:pPr>
        <w:pStyle w:val="Heading1"/>
        <w:spacing w:after="180" w:before="380"/>
      </w:pPr>
      <w:r>
        <w:rPr>
          <w:rFonts w:ascii="Calibri" w:cs="Calibri" w:eastAsia="Calibri" w:hAnsi="Calibri"/>
          <w:b/>
          <w:bCs/>
          <w:i w:val="false"/>
          <w:iCs w:val="false"/>
          <w:color w:val="1B3A6B"/>
          <w:sz w:val="28"/>
          <w:szCs w:val="28"/>
        </w:rPr>
        <w:t xml:space="preserve">3. Repositioning</w:t>
      </w:r>
    </w:p>
    <w:p>
      <w:pPr>
        <w:pStyle w:val="Heading2"/>
        <w:spacing w:after="140" w:before="300"/>
      </w:pPr>
      <w:r>
        <w:rPr>
          <w:rFonts w:ascii="Calibri" w:cs="Calibri" w:eastAsia="Calibri" w:hAnsi="Calibri"/>
          <w:b/>
          <w:bCs/>
          <w:i w:val="false"/>
          <w:iCs w:val="false"/>
          <w:color w:val="0D9488"/>
          <w:sz w:val="24"/>
          <w:szCs w:val="24"/>
        </w:rPr>
        <w:t xml:space="preserve">3.1  The problem Onekof should claim</w:t>
      </w:r>
    </w:p>
    <w:p>
      <w:pPr>
        <w:spacing w:after="130" w:line="268"/>
        <w:jc w:val="left"/>
      </w:pPr>
      <w:r>
        <w:rPr>
          <w:rFonts w:ascii="Calibri" w:cs="Calibri" w:eastAsia="Calibri" w:hAnsi="Calibri"/>
          <w:b w:val="false"/>
          <w:bCs w:val="false"/>
          <w:i w:val="false"/>
          <w:iCs w:val="false"/>
          <w:color w:val="1F2937"/>
          <w:sz w:val="21"/>
          <w:szCs w:val="21"/>
        </w:rPr>
        <w:t xml:space="preserve">Ethiopian public-sector budget accountability is a documented national priority, and the failure mode is consistent: plans live in one system, budgets in spreadsheets, and the supporting documents in email and filing cabinets. Nobody can reconcile the three without manual effort, so nobody does it often enough to catch problems while they are still correctable.</w:t>
      </w:r>
    </w:p>
    <w:p>
      <w:pPr>
        <w:spacing w:after="130" w:line="268"/>
        <w:jc w:val="left"/>
      </w:pPr>
      <w:r>
        <w:rPr>
          <w:rFonts w:ascii="Calibri" w:cs="Calibri" w:eastAsia="Calibri" w:hAnsi="Calibri"/>
          <w:b w:val="false"/>
          <w:bCs w:val="false"/>
          <w:i w:val="false"/>
          <w:iCs w:val="false"/>
          <w:color w:val="1F2937"/>
          <w:sz w:val="21"/>
          <w:szCs w:val="21"/>
        </w:rPr>
        <w:t xml:space="preserve">Onekof closes that loop. The plan, the money against the plan, and the document evidence behind both sit in one tenant-isolated, append-only record, in the officer's own language, on infrastructure that never leaves the country.</w:t>
      </w:r>
    </w:p>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Positioning statement  </w:t>
      </w:r>
      <w:r>
        <w:rPr>
          <w:rFonts w:ascii="Calibri" w:cs="Calibri" w:eastAsia="Calibri" w:hAnsi="Calibri"/>
          <w:b w:val="false"/>
          <w:bCs w:val="false"/>
          <w:i w:val="false"/>
          <w:iCs w:val="false"/>
          <w:color w:val="1F2937"/>
          <w:sz w:val="19"/>
          <w:szCs w:val="19"/>
        </w:rPr>
        <w:t xml:space="preserve">Onekof is the accountability platform for Ethiopian institutions: it connects what was planned, what was spent, and the documents that prove both — auditable, multilingual, and hosted on sovereign infrastructure.</w:t>
      </w:r>
    </w:p>
    <w:p>
      <w:pPr>
        <w:pStyle w:val="Heading2"/>
        <w:spacing w:after="140" w:before="300"/>
      </w:pPr>
      <w:r>
        <w:rPr>
          <w:rFonts w:ascii="Calibri" w:cs="Calibri" w:eastAsia="Calibri" w:hAnsi="Calibri"/>
          <w:b/>
          <w:bCs/>
          <w:i w:val="false"/>
          <w:iCs w:val="false"/>
          <w:color w:val="0D9488"/>
          <w:sz w:val="24"/>
          <w:szCs w:val="24"/>
        </w:rPr>
        <w:t xml:space="preserve">3.2  What changes in the sales motion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B3A6B" w:color="auto" w:val="clear"/>
          </w:tcPr>
          <w:p>
            <w:pPr>
              <w:spacing w:after="50" w:before="50"/>
            </w:pPr>
            <w:r>
              <w:rPr>
                <w:rFonts w:ascii="Calibri" w:cs="Calibri" w:eastAsia="Calibri" w:hAnsi="Calibri"/>
                <w:b/>
                <w:bCs/>
                <w:i w:val="false"/>
                <w:iCs w:val="false"/>
                <w:color w:val="FFFFFF"/>
                <w:sz w:val="19"/>
                <w:szCs w:val="19"/>
              </w:rPr>
              <w:t xml:space="preserve">Dimension</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As a PM tool</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As an accountability platform</w:t>
            </w:r>
          </w:p>
        </w:tc>
      </w:tr>
      <w:tr>
        <w:tc>
          <w:tcPr>
            <w:tcW w:type="dxa" w:w="2800"/>
          </w:tcPr>
          <w:p>
            <w:pPr>
              <w:spacing w:after="40" w:before="40"/>
            </w:pPr>
            <w:r>
              <w:rPr>
                <w:rFonts w:ascii="Calibri" w:cs="Calibri" w:eastAsia="Calibri" w:hAnsi="Calibri"/>
                <w:b/>
                <w:bCs/>
                <w:i w:val="false"/>
                <w:iCs w:val="false"/>
                <w:color w:val="1F2937"/>
                <w:sz w:val="19"/>
                <w:szCs w:val="19"/>
              </w:rPr>
              <w:t xml:space="preserve">Buyer</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IT department</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Finance directorate, planning office, audit and oversight bodies</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Budget line</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Software licensing</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Governance, financial management systems, donor compliance</w:t>
            </w:r>
          </w:p>
        </w:tc>
      </w:tr>
      <w:tr>
        <w:tc>
          <w:tcPr>
            <w:tcW w:type="dxa" w:w="2800"/>
          </w:tcPr>
          <w:p>
            <w:pPr>
              <w:spacing w:after="40" w:before="40"/>
            </w:pPr>
            <w:r>
              <w:rPr>
                <w:rFonts w:ascii="Calibri" w:cs="Calibri" w:eastAsia="Calibri" w:hAnsi="Calibri"/>
                <w:b/>
                <w:bCs/>
                <w:i w:val="false"/>
                <w:iCs w:val="false"/>
                <w:color w:val="1F2937"/>
                <w:sz w:val="19"/>
                <w:szCs w:val="19"/>
              </w:rPr>
              <w:t xml:space="preserve">Compared against</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Jira, Zoho, monday.com</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Spreadsheets and manual reconciliation — no direct substitute</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Price anchor</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Per-seat rate cards</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Value of controlled expenditure and audit readiness</w:t>
            </w:r>
          </w:p>
        </w:tc>
      </w:tr>
      <w:tr>
        <w:tc>
          <w:tcPr>
            <w:tcW w:type="dxa" w:w="2800"/>
          </w:tcPr>
          <w:p>
            <w:pPr>
              <w:spacing w:after="40" w:before="40"/>
            </w:pPr>
            <w:r>
              <w:rPr>
                <w:rFonts w:ascii="Calibri" w:cs="Calibri" w:eastAsia="Calibri" w:hAnsi="Calibri"/>
                <w:b/>
                <w:bCs/>
                <w:i w:val="false"/>
                <w:iCs w:val="false"/>
                <w:color w:val="1F2937"/>
                <w:sz w:val="19"/>
                <w:szCs w:val="19"/>
              </w:rPr>
              <w:t xml:space="preserve">Decision driver</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Team productivity</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Statutory mandate, donor requirement, audit finding</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Sales cycle</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Weeks</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6–18 months, tender-driven</w:t>
            </w:r>
          </w:p>
        </w:tc>
      </w:tr>
    </w:tbl>
    <w:p>
      <w:pPr>
        <w:spacing w:after="130" w:line="268"/>
        <w:jc w:val="left"/>
      </w:pPr>
      <w:r>
        <w:rPr>
          <w:rFonts w:ascii="Calibri" w:cs="Calibri" w:eastAsia="Calibri" w:hAnsi="Calibri"/>
          <w:b w:val="false"/>
          <w:bCs w:val="false"/>
          <w:i w:val="false"/>
          <w:iCs w:val="false"/>
          <w:color w:val="1F2937"/>
          <w:sz w:val="21"/>
          <w:szCs w:val="21"/>
        </w:rPr>
        <w:t xml:space="preserve">The second column is a price-taker market against well-funded global incumbents. The third is a market where Onekof has no direct competitor, a national security certification, and the only interface in four Ethiopian languages.</w:t>
      </w:r>
    </w:p>
    <w:p>
      <w:pPr>
        <w:pStyle w:val="Heading2"/>
        <w:spacing w:after="140" w:before="300"/>
      </w:pPr>
      <w:r>
        <w:rPr>
          <w:rFonts w:ascii="Calibri" w:cs="Calibri" w:eastAsia="Calibri" w:hAnsi="Calibri"/>
          <w:b/>
          <w:bCs/>
          <w:i w:val="false"/>
          <w:iCs w:val="false"/>
          <w:color w:val="0D9488"/>
          <w:sz w:val="24"/>
          <w:szCs w:val="24"/>
        </w:rPr>
        <w:t xml:space="preserve">3.3  Three entry wedges, in priority order</w:t>
      </w:r>
    </w:p>
    <w:p>
      <w:pPr>
        <w:spacing w:after="130" w:line="268"/>
      </w:pPr>
      <w:r>
        <w:rPr>
          <w:rFonts w:ascii="Calibri" w:cs="Calibri" w:eastAsia="Calibri" w:hAnsi="Calibri"/>
          <w:b/>
          <w:bCs/>
          <w:i w:val="false"/>
          <w:iCs w:val="false"/>
          <w:color w:val="1F2937"/>
          <w:sz w:val="21"/>
          <w:szCs w:val="21"/>
        </w:rPr>
        <w:t xml:space="preserve">Wedge 1 — Donor-funded programmes. </w:t>
      </w:r>
      <w:r>
        <w:rPr>
          <w:rFonts w:ascii="Calibri" w:cs="Calibri" w:eastAsia="Calibri" w:hAnsi="Calibri"/>
          <w:b w:val="false"/>
          <w:bCs w:val="false"/>
          <w:i w:val="false"/>
          <w:iCs w:val="false"/>
          <w:color w:val="1F2937"/>
          <w:sz w:val="21"/>
          <w:szCs w:val="21"/>
        </w:rPr>
        <w:t xml:space="preserve">NGOs and development partners face non-negotiable expenditure reporting obligations and already hold budget for compliance systems. Cycles are shorter than government, decisions are made locally, and the sector refers heavily within itself. This is where the first paying references should come from, even though government carries more contract value.</w:t>
      </w:r>
    </w:p>
    <w:p>
      <w:pPr>
        <w:spacing w:after="130" w:line="268"/>
      </w:pPr>
      <w:r>
        <w:rPr>
          <w:rFonts w:ascii="Calibri" w:cs="Calibri" w:eastAsia="Calibri" w:hAnsi="Calibri"/>
          <w:b/>
          <w:bCs/>
          <w:i w:val="false"/>
          <w:iCs w:val="false"/>
          <w:color w:val="1F2937"/>
          <w:sz w:val="21"/>
          <w:szCs w:val="21"/>
        </w:rPr>
        <w:t xml:space="preserve">Wedge 2 — Regional bureaus in Tigrinya and Somali. </w:t>
      </w:r>
      <w:r>
        <w:rPr>
          <w:rFonts w:ascii="Calibri" w:cs="Calibri" w:eastAsia="Calibri" w:hAnsi="Calibri"/>
          <w:b w:val="false"/>
          <w:bCs w:val="false"/>
          <w:i w:val="false"/>
          <w:iCs w:val="false"/>
          <w:color w:val="1F2937"/>
          <w:sz w:val="21"/>
          <w:szCs w:val="21"/>
        </w:rPr>
        <w:t xml:space="preserve">No competitor serves these languages. Contract values are lower than federal, procurement is less contested, and success creates a defensible regional base plus reference customers for federal bids.</w:t>
      </w:r>
    </w:p>
    <w:p>
      <w:pPr>
        <w:spacing w:after="130" w:line="268"/>
      </w:pPr>
      <w:r>
        <w:rPr>
          <w:rFonts w:ascii="Calibri" w:cs="Calibri" w:eastAsia="Calibri" w:hAnsi="Calibri"/>
          <w:b/>
          <w:bCs/>
          <w:i w:val="false"/>
          <w:iCs w:val="false"/>
          <w:color w:val="1F2937"/>
          <w:sz w:val="21"/>
          <w:szCs w:val="21"/>
        </w:rPr>
        <w:t xml:space="preserve">Wedge 3 — Federal ministries and agencies. </w:t>
      </w:r>
      <w:r>
        <w:rPr>
          <w:rFonts w:ascii="Calibri" w:cs="Calibri" w:eastAsia="Calibri" w:hAnsi="Calibri"/>
          <w:b w:val="false"/>
          <w:bCs w:val="false"/>
          <w:i w:val="false"/>
          <w:iCs w:val="false"/>
          <w:color w:val="1F2937"/>
          <w:sz w:val="21"/>
          <w:szCs w:val="21"/>
        </w:rPr>
        <w:t xml:space="preserve">Highest contract value, longest cycle, hardest evaluation. INSA certification is the entry ticket. Pursue in parallel from day one because of the cycle length, but do not model Year 1 revenue on it closing.</w:t>
      </w:r>
    </w:p>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Sequencing note  </w:t>
      </w:r>
      <w:r>
        <w:rPr>
          <w:rFonts w:ascii="Calibri" w:cs="Calibri" w:eastAsia="Calibri" w:hAnsi="Calibri"/>
          <w:b w:val="false"/>
          <w:bCs w:val="false"/>
          <w:i w:val="false"/>
          <w:iCs w:val="false"/>
          <w:color w:val="1F2937"/>
          <w:sz w:val="19"/>
          <w:szCs w:val="19"/>
        </w:rPr>
        <w:t xml:space="preserve">This inverts the draft, which ranks Government first and NGOs third. Government is correctly the largest prize and pursuit should start immediately — but a 6–18 month tender cycle cannot fund Year 1 operations. NGOs generate the revenue and the reference customers that make the government bids credible. Pursue government first in effort; expect NGO first in cash.</w:t>
      </w:r>
    </w:p>
    <w:p>
      <w:r>
        <w:br w:type="page"/>
      </w:r>
    </w:p>
    <w:p>
      <w:pPr>
        <w:pStyle w:val="Heading1"/>
        <w:spacing w:after="180" w:before="380"/>
      </w:pPr>
      <w:r>
        <w:rPr>
          <w:rFonts w:ascii="Calibri" w:cs="Calibri" w:eastAsia="Calibri" w:hAnsi="Calibri"/>
          <w:b/>
          <w:bCs/>
          <w:i w:val="false"/>
          <w:iCs w:val="false"/>
          <w:color w:val="1B3A6B"/>
          <w:sz w:val="28"/>
          <w:szCs w:val="28"/>
        </w:rPr>
        <w:t xml:space="preserve">4. Market Assessment</w:t>
      </w:r>
    </w:p>
    <w:p>
      <w:pPr>
        <w:pBdr>
          <w:top w:val="single" w:color="B45309" w:sz="1"/>
          <w:bottom w:val="single" w:color="B45309" w:sz="1"/>
          <w:left w:val="single" w:color="B45309" w:sz="8"/>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Confidence note  </w:t>
      </w:r>
      <w:r>
        <w:rPr>
          <w:rFonts w:ascii="Calibri" w:cs="Calibri" w:eastAsia="Calibri" w:hAnsi="Calibri"/>
          <w:b w:val="false"/>
          <w:bCs w:val="false"/>
          <w:i w:val="false"/>
          <w:iCs w:val="false"/>
          <w:color w:val="1F2937"/>
          <w:sz w:val="19"/>
          <w:szCs w:val="19"/>
        </w:rPr>
        <w:t xml:space="preserve">Organization counts below are planning estimates assembled from public information on Ethiopian government structure, the financial sector, and the NGO register. Contract values are informed estimates, not observed transactions — DAPS has not yet closed a deal in most of these segments. Treat this as a sizing framework to be corrected with real data after the first ten customers, not as a forecast.</w:t>
      </w:r>
    </w:p>
    <w:p>
      <w:pPr>
        <w:pStyle w:val="Heading2"/>
        <w:spacing w:after="140" w:before="300"/>
      </w:pPr>
      <w:r>
        <w:rPr>
          <w:rFonts w:ascii="Calibri" w:cs="Calibri" w:eastAsia="Calibri" w:hAnsi="Calibri"/>
          <w:b/>
          <w:bCs/>
          <w:i w:val="false"/>
          <w:iCs w:val="false"/>
          <w:color w:val="0D9488"/>
          <w:sz w:val="24"/>
          <w:szCs w:val="24"/>
        </w:rPr>
        <w:t xml:space="preserve">4.1  Addressable organizations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60"/>
        <w:gridCol w:w="1700"/>
        <w:gridCol w:w="1700"/>
        <w:gridCol w:w="1700"/>
        <w:gridCol w:w="1700"/>
      </w:tblGrid>
      <w:tr>
        <w:trPr>
          <w:tblHeader/>
        </w:trPr>
        <w:tc>
          <w:tcPr>
            <w:tcW w:type="dxa" w:w="2560"/>
            <w:shd w:fill="1B3A6B" w:color="auto" w:val="clear"/>
          </w:tcPr>
          <w:p>
            <w:pPr>
              <w:spacing w:after="50" w:before="50"/>
            </w:pPr>
            <w:r>
              <w:rPr>
                <w:rFonts w:ascii="Calibri" w:cs="Calibri" w:eastAsia="Calibri" w:hAnsi="Calibri"/>
                <w:b/>
                <w:bCs/>
                <w:i w:val="false"/>
                <w:iCs w:val="false"/>
                <w:color w:val="FFFFFF"/>
                <w:sz w:val="19"/>
                <w:szCs w:val="19"/>
              </w:rPr>
              <w:t xml:space="preserve">Segment</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Est. count</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Realistic reach</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Est. ACV (ETB)</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Segment value</w:t>
            </w:r>
          </w:p>
        </w:tc>
      </w:tr>
      <w:tr>
        <w:tc>
          <w:tcPr>
            <w:tcW w:type="dxa" w:w="2560"/>
          </w:tcPr>
          <w:p>
            <w:pPr>
              <w:spacing w:after="40" w:before="40"/>
            </w:pPr>
            <w:r>
              <w:rPr>
                <w:rFonts w:ascii="Calibri" w:cs="Calibri" w:eastAsia="Calibri" w:hAnsi="Calibri"/>
                <w:b/>
                <w:bCs/>
                <w:i w:val="false"/>
                <w:iCs w:val="false"/>
                <w:color w:val="1F2937"/>
                <w:sz w:val="19"/>
                <w:szCs w:val="19"/>
              </w:rPr>
              <w:t xml:space="preserve">Federal ministries &amp; agencies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~120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~35</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24.5M</w:t>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Regional bureaus</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15.0M</w:t>
            </w:r>
          </w:p>
        </w:tc>
      </w:tr>
      <w:tr>
        <w:tc>
          <w:tcPr>
            <w:tcW w:type="dxa" w:w="2560"/>
          </w:tcPr>
          <w:p>
            <w:pPr>
              <w:spacing w:after="40" w:before="40"/>
            </w:pPr>
            <w:r>
              <w:rPr>
                <w:rFonts w:ascii="Calibri" w:cs="Calibri" w:eastAsia="Calibri" w:hAnsi="Calibri"/>
                <w:b/>
                <w:bCs/>
                <w:i w:val="false"/>
                <w:iCs w:val="false"/>
                <w:color w:val="1F2937"/>
                <w:sz w:val="19"/>
                <w:szCs w:val="19"/>
              </w:rPr>
              <w:t xml:space="preserve">Public universities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~50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~25</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300,000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7.5M</w:t>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Banks, MFIs &amp; insurers</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18.0M</w:t>
            </w:r>
          </w:p>
        </w:tc>
      </w:tr>
      <w:tr>
        <w:tc>
          <w:tcPr>
            <w:tcW w:type="dxa" w:w="2560"/>
          </w:tcPr>
          <w:p>
            <w:pPr>
              <w:spacing w:after="40" w:before="40"/>
            </w:pPr>
            <w:r>
              <w:rPr>
                <w:rFonts w:ascii="Calibri" w:cs="Calibri" w:eastAsia="Calibri" w:hAnsi="Calibri"/>
                <w:b/>
                <w:bCs/>
                <w:i w:val="false"/>
                <w:iCs w:val="false"/>
                <w:color w:val="1F2937"/>
                <w:sz w:val="19"/>
                <w:szCs w:val="19"/>
              </w:rPr>
              <w:t xml:space="preserve">NGOs &amp; development partners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~90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280,000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25.2M</w:t>
            </w:r>
          </w:p>
        </w:tc>
      </w:tr>
      <w:tr>
        <w:tc>
          <w:tcPr>
            <w:tcW w:type="dxa" w:w="2560"/>
            <w:shd w:fill="F8FAFC" w:color="auto" w:val="clear"/>
          </w:tcPr>
          <w:p>
            <w:pPr>
              <w:spacing w:after="40" w:before="40"/>
            </w:pPr>
            <w:r>
              <w:rPr>
                <w:rFonts w:ascii="Calibri" w:cs="Calibri" w:eastAsia="Calibri" w:hAnsi="Calibri"/>
                <w:b/>
                <w:bCs/>
                <w:i w:val="false"/>
                <w:iCs w:val="false"/>
                <w:color w:val="1F2937"/>
                <w:sz w:val="19"/>
                <w:szCs w:val="19"/>
              </w:rPr>
              <w:t xml:space="preserve">Large private enterprises</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150,000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18.0M</w:t>
            </w:r>
          </w:p>
        </w:tc>
      </w:tr>
      <w:tr>
        <w:tc>
          <w:tcPr>
            <w:tcW w:type="dxa" w:w="2560"/>
          </w:tcPr>
          <w:p>
            <w:pPr>
              <w:spacing w:after="40" w:before="40"/>
            </w:pPr>
            <w:r>
              <w:rPr>
                <w:rFonts w:ascii="Calibri" w:cs="Calibri" w:eastAsia="Calibri" w:hAnsi="Calibri"/>
                <w:b/>
                <w:bCs/>
                <w:i w:val="false"/>
                <w:iCs w:val="false"/>
                <w:color w:val="1F2937"/>
                <w:sz w:val="19"/>
                <w:szCs w:val="19"/>
              </w:rPr>
              <w:t xml:space="preserve">SMEs (addressable subset)</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~5,000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~600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32,000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19.2M</w:t>
            </w:r>
          </w:p>
        </w:tc>
      </w:tr>
      <w:tr>
        <w:tc>
          <w:tcPr>
            <w:tcW w:type="dxa" w:w="2560"/>
            <w:shd w:fill="E0F2FE" w:color="auto" w:val="clear"/>
          </w:tcPr>
          <w:p>
            <w:pPr>
              <w:spacing w:after="40" w:before="40"/>
            </w:pPr>
            <w:r>
              <w:rPr>
                <w:rFonts w:ascii="Calibri" w:cs="Calibri" w:eastAsia="Calibri" w:hAnsi="Calibri"/>
                <w:b/>
                <w:bCs/>
                <w:i w:val="false"/>
                <w:iCs w:val="false"/>
                <w:color w:val="1B3A6B"/>
                <w:sz w:val="19"/>
                <w:szCs w:val="19"/>
              </w:rPr>
              <w:t xml:space="preserve">Total serviceable market</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~6,360</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~950</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~127M ETB/yr</w:t>
            </w:r>
          </w:p>
        </w:tc>
      </w:tr>
    </w:tbl>
    <w:p>
      <w:pPr>
        <w:spacing w:after="130" w:line="268"/>
        <w:jc w:val="left"/>
      </w:pPr>
      <w:r>
        <w:rPr>
          <w:rFonts w:ascii="Calibri" w:cs="Calibri" w:eastAsia="Calibri" w:hAnsi="Calibri"/>
          <w:b w:val="false"/>
          <w:bCs w:val="false"/>
          <w:i w:val="false"/>
          <w:iCs w:val="false"/>
          <w:color w:val="1F2937"/>
          <w:sz w:val="21"/>
          <w:szCs w:val="21"/>
        </w:rPr>
        <w:t xml:space="preserve">Roughly 127M ETB (~$795,000) in annual recurring revenue represents the realistic serviceable market at full maturity — meaning every organization Onekof could plausibly reach and serve, not every organization that exists. This is a market that can support a profitable company of 25–40 people. It is not a market that can absorb venture-scale capital on Ethiopian revenue alone; regional expansion is required for that, which is why the draft's East Africa phasing matters.</w:t>
      </w:r>
    </w:p>
    <w:p>
      <w:pPr>
        <w:pStyle w:val="Heading2"/>
        <w:spacing w:after="140" w:before="300"/>
      </w:pPr>
      <w:r>
        <w:rPr>
          <w:rFonts w:ascii="Calibri" w:cs="Calibri" w:eastAsia="Calibri" w:hAnsi="Calibri"/>
          <w:b/>
          <w:bCs/>
          <w:i w:val="false"/>
          <w:iCs w:val="false"/>
          <w:color w:val="0D9488"/>
          <w:sz w:val="24"/>
          <w:szCs w:val="24"/>
        </w:rPr>
        <w:t xml:space="preserve">4.2  Realistic capture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Horizon</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Customers</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ARR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Share of serviceable market</w:t>
            </w:r>
          </w:p>
        </w:tc>
      </w:tr>
      <w:tr>
        <w:tc>
          <w:tcPr>
            <w:tcW w:type="dxa" w:w="2400"/>
          </w:tcPr>
          <w:p>
            <w:pPr>
              <w:spacing w:after="40" w:before="40"/>
            </w:pPr>
            <w:r>
              <w:rPr>
                <w:rFonts w:ascii="Calibri" w:cs="Calibri" w:eastAsia="Calibri" w:hAnsi="Calibri"/>
                <w:b/>
                <w:bCs/>
                <w:i w:val="false"/>
                <w:iCs w:val="false"/>
                <w:color w:val="1F2937"/>
                <w:sz w:val="19"/>
                <w:szCs w:val="19"/>
              </w:rPr>
              <w:t xml:space="preserve">Year 1</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~52</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~4.1M</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Year 2</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~126</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~12.5M</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w:t>
            </w:r>
          </w:p>
        </w:tc>
      </w:tr>
      <w:tr>
        <w:tc>
          <w:tcPr>
            <w:tcW w:type="dxa" w:w="2400"/>
          </w:tcPr>
          <w:p>
            <w:pPr>
              <w:spacing w:after="40" w:before="40"/>
            </w:pPr>
            <w:r>
              <w:rPr>
                <w:rFonts w:ascii="Calibri" w:cs="Calibri" w:eastAsia="Calibri" w:hAnsi="Calibri"/>
                <w:b/>
                <w:bCs/>
                <w:i w:val="false"/>
                <w:iCs w:val="false"/>
                <w:color w:val="1F2937"/>
                <w:sz w:val="19"/>
                <w:szCs w:val="19"/>
              </w:rPr>
              <w:t xml:space="preserve">Year 3</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~245</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~27.4M</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22%</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Year 5 (Ethiopia only)</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~450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~55M</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43%</w:t>
            </w:r>
          </w:p>
        </w:tc>
      </w:tr>
    </w:tbl>
    <w:p>
      <w:pPr>
        <w:pStyle w:val="Heading2"/>
        <w:spacing w:after="140" w:before="300"/>
      </w:pPr>
      <w:r>
        <w:rPr>
          <w:rFonts w:ascii="Calibri" w:cs="Calibri" w:eastAsia="Calibri" w:hAnsi="Calibri"/>
          <w:b/>
          <w:bCs/>
          <w:i w:val="false"/>
          <w:iCs w:val="false"/>
          <w:color w:val="0D9488"/>
          <w:sz w:val="24"/>
          <w:szCs w:val="24"/>
        </w:rPr>
        <w:t xml:space="preserve">4.3  Competitive reality</w:t>
      </w:r>
    </w:p>
    <w:p>
      <w:pPr>
        <w:spacing w:after="130" w:line="268"/>
        <w:jc w:val="left"/>
      </w:pPr>
      <w:r>
        <w:rPr>
          <w:rFonts w:ascii="Calibri" w:cs="Calibri" w:eastAsia="Calibri" w:hAnsi="Calibri"/>
          <w:b w:val="false"/>
          <w:bCs w:val="false"/>
          <w:i w:val="false"/>
          <w:iCs w:val="false"/>
          <w:color w:val="1F2937"/>
          <w:sz w:val="21"/>
          <w:szCs w:val="21"/>
        </w:rPr>
        <w:t xml:space="preserve">The draft's competitor table benchmarks against Jira, Zoho, monday.com, Asana, Microsoft Project, and Primavera. That comparison is useful for a pricing page and misleading as a strategy input, because those products are almost never the thing Onekof actually displaces.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B3A6B" w:color="auto" w:val="clear"/>
          </w:tcPr>
          <w:p>
            <w:pPr>
              <w:spacing w:after="50" w:before="50"/>
            </w:pPr>
            <w:r>
              <w:rPr>
                <w:rFonts w:ascii="Calibri" w:cs="Calibri" w:eastAsia="Calibri" w:hAnsi="Calibri"/>
                <w:b/>
                <w:bCs/>
                <w:i w:val="false"/>
                <w:iCs w:val="false"/>
                <w:color w:val="FFFFFF"/>
                <w:sz w:val="19"/>
                <w:szCs w:val="19"/>
              </w:rPr>
              <w:t xml:space="preserve">Actual competitor</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Why it wins today</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How Onekof beats it</w:t>
            </w:r>
          </w:p>
        </w:tc>
      </w:tr>
      <w:tr>
        <w:tc>
          <w:tcPr>
            <w:tcW w:type="dxa" w:w="2800"/>
          </w:tcPr>
          <w:p>
            <w:pPr>
              <w:spacing w:after="40" w:before="40"/>
            </w:pPr>
            <w:r>
              <w:rPr>
                <w:rFonts w:ascii="Calibri" w:cs="Calibri" w:eastAsia="Calibri" w:hAnsi="Calibri"/>
                <w:b/>
                <w:bCs/>
                <w:i w:val="false"/>
                <w:iCs w:val="false"/>
                <w:color w:val="1F2937"/>
                <w:sz w:val="19"/>
                <w:szCs w:val="19"/>
              </w:rPr>
              <w:t xml:space="preserve">Excel spreadsheets</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Free, universally understood, no procurement needed</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No audit trail, no multi-user control, no document linkage — fails the moment an auditor asks who changed a figure and when</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Manual paper processes</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Institutionally trusted, legally familiar</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Not searchable, not reportable, not reconcilable across departments</w:t>
            </w:r>
          </w:p>
        </w:tc>
      </w:tr>
      <w:tr>
        <w:tc>
          <w:tcPr>
            <w:tcW w:type="dxa" w:w="2800"/>
          </w:tcPr>
          <w:p>
            <w:pPr>
              <w:spacing w:after="40" w:before="40"/>
            </w:pPr>
            <w:r>
              <w:rPr>
                <w:rFonts w:ascii="Calibri" w:cs="Calibri" w:eastAsia="Calibri" w:hAnsi="Calibri"/>
                <w:b/>
                <w:bCs/>
                <w:i w:val="false"/>
                <w:iCs w:val="false"/>
                <w:color w:val="1F2937"/>
                <w:sz w:val="19"/>
                <w:szCs w:val="19"/>
              </w:rPr>
              <w:t xml:space="preserve">Custom in-house builds</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Already paid for, exactly fits one workflow</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Unmaintained, single-developer dependency, no upgrade path</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Doing nothing</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Zero cost, zero disruption, no procurement risk</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The genuine competitor in most deals — and the reason a mandate or audit finding is the strongest sales trigger</w:t>
            </w:r>
          </w:p>
        </w:tc>
      </w:tr>
    </w:tbl>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The competitive implication  </w:t>
      </w:r>
      <w:r>
        <w:rPr>
          <w:rFonts w:ascii="Calibri" w:cs="Calibri" w:eastAsia="Calibri" w:hAnsi="Calibri"/>
          <w:b w:val="false"/>
          <w:bCs w:val="false"/>
          <w:i w:val="false"/>
          <w:iCs w:val="false"/>
          <w:color w:val="1F2937"/>
          <w:sz w:val="19"/>
          <w:szCs w:val="19"/>
        </w:rPr>
        <w:t xml:space="preserve">Global SaaS vendors are not the threat. Inertia is. Marketing spend should go toward making the cost of the status quo visible — audit exposure, unreconciled expenditure, reporting effort — rather than toward feature comparisons against Jira, which no Ethiopian ministry is evaluating.</w:t>
      </w:r>
    </w:p>
    <w:p>
      <w:r>
        <w:br w:type="page"/>
      </w:r>
    </w:p>
    <w:p>
      <w:pPr>
        <w:pStyle w:val="Heading1"/>
        <w:spacing w:after="180" w:before="380"/>
      </w:pPr>
      <w:r>
        <w:rPr>
          <w:rFonts w:ascii="Calibri" w:cs="Calibri" w:eastAsia="Calibri" w:hAnsi="Calibri"/>
          <w:b/>
          <w:bCs/>
          <w:i w:val="false"/>
          <w:iCs w:val="false"/>
          <w:color w:val="1B3A6B"/>
          <w:sz w:val="28"/>
          <w:szCs w:val="28"/>
        </w:rPr>
        <w:t xml:space="preserve">5. Revised Pricing Model</w:t>
      </w:r>
    </w:p>
    <w:p>
      <w:pPr>
        <w:spacing w:after="130" w:line="268"/>
        <w:jc w:val="left"/>
      </w:pPr>
      <w:r>
        <w:rPr>
          <w:rFonts w:ascii="Calibri" w:cs="Calibri" w:eastAsia="Calibri" w:hAnsi="Calibri"/>
          <w:b w:val="false"/>
          <w:bCs w:val="false"/>
          <w:i w:val="false"/>
          <w:iCs w:val="false"/>
          <w:color w:val="1F2937"/>
          <w:sz w:val="21"/>
          <w:szCs w:val="21"/>
        </w:rPr>
        <w:t xml:space="preserve">The draft's structure is retained. Four changes are made: AI moves into the base tiers, government pricing becomes explicit, the Business tier is repriced against its verified value, and a language-driven regional tier is added.</w:t>
      </w:r>
    </w:p>
    <w:p>
      <w:pPr>
        <w:pStyle w:val="Heading2"/>
        <w:spacing w:after="140" w:before="300"/>
      </w:pPr>
      <w:r>
        <w:rPr>
          <w:rFonts w:ascii="Calibri" w:cs="Calibri" w:eastAsia="Calibri" w:hAnsi="Calibri"/>
          <w:b/>
          <w:bCs/>
          <w:i w:val="false"/>
          <w:iCs w:val="false"/>
          <w:color w:val="0D9488"/>
          <w:sz w:val="24"/>
          <w:szCs w:val="24"/>
        </w:rPr>
        <w:t xml:space="preserve">5.1  Core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700"/>
        <w:gridCol w:w="1500"/>
        <w:gridCol w:w="1500"/>
        <w:gridCol w:w="2760"/>
      </w:tblGrid>
      <w:tr>
        <w:trPr>
          <w:tblHeader/>
        </w:trPr>
        <w:tc>
          <w:tcPr>
            <w:tcW w:type="dxa" w:w="1900"/>
            <w:shd w:fill="1B3A6B" w:color="auto" w:val="clear"/>
          </w:tcPr>
          <w:p>
            <w:pPr>
              <w:spacing w:after="50" w:before="50"/>
            </w:pPr>
            <w:r>
              <w:rPr>
                <w:rFonts w:ascii="Calibri" w:cs="Calibri" w:eastAsia="Calibri" w:hAnsi="Calibri"/>
                <w:b/>
                <w:bCs/>
                <w:i w:val="false"/>
                <w:iCs w:val="false"/>
                <w:color w:val="FFFFFF"/>
                <w:sz w:val="19"/>
                <w:szCs w:val="19"/>
              </w:rPr>
              <w:t xml:space="preserve">Tier</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Target</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Users</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760"/>
            <w:shd w:fill="1B3A6B" w:color="auto" w:val="clear"/>
          </w:tcPr>
          <w:p>
            <w:pPr>
              <w:spacing w:after="50" w:before="50"/>
            </w:pPr>
            <w:r>
              <w:rPr>
                <w:rFonts w:ascii="Calibri" w:cs="Calibri" w:eastAsia="Calibri" w:hAnsi="Calibri"/>
                <w:b/>
                <w:bCs/>
                <w:i w:val="false"/>
                <w:iCs w:val="false"/>
                <w:color w:val="FFFFFF"/>
                <w:sz w:val="19"/>
                <w:szCs w:val="19"/>
              </w:rPr>
              <w:t xml:space="preserve">Included AI quota</w:t>
            </w:r>
          </w:p>
        </w:tc>
      </w:tr>
      <w:tr>
        <w:tc>
          <w:tcPr>
            <w:tcW w:type="dxa" w:w="1900"/>
          </w:tcPr>
          <w:p>
            <w:pPr>
              <w:spacing w:after="40" w:before="40"/>
            </w:pPr>
            <w:r>
              <w:rPr>
                <w:rFonts w:ascii="Calibri" w:cs="Calibri" w:eastAsia="Calibri" w:hAnsi="Calibri"/>
                <w:b/>
                <w:bCs/>
                <w:i w:val="false"/>
                <w:iCs w:val="false"/>
                <w:color w:val="1F2937"/>
                <w:sz w:val="19"/>
                <w:szCs w:val="19"/>
              </w:rPr>
              <w:t xml:space="preserve">Starter</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SMEs, startups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32,000</w:t>
            </w:r>
          </w:p>
        </w:tc>
        <w:tc>
          <w:tcPr>
            <w:tcW w:type="dxa" w:w="2760"/>
          </w:tcPr>
          <w:p>
            <w:pPr>
              <w:spacing w:after="40" w:before="40"/>
            </w:pPr>
            <w:r>
              <w:rPr>
                <w:rFonts w:ascii="Calibri" w:cs="Calibri" w:eastAsia="Calibri" w:hAnsi="Calibri"/>
                <w:b w:val="false"/>
                <w:bCs w:val="false"/>
                <w:i w:val="false"/>
                <w:iCs w:val="false"/>
                <w:color w:val="1F2937"/>
                <w:sz w:val="19"/>
                <w:szCs w:val="19"/>
              </w:rPr>
              <w:t xml:space="preserve">25 documents / month</w:t>
            </w:r>
          </w:p>
        </w:tc>
      </w:tr>
      <w:tr>
        <w:tc>
          <w:tcPr>
            <w:tcW w:type="dxa" w:w="1900"/>
            <w:shd w:fill="F8FAFC" w:color="auto" w:val="clear"/>
          </w:tcPr>
          <w:p>
            <w:pPr>
              <w:spacing w:after="40" w:before="40"/>
            </w:pPr>
            <w:r>
              <w:rPr>
                <w:rFonts w:ascii="Calibri" w:cs="Calibri" w:eastAsia="Calibri" w:hAnsi="Calibri"/>
                <w:b/>
                <w:bCs/>
                <w:i w:val="false"/>
                <w:iCs w:val="false"/>
                <w:color w:val="1F2937"/>
                <w:sz w:val="19"/>
                <w:szCs w:val="19"/>
              </w:rPr>
              <w:t xml:space="preserve">Professional</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Growing orgs</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95,000</w:t>
            </w:r>
          </w:p>
        </w:tc>
        <w:tc>
          <w:tcPr>
            <w:tcW w:type="dxa" w:w="2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100 documents / month</w:t>
            </w:r>
          </w:p>
        </w:tc>
      </w:tr>
      <w:tr>
        <w:tc>
          <w:tcPr>
            <w:tcW w:type="dxa" w:w="1900"/>
          </w:tcPr>
          <w:p>
            <w:pPr>
              <w:spacing w:after="40" w:before="40"/>
            </w:pPr>
            <w:r>
              <w:rPr>
                <w:rFonts w:ascii="Calibri" w:cs="Calibri" w:eastAsia="Calibri" w:hAnsi="Calibri"/>
                <w:b/>
                <w:bCs/>
                <w:i w:val="false"/>
                <w:iCs w:val="false"/>
                <w:color w:val="1F2937"/>
                <w:sz w:val="19"/>
                <w:szCs w:val="19"/>
              </w:rPr>
              <w:t xml:space="preserve">Business</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NGOs, universities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200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260,000</w:t>
            </w:r>
          </w:p>
        </w:tc>
        <w:tc>
          <w:tcPr>
            <w:tcW w:type="dxa" w:w="2760"/>
          </w:tcPr>
          <w:p>
            <w:pPr>
              <w:spacing w:after="40" w:before="40"/>
            </w:pPr>
            <w:r>
              <w:rPr>
                <w:rFonts w:ascii="Calibri" w:cs="Calibri" w:eastAsia="Calibri" w:hAnsi="Calibri"/>
                <w:b w:val="false"/>
                <w:bCs w:val="false"/>
                <w:i w:val="false"/>
                <w:iCs w:val="false"/>
                <w:color w:val="1F2937"/>
                <w:sz w:val="19"/>
                <w:szCs w:val="19"/>
              </w:rPr>
              <w:t xml:space="preserve">400 documents / month</w:t>
            </w:r>
          </w:p>
        </w:tc>
      </w:tr>
      <w:tr>
        <w:tc>
          <w:tcPr>
            <w:tcW w:type="dxa" w:w="1900"/>
            <w:shd w:fill="F8FAFC" w:color="auto" w:val="clear"/>
          </w:tcPr>
          <w:p>
            <w:pPr>
              <w:spacing w:after="40" w:before="40"/>
            </w:pPr>
            <w:r>
              <w:rPr>
                <w:rFonts w:ascii="Calibri" w:cs="Calibri" w:eastAsia="Calibri" w:hAnsi="Calibri"/>
                <w:b/>
                <w:bCs/>
                <w:i w:val="false"/>
                <w:iCs w:val="false"/>
                <w:color w:val="1F2937"/>
                <w:sz w:val="19"/>
                <w:szCs w:val="19"/>
              </w:rPr>
              <w:t xml:space="preserve">Regional</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Regional bureaus</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180,000</w:t>
            </w:r>
          </w:p>
        </w:tc>
        <w:tc>
          <w:tcPr>
            <w:tcW w:type="dxa" w:w="2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 documents / month</w:t>
            </w:r>
          </w:p>
        </w:tc>
      </w:tr>
      <w:tr>
        <w:tc>
          <w:tcPr>
            <w:tcW w:type="dxa" w:w="1900"/>
          </w:tcPr>
          <w:p>
            <w:pPr>
              <w:spacing w:after="40" w:before="40"/>
            </w:pPr>
            <w:r>
              <w:rPr>
                <w:rFonts w:ascii="Calibri" w:cs="Calibri" w:eastAsia="Calibri" w:hAnsi="Calibri"/>
                <w:b/>
                <w:bCs/>
                <w:i w:val="false"/>
                <w:iCs w:val="false"/>
                <w:color w:val="1F2937"/>
                <w:sz w:val="19"/>
                <w:szCs w:val="19"/>
              </w:rPr>
              <w:t xml:space="preserve">Enterprise</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Banks, large corporates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Unlimited</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From 650,000</w:t>
            </w:r>
          </w:p>
        </w:tc>
        <w:tc>
          <w:tcPr>
            <w:tcW w:type="dxa" w:w="2760"/>
          </w:tcPr>
          <w:p>
            <w:pPr>
              <w:spacing w:after="40" w:before="40"/>
            </w:pPr>
            <w:r>
              <w:rPr>
                <w:rFonts w:ascii="Calibri" w:cs="Calibri" w:eastAsia="Calibri" w:hAnsi="Calibri"/>
                <w:b w:val="false"/>
                <w:bCs w:val="false"/>
                <w:i w:val="false"/>
                <w:iCs w:val="false"/>
                <w:color w:val="1F2937"/>
                <w:sz w:val="19"/>
                <w:szCs w:val="19"/>
              </w:rPr>
              <w:t xml:space="preserve">1,500 documents / month</w:t>
            </w:r>
          </w:p>
        </w:tc>
      </w:tr>
      <w:tr>
        <w:tc>
          <w:tcPr>
            <w:tcW w:type="dxa" w:w="1900"/>
            <w:shd w:fill="F8FAFC" w:color="auto" w:val="clear"/>
          </w:tcPr>
          <w:p>
            <w:pPr>
              <w:spacing w:after="40" w:before="40"/>
            </w:pPr>
            <w:r>
              <w:rPr>
                <w:rFonts w:ascii="Calibri" w:cs="Calibri" w:eastAsia="Calibri" w:hAnsi="Calibri"/>
                <w:b/>
                <w:bCs/>
                <w:i w:val="false"/>
                <w:iCs w:val="false"/>
                <w:color w:val="1F2937"/>
                <w:sz w:val="19"/>
                <w:szCs w:val="19"/>
              </w:rPr>
              <w:t xml:space="preserve">Government</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Ministries, agencies</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Unlimited</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From 700,000</w:t>
            </w:r>
          </w:p>
        </w:tc>
        <w:tc>
          <w:tcPr>
            <w:tcW w:type="dxa" w:w="2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2,000 documents / month</w:t>
            </w:r>
          </w:p>
        </w:tc>
      </w:tr>
    </w:tbl>
    <w:p>
      <w:pPr>
        <w:spacing w:after="130" w:line="268"/>
        <w:jc w:val="left"/>
      </w:pPr>
      <w:r>
        <w:rPr>
          <w:rFonts w:ascii="Calibri" w:cs="Calibri" w:eastAsia="Calibri" w:hAnsi="Calibri"/>
          <w:b w:val="false"/>
          <w:bCs w:val="false"/>
          <w:i w:val="false"/>
          <w:iCs w:val="false"/>
          <w:color w:val="1F2937"/>
          <w:sz w:val="21"/>
          <w:szCs w:val="21"/>
        </w:rPr>
        <w:t xml:space="preserve">All figures exclude 15% VAT and assume 12-month prepayment, consistent with the draft. Professional rises from 85,000 to 95,000 ETB and Business from 220,000 to 260,000 ETB, reflecting the budget engine and AI extraction now included rather than sold separately.</w:t>
      </w:r>
    </w:p>
    <w:p>
      <w:pPr>
        <w:pStyle w:val="Heading2"/>
        <w:spacing w:after="140" w:before="300"/>
      </w:pPr>
      <w:r>
        <w:rPr>
          <w:rFonts w:ascii="Calibri" w:cs="Calibri" w:eastAsia="Calibri" w:hAnsi="Calibri"/>
          <w:b/>
          <w:bCs/>
          <w:i w:val="false"/>
          <w:iCs w:val="false"/>
          <w:color w:val="0D9488"/>
          <w:sz w:val="24"/>
          <w:szCs w:val="24"/>
        </w:rPr>
        <w:t xml:space="preserve">5.2  Why AI moves into the base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3A6B" w:color="auto" w:val="clear"/>
          </w:tcPr>
          <w:p>
            <w:pPr>
              <w:spacing w:after="50" w:before="50"/>
            </w:pPr>
            <w:r>
              <w:rPr>
                <w:rFonts w:ascii="Calibri" w:cs="Calibri" w:eastAsia="Calibri" w:hAnsi="Calibri"/>
                <w:b/>
                <w:bCs/>
                <w:i w:val="false"/>
                <w:iCs w:val="false"/>
                <w:color w:val="FFFFFF"/>
                <w:sz w:val="19"/>
                <w:szCs w:val="19"/>
              </w:rPr>
              <w:t xml:space="preserve">Metric</w:t>
            </w:r>
          </w:p>
        </w:tc>
        <w:tc>
          <w:tcPr>
            <w:tcW w:type="dxa" w:w="5760"/>
            <w:shd w:fill="1B3A6B" w:color="auto" w:val="clear"/>
          </w:tcPr>
          <w:p>
            <w:pPr>
              <w:spacing w:after="50" w:before="50"/>
            </w:pPr>
            <w:r>
              <w:rPr>
                <w:rFonts w:ascii="Calibri" w:cs="Calibri" w:eastAsia="Calibri" w:hAnsi="Calibri"/>
                <w:b/>
                <w:bCs/>
                <w:i w:val="false"/>
                <w:iCs w:val="false"/>
                <w:color w:val="FFFFFF"/>
                <w:sz w:val="19"/>
                <w:szCs w:val="19"/>
              </w:rPr>
              <w:t xml:space="preserve">Value</w:t>
            </w:r>
          </w:p>
        </w:tc>
      </w:tr>
      <w:tr>
        <w:tc>
          <w:tcPr>
            <w:tcW w:type="dxa" w:w="3600"/>
          </w:tcPr>
          <w:p>
            <w:pPr>
              <w:spacing w:after="40" w:before="40"/>
            </w:pPr>
            <w:r>
              <w:rPr>
                <w:rFonts w:ascii="Calibri" w:cs="Calibri" w:eastAsia="Calibri" w:hAnsi="Calibri"/>
                <w:b/>
                <w:bCs/>
                <w:i w:val="false"/>
                <w:iCs w:val="false"/>
                <w:color w:val="1F2937"/>
                <w:sz w:val="19"/>
                <w:szCs w:val="19"/>
              </w:rPr>
              <w:t xml:space="preserve">Inference cost per document (current model)</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~0.6 ETB</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Inference cost per document (recommended model upgrade)</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 ETB</w:t>
            </w:r>
          </w:p>
        </w:tc>
      </w:tr>
      <w:tr>
        <w:tc>
          <w:tcPr>
            <w:tcW w:type="dxa" w:w="3600"/>
          </w:tcPr>
          <w:p>
            <w:pPr>
              <w:spacing w:after="40" w:before="40"/>
            </w:pPr>
            <w:r>
              <w:rPr>
                <w:rFonts w:ascii="Calibri" w:cs="Calibri" w:eastAsia="Calibri" w:hAnsi="Calibri"/>
                <w:b/>
                <w:bCs/>
                <w:i w:val="false"/>
                <w:iCs w:val="false"/>
                <w:color w:val="1F2937"/>
                <w:sz w:val="19"/>
                <w:szCs w:val="19"/>
              </w:rPr>
              <w:t xml:space="preserve">Cost of a 400-document/month Business quota, annually</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~12,000 ETB</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Draft's add-on price for AI</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10,000 ETB/year</w:t>
            </w:r>
          </w:p>
        </w:tc>
      </w:tr>
    </w:tbl>
    <w:p>
      <w:pPr>
        <w:spacing w:after="130" w:line="268"/>
        <w:jc w:val="left"/>
      </w:pPr>
      <w:r>
        <w:rPr>
          <w:rFonts w:ascii="Calibri" w:cs="Calibri" w:eastAsia="Calibri" w:hAnsi="Calibri"/>
          <w:b w:val="false"/>
          <w:bCs w:val="false"/>
          <w:i w:val="false"/>
          <w:iCs w:val="false"/>
          <w:color w:val="1F2937"/>
          <w:sz w:val="21"/>
          <w:szCs w:val="21"/>
        </w:rPr>
        <w:t xml:space="preserve">The add-on was priced below the delivery cost of a heavy user while simultaneously hiding the capability from every prospect who did not buy it. Bundling a meaningful quota into each tier costs little, makes the differentiator visible in every demo, and converts AI from a line item to be negotiated into a reason to choose Onekof. Volume beyond the included quota remains billable at 12,000 ETB per additional 1,000 documents per month.</w:t>
      </w:r>
    </w:p>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Model upgrade recommended  </w:t>
      </w:r>
      <w:r>
        <w:rPr>
          <w:rFonts w:ascii="Calibri" w:cs="Calibri" w:eastAsia="Calibri" w:hAnsi="Calibri"/>
          <w:b w:val="false"/>
          <w:bCs w:val="false"/>
          <w:i w:val="false"/>
          <w:iCs w:val="false"/>
          <w:color w:val="1F2937"/>
          <w:sz w:val="19"/>
          <w:szCs w:val="19"/>
        </w:rPr>
        <w:t xml:space="preserve">The AI service currently runs Claude 3 Haiku, a model generation behind what is available. Upgrading raises inference cost from roughly 0.6 to 2.5 ETB per document — immaterial against a 260,000 ETB subscription — and materially improves extraction accuracy on the Amharic and mixed-language documents that constitute the hardest and most differentiating part of the workload.</w:t>
      </w:r>
    </w:p>
    <w:p>
      <w:pPr>
        <w:pStyle w:val="Heading2"/>
        <w:spacing w:after="140" w:before="300"/>
      </w:pPr>
      <w:r>
        <w:rPr>
          <w:rFonts w:ascii="Calibri" w:cs="Calibri" w:eastAsia="Calibri" w:hAnsi="Calibri"/>
          <w:b/>
          <w:bCs/>
          <w:i w:val="false"/>
          <w:iCs w:val="false"/>
          <w:color w:val="0D9488"/>
          <w:sz w:val="24"/>
          <w:szCs w:val="24"/>
        </w:rPr>
        <w:t xml:space="preserve">5.3  Government pricing</w:t>
      </w:r>
    </w:p>
    <w:p>
      <w:pPr>
        <w:spacing w:after="130" w:line="268"/>
        <w:jc w:val="left"/>
      </w:pPr>
      <w:r>
        <w:rPr>
          <w:rFonts w:ascii="Calibri" w:cs="Calibri" w:eastAsia="Calibri" w:hAnsi="Calibri"/>
          <w:b w:val="false"/>
          <w:bCs w:val="false"/>
          <w:i w:val="false"/>
          <w:iCs w:val="false"/>
          <w:color w:val="1F2937"/>
          <w:sz w:val="21"/>
          <w:szCs w:val="21"/>
        </w:rPr>
        <w:t xml:space="preserve">"Custom quotation" is not a pricing strategy; it is the absence of one. It leaves the field sales team without a floor and invites bids that win unprofitable work. The following is an internal rate card, not a published price 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Engagement type</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Floor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Typical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Includes</w:t>
            </w:r>
          </w:p>
        </w:tc>
      </w:tr>
      <w:tr>
        <w:tc>
          <w:tcPr>
            <w:tcW w:type="dxa" w:w="2400"/>
          </w:tcPr>
          <w:p>
            <w:pPr>
              <w:spacing w:after="40" w:before="40"/>
            </w:pPr>
            <w:r>
              <w:rPr>
                <w:rFonts w:ascii="Calibri" w:cs="Calibri" w:eastAsia="Calibri" w:hAnsi="Calibri"/>
                <w:b/>
                <w:bCs/>
                <w:i w:val="false"/>
                <w:iCs w:val="false"/>
                <w:color w:val="1F2937"/>
                <w:sz w:val="19"/>
                <w:szCs w:val="19"/>
              </w:rPr>
              <w:t xml:space="preserve">Regional bureau</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Platform, local-language config, remote onboarding</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Federal agency</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Platform, implementation, training, standard SLA</w:t>
            </w:r>
          </w:p>
        </w:tc>
      </w:tr>
      <w:tr>
        <w:tc>
          <w:tcPr>
            <w:tcW w:type="dxa" w:w="2400"/>
          </w:tcPr>
          <w:p>
            <w:pPr>
              <w:spacing w:after="40" w:before="40"/>
            </w:pPr>
            <w:r>
              <w:rPr>
                <w:rFonts w:ascii="Calibri" w:cs="Calibri" w:eastAsia="Calibri" w:hAnsi="Calibri"/>
                <w:b/>
                <w:bCs/>
                <w:i w:val="false"/>
                <w:iCs w:val="false"/>
                <w:color w:val="1F2937"/>
                <w:sz w:val="19"/>
                <w:szCs w:val="19"/>
              </w:rPr>
              <w:t xml:space="preserve">Ministry, single department</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600,000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900,000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Above plus integration allowance and named contact</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Ministry, multi-department</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Above plus custom workflows and on-site training</w:t>
            </w:r>
          </w:p>
        </w:tc>
      </w:tr>
      <w:tr>
        <w:tc>
          <w:tcPr>
            <w:tcW w:type="dxa" w:w="2400"/>
          </w:tcPr>
          <w:p>
            <w:pPr>
              <w:spacing w:after="40" w:before="40"/>
            </w:pPr>
            <w:r>
              <w:rPr>
                <w:rFonts w:ascii="Calibri" w:cs="Calibri" w:eastAsia="Calibri" w:hAnsi="Calibri"/>
                <w:b/>
                <w:bCs/>
                <w:i w:val="false"/>
                <w:iCs w:val="false"/>
                <w:color w:val="1F2937"/>
                <w:sz w:val="19"/>
                <w:szCs w:val="19"/>
              </w:rPr>
              <w:t xml:space="preserve">Bank / financial institution</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1,100,000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Above plus enhanced security review support</w:t>
            </w:r>
          </w:p>
        </w:tc>
      </w:tr>
    </w:tbl>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Never bid below the floor. </w:t>
      </w:r>
      <w:r>
        <w:rPr>
          <w:rFonts w:ascii="Calibri" w:cs="Calibri" w:eastAsia="Calibri" w:hAnsi="Calibri"/>
          <w:b w:val="false"/>
          <w:bCs w:val="false"/>
          <w:i w:val="false"/>
          <w:iCs w:val="false"/>
          <w:color w:val="1F2937"/>
          <w:sz w:val="21"/>
          <w:szCs w:val="21"/>
        </w:rPr>
        <w:t xml:space="preserve">A won contract priced under floor consumes delivery capacity that a profitable contract needs, and sets a reference price that follows DAPS into every subsequent tender.</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Bundle services into one lump sum for tenders. </w:t>
      </w:r>
      <w:r>
        <w:rPr>
          <w:rFonts w:ascii="Calibri" w:cs="Calibri" w:eastAsia="Calibri" w:hAnsi="Calibri"/>
          <w:b w:val="false"/>
          <w:bCs w:val="false"/>
          <w:i w:val="false"/>
          <w:iCs w:val="false"/>
          <w:color w:val="1F2937"/>
          <w:sz w:val="21"/>
          <w:szCs w:val="21"/>
        </w:rPr>
        <w:t xml:space="preserve">Consistent with the draft — itemized post-award fees read poorly in public procurement.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Include the annual repricing clause. </w:t>
      </w:r>
      <w:r>
        <w:rPr>
          <w:rFonts w:ascii="Calibri" w:cs="Calibri" w:eastAsia="Calibri" w:hAnsi="Calibri"/>
          <w:b w:val="false"/>
          <w:bCs w:val="false"/>
          <w:i w:val="false"/>
          <w:iCs w:val="false"/>
          <w:color w:val="1F2937"/>
          <w:sz w:val="21"/>
          <w:szCs w:val="21"/>
        </w:rPr>
        <w:t xml:space="preserve">Multi-year Birr contracts without one transfer full currency risk to DAPS.</w:t>
      </w:r>
    </w:p>
    <w:p>
      <w:pPr>
        <w:pStyle w:val="Heading2"/>
        <w:spacing w:after="140" w:before="300"/>
      </w:pPr>
      <w:r>
        <w:rPr>
          <w:rFonts w:ascii="Calibri" w:cs="Calibri" w:eastAsia="Calibri" w:hAnsi="Calibri"/>
          <w:b/>
          <w:bCs/>
          <w:i w:val="false"/>
          <w:iCs w:val="false"/>
          <w:color w:val="0D9488"/>
          <w:sz w:val="24"/>
          <w:szCs w:val="24"/>
        </w:rPr>
        <w:t xml:space="preserve">5.4  Expansion pricing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shd w:fill="1B3A6B" w:color="auto" w:val="clear"/>
          </w:tcPr>
          <w:p>
            <w:pPr>
              <w:spacing w:after="50" w:before="50"/>
            </w:pPr>
            <w:r>
              <w:rPr>
                <w:rFonts w:ascii="Calibri" w:cs="Calibri" w:eastAsia="Calibri" w:hAnsi="Calibri"/>
                <w:b/>
                <w:bCs/>
                <w:i w:val="false"/>
                <w:iCs w:val="false"/>
                <w:color w:val="FFFFFF"/>
                <w:sz w:val="19"/>
                <w:szCs w:val="19"/>
              </w:rPr>
              <w:t xml:space="preserve">Component</w:t>
            </w:r>
          </w:p>
        </w:tc>
        <w:tc>
          <w:tcPr>
            <w:tcW w:type="dxa" w:w="5760"/>
            <w:shd w:fill="1B3A6B" w:color="auto" w:val="clear"/>
          </w:tcPr>
          <w:p>
            <w:pPr>
              <w:spacing w:after="50" w:before="50"/>
            </w:pPr>
            <w:r>
              <w:rPr>
                <w:rFonts w:ascii="Calibri" w:cs="Calibri" w:eastAsia="Calibri" w:hAnsi="Calibri"/>
                <w:b/>
                <w:bCs/>
                <w:i w:val="false"/>
                <w:iCs w:val="false"/>
                <w:color w:val="FFFFFF"/>
                <w:sz w:val="19"/>
                <w:szCs w:val="19"/>
              </w:rPr>
              <w:t xml:space="preserve">Price</w:t>
            </w:r>
          </w:p>
        </w:tc>
      </w:tr>
      <w:tr>
        <w:tc>
          <w:tcPr>
            <w:tcW w:type="dxa" w:w="3600"/>
          </w:tcPr>
          <w:p>
            <w:pPr>
              <w:spacing w:after="40" w:before="40"/>
            </w:pPr>
            <w:r>
              <w:rPr>
                <w:rFonts w:ascii="Calibri" w:cs="Calibri" w:eastAsia="Calibri" w:hAnsi="Calibri"/>
                <w:b/>
                <w:bCs/>
                <w:i w:val="false"/>
                <w:iCs w:val="false"/>
                <w:color w:val="1F2937"/>
                <w:sz w:val="19"/>
                <w:szCs w:val="19"/>
              </w:rPr>
              <w:t xml:space="preserve">Additional users (block of 5)</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15,000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Additional 25 active projects</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Additional 100 active projects</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18,000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Additional 500 active projects</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45,000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Additional AI volume (1,000 docs/month)</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12,000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Advanced analytics</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API / integration access</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15,000 ETB/year</w:t>
            </w:r>
          </w:p>
        </w:tc>
      </w:tr>
      <w:tr>
        <w:tc>
          <w:tcPr>
            <w:tcW w:type="dxa" w:w="3600"/>
            <w:shd w:fill="F8FAFC" w:color="auto" w:val="clear"/>
          </w:tcPr>
          <w:p>
            <w:pPr>
              <w:spacing w:after="40" w:before="40"/>
            </w:pPr>
            <w:r>
              <w:rPr>
                <w:rFonts w:ascii="Calibri" w:cs="Calibri" w:eastAsia="Calibri" w:hAnsi="Calibri"/>
                <w:b/>
                <w:bCs/>
                <w:i w:val="false"/>
                <w:iCs w:val="false"/>
                <w:color w:val="1F2937"/>
                <w:sz w:val="19"/>
                <w:szCs w:val="19"/>
              </w:rPr>
              <w:t xml:space="preserve">Additional storage (100 GB)</w:t>
            </w:r>
          </w:p>
        </w:tc>
        <w:tc>
          <w:tcPr>
            <w:tcW w:type="dxa" w:w="5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 ETB/year</w:t>
            </w:r>
          </w:p>
        </w:tc>
      </w:tr>
      <w:tr>
        <w:tc>
          <w:tcPr>
            <w:tcW w:type="dxa" w:w="3600"/>
          </w:tcPr>
          <w:p>
            <w:pPr>
              <w:spacing w:after="40" w:before="40"/>
            </w:pPr>
            <w:r>
              <w:rPr>
                <w:rFonts w:ascii="Calibri" w:cs="Calibri" w:eastAsia="Calibri" w:hAnsi="Calibri"/>
                <w:b/>
                <w:bCs/>
                <w:i w:val="false"/>
                <w:iCs w:val="false"/>
                <w:color w:val="1F2937"/>
                <w:sz w:val="19"/>
                <w:szCs w:val="19"/>
              </w:rPr>
              <w:t xml:space="preserve">NGO / education discount</w:t>
            </w:r>
          </w:p>
        </w:tc>
        <w:tc>
          <w:tcPr>
            <w:tcW w:type="dxa" w:w="5760"/>
          </w:tcPr>
          <w:p>
            <w:pPr>
              <w:spacing w:after="40" w:before="40"/>
            </w:pPr>
            <w:r>
              <w:rPr>
                <w:rFonts w:ascii="Calibri" w:cs="Calibri" w:eastAsia="Calibri" w:hAnsi="Calibri"/>
                <w:b w:val="false"/>
                <w:bCs w:val="false"/>
                <w:i w:val="false"/>
                <w:iCs w:val="false"/>
                <w:color w:val="1F2937"/>
                <w:sz w:val="19"/>
                <w:szCs w:val="19"/>
              </w:rPr>
              <w:t xml:space="preserve">30% off list</w:t>
            </w:r>
          </w:p>
        </w:tc>
      </w:tr>
    </w:tbl>
    <w:p>
      <w:pPr>
        <w:pBdr>
          <w:top w:val="single" w:color="B91C1C" w:sz="1"/>
          <w:bottom w:val="single" w:color="B91C1C" w:sz="1"/>
          <w:left w:val="single" w:color="B91C1C" w:sz="8"/>
          <w:right w:val="single" w:color="B91C1C" w:sz="1"/>
        </w:pBdr>
        <w:shd w:fill="FEE2E2" w:color="auto" w:val="clear"/>
        <w:spacing w:after="150" w:before="150" w:line="268"/>
        <w:ind w:left="170" w:right="170"/>
      </w:pPr>
      <w:r>
        <w:rPr>
          <w:rFonts w:ascii="Calibri" w:cs="Calibri" w:eastAsia="Calibri" w:hAnsi="Calibri"/>
          <w:b/>
          <w:bCs/>
          <w:i w:val="false"/>
          <w:iCs w:val="false"/>
          <w:color w:val="B91C1C"/>
          <w:sz w:val="19"/>
          <w:szCs w:val="19"/>
        </w:rPr>
        <w:t xml:space="preserve">Billing system gap  </w:t>
      </w:r>
      <w:r>
        <w:rPr>
          <w:rFonts w:ascii="Calibri" w:cs="Calibri" w:eastAsia="Calibri" w:hAnsi="Calibri"/>
          <w:b w:val="false"/>
          <w:bCs w:val="false"/>
          <w:i w:val="false"/>
          <w:iCs w:val="false"/>
          <w:color w:val="1F2937"/>
          <w:sz w:val="19"/>
          <w:szCs w:val="19"/>
        </w:rPr>
        <w:t xml:space="preserve">The subscription schema currently defines four plans — Free, Starter, Professional, Enterprise. This pricing model requires six, adding Business, Regional, and Government. Until the schema and checkout flow are extended, Business and Government customers cannot be billed through the platform and must be invoiced manually. This is a small engineering task with a hard commercial deadline: it blocks revenue collection from the two highest-value segments.</w:t>
      </w:r>
    </w:p>
    <w:p>
      <w:r>
        <w:br w:type="page"/>
      </w:r>
    </w:p>
    <w:p>
      <w:pPr>
        <w:pStyle w:val="Heading1"/>
        <w:spacing w:after="180" w:before="380"/>
      </w:pPr>
      <w:r>
        <w:rPr>
          <w:rFonts w:ascii="Calibri" w:cs="Calibri" w:eastAsia="Calibri" w:hAnsi="Calibri"/>
          <w:b/>
          <w:bCs/>
          <w:i w:val="false"/>
          <w:iCs w:val="false"/>
          <w:color w:val="1B3A6B"/>
          <w:sz w:val="28"/>
          <w:szCs w:val="28"/>
        </w:rPr>
        <w:t xml:space="preserve">6. Cost Structure</w:t>
      </w:r>
    </w:p>
    <w:p>
      <w:pPr>
        <w:spacing w:after="130" w:line="268"/>
        <w:jc w:val="left"/>
      </w:pPr>
      <w:r>
        <w:rPr>
          <w:rFonts w:ascii="Calibri" w:cs="Calibri" w:eastAsia="Calibri" w:hAnsi="Calibri"/>
          <w:b w:val="false"/>
          <w:bCs w:val="false"/>
          <w:i w:val="false"/>
          <w:iCs w:val="false"/>
          <w:color w:val="1F2937"/>
          <w:sz w:val="21"/>
          <w:szCs w:val="21"/>
        </w:rPr>
        <w:t xml:space="preserve">This section builds the cost-to-serve model the draft defers. Infrastructure figures are confirmed. People, premises, and marketing are planning estimates for the Addis Ababa market and should be validated against actual quotations before commitment.</w:t>
      </w:r>
    </w:p>
    <w:p>
      <w:pPr>
        <w:pStyle w:val="Heading2"/>
        <w:spacing w:after="140" w:before="300"/>
      </w:pPr>
      <w:r>
        <w:rPr>
          <w:rFonts w:ascii="Calibri" w:cs="Calibri" w:eastAsia="Calibri" w:hAnsi="Calibri"/>
          <w:b/>
          <w:bCs/>
          <w:i w:val="false"/>
          <w:iCs w:val="false"/>
          <w:color w:val="0D9488"/>
          <w:sz w:val="24"/>
          <w:szCs w:val="24"/>
        </w:rPr>
        <w:t xml:space="preserve">6.1  Infrastructure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Item</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Basis</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Note</w:t>
            </w:r>
          </w:p>
        </w:tc>
      </w:tr>
      <w:tr>
        <w:tc>
          <w:tcPr>
            <w:tcW w:type="dxa" w:w="2400"/>
          </w:tcPr>
          <w:p>
            <w:pPr>
              <w:spacing w:after="40" w:before="40"/>
            </w:pPr>
            <w:r>
              <w:rPr>
                <w:rFonts w:ascii="Calibri" w:cs="Calibri" w:eastAsia="Calibri" w:hAnsi="Calibri"/>
                <w:b/>
                <w:bCs/>
                <w:i w:val="false"/>
                <w:iCs w:val="false"/>
                <w:color w:val="1F2937"/>
                <w:sz w:val="19"/>
                <w:szCs w:val="19"/>
              </w:rPr>
              <w:t xml:space="preserve">Ethio Telecom ECS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126,815 ETB / 6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253,630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Confirmed quotation — production VM plus managed daily backup</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Vercel Pro + Supabase Pro</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~$45/month</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86,400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International tier and staging environment</w:t>
            </w:r>
          </w:p>
        </w:tc>
      </w:tr>
      <w:tr>
        <w:tc>
          <w:tcPr>
            <w:tcW w:type="dxa" w:w="2400"/>
          </w:tcPr>
          <w:p>
            <w:pPr>
              <w:spacing w:after="40" w:before="40"/>
            </w:pPr>
            <w:r>
              <w:rPr>
                <w:rFonts w:ascii="Calibri" w:cs="Calibri" w:eastAsia="Calibri" w:hAnsi="Calibri"/>
                <w:b/>
                <w:bCs/>
                <w:i w:val="false"/>
                <w:iCs w:val="false"/>
                <w:color w:val="1F2937"/>
                <w:sz w:val="19"/>
                <w:szCs w:val="19"/>
              </w:rPr>
              <w:t xml:space="preserve">Operational SaaS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~$150/month</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288,000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Workspace email, CRM, accounting, error monitoring</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AI inference</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Usage-based</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Scales with customers; ~2.5 ETB/document at recommended model</w:t>
            </w:r>
          </w:p>
        </w:tc>
      </w:tr>
      <w:tr>
        <w:tc>
          <w:tcPr>
            <w:tcW w:type="dxa" w:w="2400"/>
          </w:tcPr>
          <w:p>
            <w:pPr>
              <w:spacing w:after="40" w:before="40"/>
            </w:pPr>
            <w:r>
              <w:rPr>
                <w:rFonts w:ascii="Calibri" w:cs="Calibri" w:eastAsia="Calibri" w:hAnsi="Calibri"/>
                <w:b/>
                <w:bCs/>
                <w:i w:val="false"/>
                <w:iCs w:val="false"/>
                <w:color w:val="1F2937"/>
                <w:sz w:val="19"/>
                <w:szCs w:val="19"/>
              </w:rPr>
              <w:t xml:space="preserve">Domains, certificates, misc.</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Includes .et registration and renewal</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Infrastructure total</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713,030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~$4,460</w:t>
            </w:r>
          </w:p>
        </w:tc>
      </w:tr>
    </w:tbl>
    <w:p>
      <w:pPr>
        <w:spacing w:after="130" w:line="268"/>
        <w:jc w:val="left"/>
      </w:pPr>
      <w:r>
        <w:rPr>
          <w:rFonts w:ascii="Calibri" w:cs="Calibri" w:eastAsia="Calibri" w:hAnsi="Calibri"/>
          <w:b w:val="false"/>
          <w:bCs w:val="false"/>
          <w:i w:val="false"/>
          <w:iCs w:val="false"/>
          <w:color w:val="1F2937"/>
          <w:sz w:val="21"/>
          <w:szCs w:val="21"/>
        </w:rPr>
        <w:t xml:space="preserve">Infrastructure is roughly 11% of the Year 1 cost base and scales sub-linearly with customers — the multi-tenant architecture means the hundredth customer costs materially less to host than the first. This is the structural advantage of the platform model and it should be protected: every bespoke on-premise deployment sold trades this leverage for one-off revenue.</w:t>
      </w:r>
    </w:p>
    <w:p>
      <w:pPr>
        <w:pStyle w:val="Heading2"/>
        <w:spacing w:after="140" w:before="300"/>
      </w:pPr>
      <w:r>
        <w:rPr>
          <w:rFonts w:ascii="Calibri" w:cs="Calibri" w:eastAsia="Calibri" w:hAnsi="Calibri"/>
          <w:b/>
          <w:bCs/>
          <w:i w:val="false"/>
          <w:iCs w:val="false"/>
          <w:color w:val="0D9488"/>
          <w:sz w:val="24"/>
          <w:szCs w:val="24"/>
        </w:rPr>
        <w:t xml:space="preserve">6.2  People</w:t>
      </w:r>
    </w:p>
    <w:p>
      <w:pPr>
        <w:spacing w:after="130" w:line="268"/>
        <w:jc w:val="left"/>
      </w:pPr>
      <w:r>
        <w:rPr>
          <w:rFonts w:ascii="Calibri" w:cs="Calibri" w:eastAsia="Calibri" w:hAnsi="Calibri"/>
          <w:b w:val="false"/>
          <w:bCs w:val="false"/>
          <w:i w:val="false"/>
          <w:iCs w:val="false"/>
          <w:color w:val="1F2937"/>
          <w:sz w:val="21"/>
          <w:szCs w:val="21"/>
        </w:rPr>
        <w:t xml:space="preserve">People are the dominant cost. The structure below is the minimum that can pursue government tenders while supporting live customers.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1500"/>
        <w:gridCol w:w="1700"/>
        <w:gridCol w:w="1700"/>
        <w:gridCol w:w="1760"/>
      </w:tblGrid>
      <w:tr>
        <w:trPr>
          <w:tblHeader/>
        </w:trPr>
        <w:tc>
          <w:tcPr>
            <w:tcW w:type="dxa" w:w="2700"/>
            <w:shd w:fill="1B3A6B" w:color="auto" w:val="clear"/>
          </w:tcPr>
          <w:p>
            <w:pPr>
              <w:spacing w:after="50" w:before="50"/>
            </w:pPr>
            <w:r>
              <w:rPr>
                <w:rFonts w:ascii="Calibri" w:cs="Calibri" w:eastAsia="Calibri" w:hAnsi="Calibri"/>
                <w:b/>
                <w:bCs/>
                <w:i w:val="false"/>
                <w:iCs w:val="false"/>
                <w:color w:val="FFFFFF"/>
                <w:sz w:val="19"/>
                <w:szCs w:val="19"/>
              </w:rPr>
              <w:t xml:space="preserve">Role</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Count</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Monthly (ETB)</w:t>
            </w:r>
          </w:p>
        </w:tc>
        <w:tc>
          <w:tcPr>
            <w:tcW w:type="dxa" w:w="170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1760"/>
            <w:shd w:fill="1B3A6B" w:color="auto" w:val="clear"/>
          </w:tcPr>
          <w:p>
            <w:pPr>
              <w:spacing w:after="50" w:before="50"/>
            </w:pPr>
            <w:r>
              <w:rPr>
                <w:rFonts w:ascii="Calibri" w:cs="Calibri" w:eastAsia="Calibri" w:hAnsi="Calibri"/>
                <w:b/>
                <w:bCs/>
                <w:i w:val="false"/>
                <w:iCs w:val="false"/>
                <w:color w:val="FFFFFF"/>
                <w:sz w:val="19"/>
                <w:szCs w:val="19"/>
              </w:rPr>
              <w:t xml:space="preserve">Rationale</w:t>
            </w:r>
          </w:p>
        </w:tc>
      </w:tr>
      <w:tr>
        <w:tc>
          <w:tcPr>
            <w:tcW w:type="dxa" w:w="2700"/>
          </w:tcPr>
          <w:p>
            <w:pPr>
              <w:spacing w:after="40" w:before="40"/>
            </w:pPr>
            <w:r>
              <w:rPr>
                <w:rFonts w:ascii="Calibri" w:cs="Calibri" w:eastAsia="Calibri" w:hAnsi="Calibri"/>
                <w:b/>
                <w:bCs/>
                <w:i w:val="false"/>
                <w:iCs w:val="false"/>
                <w:color w:val="1F2937"/>
                <w:sz w:val="19"/>
                <w:szCs w:val="19"/>
              </w:rPr>
              <w:t xml:space="preserve">Senior engineer / tech lead</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100,000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1,200,000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Platform, deployment, security response</w:t>
            </w:r>
          </w:p>
        </w:tc>
      </w:tr>
      <w:tr>
        <w:tc>
          <w:tcPr>
            <w:tcW w:type="dxa" w:w="2700"/>
            <w:shd w:fill="F8FAFC" w:color="auto" w:val="clear"/>
          </w:tcPr>
          <w:p>
            <w:pPr>
              <w:spacing w:after="40" w:before="40"/>
            </w:pPr>
            <w:r>
              <w:rPr>
                <w:rFonts w:ascii="Calibri" w:cs="Calibri" w:eastAsia="Calibri" w:hAnsi="Calibri"/>
                <w:b/>
                <w:bCs/>
                <w:i w:val="false"/>
                <w:iCs w:val="false"/>
                <w:color w:val="1F2937"/>
                <w:sz w:val="19"/>
                <w:szCs w:val="19"/>
              </w:rPr>
              <w:t xml:space="preserve">Software engineer</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600,000</w:t>
            </w:r>
          </w:p>
        </w:tc>
        <w:tc>
          <w:tcPr>
            <w:tcW w:type="dxa" w:w="1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Feature delivery, integrations</w:t>
            </w:r>
          </w:p>
        </w:tc>
      </w:tr>
      <w:tr>
        <w:tc>
          <w:tcPr>
            <w:tcW w:type="dxa" w:w="2700"/>
          </w:tcPr>
          <w:p>
            <w:pPr>
              <w:spacing w:after="40" w:before="40"/>
            </w:pPr>
            <w:r>
              <w:rPr>
                <w:rFonts w:ascii="Calibri" w:cs="Calibri" w:eastAsia="Calibri" w:hAnsi="Calibri"/>
                <w:b/>
                <w:bCs/>
                <w:i w:val="false"/>
                <w:iCs w:val="false"/>
                <w:color w:val="1F2937"/>
                <w:sz w:val="19"/>
                <w:szCs w:val="19"/>
              </w:rPr>
              <w:t xml:space="preserve">Sales &amp; business development</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45,000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540,000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Tender pursuit, field sales</w:t>
            </w:r>
          </w:p>
        </w:tc>
      </w:tr>
      <w:tr>
        <w:tc>
          <w:tcPr>
            <w:tcW w:type="dxa" w:w="2700"/>
            <w:shd w:fill="F8FAFC" w:color="auto" w:val="clear"/>
          </w:tcPr>
          <w:p>
            <w:pPr>
              <w:spacing w:after="40" w:before="40"/>
            </w:pPr>
            <w:r>
              <w:rPr>
                <w:rFonts w:ascii="Calibri" w:cs="Calibri" w:eastAsia="Calibri" w:hAnsi="Calibri"/>
                <w:b/>
                <w:bCs/>
                <w:i w:val="false"/>
                <w:iCs w:val="false"/>
                <w:color w:val="1F2937"/>
                <w:sz w:val="19"/>
                <w:szCs w:val="19"/>
              </w:rPr>
              <w:t xml:space="preserve">Customer success / support</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25,000</w:t>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300,000</w:t>
            </w:r>
          </w:p>
        </w:tc>
        <w:tc>
          <w:tcPr>
            <w:tcW w:type="dxa" w:w="1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Onboarding, support queue</w:t>
            </w:r>
          </w:p>
        </w:tc>
      </w:tr>
      <w:tr>
        <w:tc>
          <w:tcPr>
            <w:tcW w:type="dxa" w:w="2700"/>
          </w:tcPr>
          <w:p>
            <w:pPr>
              <w:spacing w:after="40" w:before="40"/>
            </w:pPr>
            <w:r>
              <w:rPr>
                <w:rFonts w:ascii="Calibri" w:cs="Calibri" w:eastAsia="Calibri" w:hAnsi="Calibri"/>
                <w:b/>
                <w:bCs/>
                <w:i w:val="false"/>
                <w:iCs w:val="false"/>
                <w:color w:val="1F2937"/>
                <w:sz w:val="19"/>
                <w:szCs w:val="19"/>
              </w:rPr>
              <w:t xml:space="preserve">Operations &amp; administration</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35,000</w:t>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420,000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Finance, procurement, in-country representation</w:t>
            </w:r>
          </w:p>
        </w:tc>
      </w:tr>
      <w:tr>
        <w:tc>
          <w:tcPr>
            <w:tcW w:type="dxa" w:w="2700"/>
            <w:shd w:fill="E0F2FE" w:color="auto" w:val="clear"/>
          </w:tcPr>
          <w:p>
            <w:pPr>
              <w:spacing w:after="40" w:before="40"/>
            </w:pPr>
            <w:r>
              <w:rPr>
                <w:rFonts w:ascii="Calibri" w:cs="Calibri" w:eastAsia="Calibri" w:hAnsi="Calibri"/>
                <w:b/>
                <w:bCs/>
                <w:i w:val="false"/>
                <w:iCs w:val="false"/>
                <w:color w:val="1B3A6B"/>
                <w:sz w:val="19"/>
                <w:szCs w:val="19"/>
              </w:rPr>
              <w:t xml:space="preserve">Subtotal</w:t>
            </w:r>
          </w:p>
        </w:tc>
        <w:tc>
          <w:tcPr>
            <w:tcW w:type="dxa" w:w="1500"/>
            <w:shd w:fill="E0F2FE" w:color="auto" w:val="clear"/>
          </w:tcPr>
          <w:p>
            <w:pPr>
              <w:spacing w:after="40" w:before="40"/>
            </w:pPr>
            <w:r>
              <w:rPr>
                <w:rFonts w:ascii="Calibri" w:cs="Calibri" w:eastAsia="Calibri" w:hAnsi="Calibri"/>
                <w:b/>
                <w:bCs/>
                <w:i w:val="false"/>
                <w:iCs w:val="false"/>
                <w:color w:val="1B3A6B"/>
                <w:sz w:val="19"/>
                <w:szCs w:val="19"/>
              </w:rPr>
              <w:t xml:space="preserve">5</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255,000</w:t>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3,060,000</w:t>
            </w:r>
          </w:p>
        </w:tc>
        <w:tc>
          <w:tcPr>
            <w:tcW w:type="dxa" w:w="1760"/>
            <w:shd w:fill="E0F2FE" w:color="auto" w:val="clear"/>
          </w:tcPr>
          <w:p>
            <w:pPr>
              <w:spacing w:after="40" w:before="40"/>
            </w:pPr>
            <w:r>
              <w:rPr>
                <w:rFonts w:ascii="Calibri" w:cs="Calibri" w:eastAsia="Calibri" w:hAnsi="Calibri"/>
                <w:b/>
                <w:bCs/>
                <w:i w:val="false"/>
                <w:iCs w:val="false"/>
                <w:color w:val="1B3A6B"/>
                <w:sz w:val="19"/>
                <w:szCs w:val="19"/>
              </w:rPr>
              <w:t xml:space="preserve"/>
            </w:r>
          </w:p>
        </w:tc>
      </w:tr>
      <w:tr>
        <w:tc>
          <w:tcPr>
            <w:tcW w:type="dxa" w:w="2700"/>
          </w:tcPr>
          <w:p>
            <w:pPr>
              <w:spacing w:after="40" w:before="40"/>
            </w:pPr>
            <w:r>
              <w:rPr>
                <w:rFonts w:ascii="Calibri" w:cs="Calibri" w:eastAsia="Calibri" w:hAnsi="Calibri"/>
                <w:b/>
                <w:bCs/>
                <w:i w:val="false"/>
                <w:iCs w:val="false"/>
                <w:color w:val="1F2937"/>
                <w:sz w:val="19"/>
                <w:szCs w:val="19"/>
              </w:rPr>
              <w:t xml:space="preserve">Employer loading (12%)</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tcPr>
          <w:p>
            <w:pPr>
              <w:spacing w:after="40" w:before="40"/>
            </w:pPr>
            <w:r>
              <w:rPr>
                <w:rFonts w:ascii="Calibri" w:cs="Calibri" w:eastAsia="Calibri" w:hAnsi="Calibri"/>
                <w:b w:val="false"/>
                <w:bCs w:val="false"/>
                <w:i w:val="false"/>
                <w:iCs w:val="false"/>
                <w:color w:val="1F2937"/>
                <w:sz w:val="19"/>
                <w:szCs w:val="19"/>
              </w:rPr>
              <w:t xml:space="preserve">367,200</w:t>
            </w:r>
          </w:p>
        </w:tc>
        <w:tc>
          <w:tcPr>
            <w:tcW w:type="dxa" w:w="1760"/>
          </w:tcPr>
          <w:p>
            <w:pPr>
              <w:spacing w:after="40" w:before="40"/>
            </w:pPr>
            <w:r>
              <w:rPr>
                <w:rFonts w:ascii="Calibri" w:cs="Calibri" w:eastAsia="Calibri" w:hAnsi="Calibri"/>
                <w:b w:val="false"/>
                <w:bCs w:val="false"/>
                <w:i w:val="false"/>
                <w:iCs w:val="false"/>
                <w:color w:val="1F2937"/>
                <w:sz w:val="19"/>
                <w:szCs w:val="19"/>
              </w:rPr>
              <w:t xml:space="preserve">Pension contribution and severance provision</w:t>
            </w:r>
          </w:p>
        </w:tc>
      </w:tr>
      <w:tr>
        <w:tc>
          <w:tcPr>
            <w:tcW w:type="dxa" w:w="2700"/>
            <w:shd w:fill="F8FAFC" w:color="auto" w:val="clear"/>
          </w:tcPr>
          <w:p>
            <w:pPr>
              <w:spacing w:after="40" w:before="40"/>
            </w:pPr>
            <w:r>
              <w:rPr>
                <w:rFonts w:ascii="Calibri" w:cs="Calibri" w:eastAsia="Calibri" w:hAnsi="Calibri"/>
                <w:b/>
                <w:bCs/>
                <w:i w:val="false"/>
                <w:iCs w:val="false"/>
                <w:color w:val="1F2937"/>
                <w:sz w:val="19"/>
                <w:szCs w:val="19"/>
              </w:rPr>
              <w:t xml:space="preserve">Recruitment (one-time)</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
            </w:r>
          </w:p>
        </w:tc>
        <w:tc>
          <w:tcPr>
            <w:tcW w:type="dxa" w:w="17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80,000</w:t>
            </w:r>
          </w:p>
        </w:tc>
        <w:tc>
          <w:tcPr>
            <w:tcW w:type="dxa" w:w="17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Year 1 only</w:t>
            </w:r>
          </w:p>
        </w:tc>
      </w:tr>
      <w:tr>
        <w:tc>
          <w:tcPr>
            <w:tcW w:type="dxa" w:w="2700"/>
            <w:shd w:fill="E0F2FE" w:color="auto" w:val="clear"/>
          </w:tcPr>
          <w:p>
            <w:pPr>
              <w:spacing w:after="40" w:before="40"/>
            </w:pPr>
            <w:r>
              <w:rPr>
                <w:rFonts w:ascii="Calibri" w:cs="Calibri" w:eastAsia="Calibri" w:hAnsi="Calibri"/>
                <w:b/>
                <w:bCs/>
                <w:i w:val="false"/>
                <w:iCs w:val="false"/>
                <w:color w:val="1B3A6B"/>
                <w:sz w:val="19"/>
                <w:szCs w:val="19"/>
              </w:rPr>
              <w:t xml:space="preserve">People total</w:t>
            </w:r>
          </w:p>
        </w:tc>
        <w:tc>
          <w:tcPr>
            <w:tcW w:type="dxa" w:w="150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1700"/>
            <w:shd w:fill="E0F2FE" w:color="auto" w:val="clear"/>
          </w:tcPr>
          <w:p>
            <w:pPr>
              <w:spacing w:after="40" w:before="40"/>
            </w:pPr>
            <w:r>
              <w:rPr>
                <w:rFonts w:ascii="Calibri" w:cs="Calibri" w:eastAsia="Calibri" w:hAnsi="Calibri"/>
                <w:b/>
                <w:bCs/>
                <w:i w:val="false"/>
                <w:iCs w:val="false"/>
                <w:color w:val="1B3A6B"/>
                <w:sz w:val="19"/>
                <w:szCs w:val="19"/>
              </w:rPr>
              <w:t xml:space="preserve">3,507,200</w:t>
            </w:r>
          </w:p>
        </w:tc>
        <w:tc>
          <w:tcPr>
            <w:tcW w:type="dxa" w:w="1760"/>
            <w:shd w:fill="E0F2FE" w:color="auto" w:val="clear"/>
          </w:tcPr>
          <w:p>
            <w:pPr>
              <w:spacing w:after="40" w:before="40"/>
            </w:pPr>
            <w:r>
              <w:rPr>
                <w:rFonts w:ascii="Calibri" w:cs="Calibri" w:eastAsia="Calibri" w:hAnsi="Calibri"/>
                <w:b/>
                <w:bCs/>
                <w:i w:val="false"/>
                <w:iCs w:val="false"/>
                <w:color w:val="1B3A6B"/>
                <w:sz w:val="19"/>
                <w:szCs w:val="19"/>
              </w:rPr>
              <w:t xml:space="preserve">~$21,900</w:t>
            </w:r>
          </w:p>
        </w:tc>
      </w:tr>
    </w:tbl>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Sales compensation  </w:t>
      </w:r>
      <w:r>
        <w:rPr>
          <w:rFonts w:ascii="Calibri" w:cs="Calibri" w:eastAsia="Calibri" w:hAnsi="Calibri"/>
          <w:b w:val="false"/>
          <w:bCs w:val="false"/>
          <w:i w:val="false"/>
          <w:iCs w:val="false"/>
          <w:color w:val="1F2937"/>
          <w:sz w:val="19"/>
          <w:szCs w:val="19"/>
        </w:rPr>
        <w:t xml:space="preserve">The sales figure is base salary only. Government and enterprise deals should carry commission of 5–8% of first-year contract value, payable on collection rather than signature given Ethiopian public-sector payment timelines. On the Base scenario this adds roughly 200,000–350,000 ETB in Year 1 — a variable cost that only arises alongside the revenue that funds it.</w:t>
      </w:r>
    </w:p>
    <w:p>
      <w:pPr>
        <w:pStyle w:val="Heading2"/>
        <w:spacing w:after="140" w:before="300"/>
      </w:pPr>
      <w:r>
        <w:rPr>
          <w:rFonts w:ascii="Calibri" w:cs="Calibri" w:eastAsia="Calibri" w:hAnsi="Calibri"/>
          <w:b/>
          <w:bCs/>
          <w:i w:val="false"/>
          <w:iCs w:val="false"/>
          <w:color w:val="0D9488"/>
          <w:sz w:val="24"/>
          <w:szCs w:val="24"/>
        </w:rPr>
        <w:t xml:space="preserve">6.3  Premises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Option</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Monthly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Assessment</w:t>
            </w:r>
          </w:p>
        </w:tc>
      </w:tr>
      <w:tr>
        <w:tc>
          <w:tcPr>
            <w:tcW w:type="dxa" w:w="2400"/>
          </w:tcPr>
          <w:p>
            <w:pPr>
              <w:spacing w:after="40" w:before="40"/>
            </w:pPr>
            <w:r>
              <w:rPr>
                <w:rFonts w:ascii="Calibri" w:cs="Calibri" w:eastAsia="Calibri" w:hAnsi="Calibri"/>
                <w:b/>
                <w:bCs/>
                <w:i w:val="false"/>
                <w:iCs w:val="false"/>
                <w:color w:val="1F2937"/>
                <w:sz w:val="19"/>
                <w:szCs w:val="19"/>
              </w:rPr>
              <w:t xml:space="preserve">Co-working desks (5)</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45,000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540,000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Lowest commitment; adequate to roughly 6 staff; weak for hosting government visitors</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Office ~80 sqm, Bole / Kazanchis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Recommended — credibility matters in public-sector sales</w:t>
            </w:r>
          </w:p>
        </w:tc>
      </w:tr>
      <w:tr>
        <w:tc>
          <w:tcPr>
            <w:tcW w:type="dxa" w:w="2400"/>
          </w:tcPr>
          <w:p>
            <w:pPr>
              <w:spacing w:after="40" w:before="40"/>
            </w:pPr>
            <w:r>
              <w:rPr>
                <w:rFonts w:ascii="Calibri" w:cs="Calibri" w:eastAsia="Calibri" w:hAnsi="Calibri"/>
                <w:b/>
                <w:bCs/>
                <w:i w:val="false"/>
                <w:iCs w:val="false"/>
                <w:color w:val="1F2937"/>
                <w:sz w:val="19"/>
                <w:szCs w:val="19"/>
              </w:rPr>
              <w:t xml:space="preserve">Utilities, business fibre, security</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180,000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Redundant connectivity is not optional for a SaaS operator</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Fit-out and furniture (one-time)</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Year 1 only</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Premises total (office option)</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1,030,000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~$6,440</w:t>
            </w:r>
          </w:p>
        </w:tc>
      </w:tr>
    </w:tbl>
    <w:p>
      <w:pPr>
        <w:spacing w:after="130" w:line="268"/>
        <w:jc w:val="left"/>
      </w:pPr>
      <w:r>
        <w:rPr>
          <w:rFonts w:ascii="Calibri" w:cs="Calibri" w:eastAsia="Calibri" w:hAnsi="Calibri"/>
          <w:b w:val="false"/>
          <w:bCs w:val="false"/>
          <w:i w:val="false"/>
          <w:iCs w:val="false"/>
          <w:color w:val="1F2937"/>
          <w:sz w:val="21"/>
          <w:szCs w:val="21"/>
        </w:rPr>
        <w:t xml:space="preserve">Co-working is defensible for the first two quarters and saves roughly 300,000 ETB. The argument for taking an office earlier is not comfort — it is that ministry and bank evaluation teams conduct vendor site visits, and a co-working desk is a weak answer to a procurement officer assessing whether a supplier will still exist in three years.</w:t>
      </w:r>
    </w:p>
    <w:p>
      <w:pPr>
        <w:pStyle w:val="Heading2"/>
        <w:spacing w:after="140" w:before="300"/>
      </w:pPr>
      <w:r>
        <w:rPr>
          <w:rFonts w:ascii="Calibri" w:cs="Calibri" w:eastAsia="Calibri" w:hAnsi="Calibri"/>
          <w:b/>
          <w:bCs/>
          <w:i w:val="false"/>
          <w:iCs w:val="false"/>
          <w:color w:val="0D9488"/>
          <w:sz w:val="24"/>
          <w:szCs w:val="24"/>
        </w:rPr>
        <w:t xml:space="preserve">6.4  Marketing and business development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Activity</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Share</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Purpose</w:t>
            </w:r>
          </w:p>
        </w:tc>
      </w:tr>
      <w:tr>
        <w:tc>
          <w:tcPr>
            <w:tcW w:type="dxa" w:w="2400"/>
          </w:tcPr>
          <w:p>
            <w:pPr>
              <w:spacing w:after="40" w:before="40"/>
            </w:pPr>
            <w:r>
              <w:rPr>
                <w:rFonts w:ascii="Calibri" w:cs="Calibri" w:eastAsia="Calibri" w:hAnsi="Calibri"/>
                <w:b/>
                <w:bCs/>
                <w:i w:val="false"/>
                <w:iCs w:val="false"/>
                <w:color w:val="1F2937"/>
                <w:sz w:val="19"/>
                <w:szCs w:val="19"/>
              </w:rPr>
              <w:t xml:space="preserve">Brand, collateral, demo assets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Sector-specific materials in Amharic and English</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Sector events and ICT expos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22%</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Highest-yield channel for public-sector access</w:t>
            </w:r>
          </w:p>
        </w:tc>
      </w:tr>
      <w:tr>
        <w:tc>
          <w:tcPr>
            <w:tcW w:type="dxa" w:w="2400"/>
          </w:tcPr>
          <w:p>
            <w:pPr>
              <w:spacing w:after="40" w:before="40"/>
            </w:pPr>
            <w:r>
              <w:rPr>
                <w:rFonts w:ascii="Calibri" w:cs="Calibri" w:eastAsia="Calibri" w:hAnsi="Calibri"/>
                <w:b/>
                <w:bCs/>
                <w:i w:val="false"/>
                <w:iCs w:val="false"/>
                <w:color w:val="1F2937"/>
                <w:sz w:val="19"/>
                <w:szCs w:val="19"/>
              </w:rPr>
              <w:t xml:space="preserve">Digital advertising</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360,000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31%</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LinkedIn and Meta, targeted at NGO and enterprise decision-makers</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Tender documentation and bid bonds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17%</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Non-discretionary cost of bidding</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Marketing total</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1,160,000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~$7,250</w:t>
            </w:r>
          </w:p>
        </w:tc>
      </w:tr>
    </w:tbl>
    <w:p>
      <w:pPr>
        <w:pBdr>
          <w:top w:val="single" w:color="B45309" w:sz="1"/>
          <w:bottom w:val="single" w:color="B45309" w:sz="1"/>
          <w:left w:val="single" w:color="B45309" w:sz="8"/>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Where the draft and this assessment differ on marketing  </w:t>
      </w:r>
      <w:r>
        <w:rPr>
          <w:rFonts w:ascii="Calibri" w:cs="Calibri" w:eastAsia="Calibri" w:hAnsi="Calibri"/>
          <w:b w:val="false"/>
          <w:bCs w:val="false"/>
          <w:i w:val="false"/>
          <w:iCs w:val="false"/>
          <w:color w:val="1F2937"/>
          <w:sz w:val="19"/>
          <w:szCs w:val="19"/>
        </w:rPr>
        <w:t xml:space="preserve">A product-led, self-serve motion — which the draft recommends and this assessment retains for SMEs — does not apply to the segments that generate most of the revenue. No ministry signs a 900,000 ETB contract through a self-serve checkout. The digital spend serves the SME long tail; events, collateral, and tender costs serve the segments that actually pay the bills. Do not let the product-led framing starve the field motion.</w:t>
      </w:r>
    </w:p>
    <w:p>
      <w:pPr>
        <w:pStyle w:val="Heading2"/>
        <w:spacing w:after="140" w:before="300"/>
      </w:pPr>
      <w:r>
        <w:rPr>
          <w:rFonts w:ascii="Calibri" w:cs="Calibri" w:eastAsia="Calibri" w:hAnsi="Calibri"/>
          <w:b/>
          <w:bCs/>
          <w:i w:val="false"/>
          <w:iCs w:val="false"/>
          <w:color w:val="0D9488"/>
          <w:sz w:val="24"/>
          <w:szCs w:val="24"/>
        </w:rPr>
        <w:t xml:space="preserve">6.5  Legal, compliance and professional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80"/>
        <w:gridCol w:w="3280"/>
      </w:tblGrid>
      <w:tr>
        <w:trPr>
          <w:tblHeader/>
        </w:trPr>
        <w:tc>
          <w:tcPr>
            <w:tcW w:type="dxa" w:w="2800"/>
            <w:shd w:fill="1B3A6B" w:color="auto" w:val="clear"/>
          </w:tcPr>
          <w:p>
            <w:pPr>
              <w:spacing w:after="50" w:before="50"/>
            </w:pPr>
            <w:r>
              <w:rPr>
                <w:rFonts w:ascii="Calibri" w:cs="Calibri" w:eastAsia="Calibri" w:hAnsi="Calibri"/>
                <w:b/>
                <w:bCs/>
                <w:i w:val="false"/>
                <w:iCs w:val="false"/>
                <w:color w:val="FFFFFF"/>
                <w:sz w:val="19"/>
                <w:szCs w:val="19"/>
              </w:rPr>
              <w:t xml:space="preserve">Item</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3280"/>
            <w:shd w:fill="1B3A6B" w:color="auto" w:val="clear"/>
          </w:tcPr>
          <w:p>
            <w:pPr>
              <w:spacing w:after="50" w:before="50"/>
            </w:pPr>
            <w:r>
              <w:rPr>
                <w:rFonts w:ascii="Calibri" w:cs="Calibri" w:eastAsia="Calibri" w:hAnsi="Calibri"/>
                <w:b/>
                <w:bCs/>
                <w:i w:val="false"/>
                <w:iCs w:val="false"/>
                <w:color w:val="FFFFFF"/>
                <w:sz w:val="19"/>
                <w:szCs w:val="19"/>
              </w:rPr>
              <w:t xml:space="preserve">Note</w:t>
            </w:r>
          </w:p>
        </w:tc>
      </w:tr>
      <w:tr>
        <w:tc>
          <w:tcPr>
            <w:tcW w:type="dxa" w:w="2800"/>
          </w:tcPr>
          <w:p>
            <w:pPr>
              <w:spacing w:after="40" w:before="40"/>
            </w:pPr>
            <w:r>
              <w:rPr>
                <w:rFonts w:ascii="Calibri" w:cs="Calibri" w:eastAsia="Calibri" w:hAnsi="Calibri"/>
                <w:b/>
                <w:bCs/>
                <w:i w:val="false"/>
                <w:iCs w:val="false"/>
                <w:color w:val="1F2937"/>
                <w:sz w:val="19"/>
                <w:szCs w:val="19"/>
              </w:rPr>
              <w:t xml:space="preserve">INSA recertification</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250,000</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Estimate — confirm with INSA. Gating dependency for government sales</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Audit and accounting</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120,000</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Required for VAT-registered entity</w:t>
            </w:r>
          </w:p>
        </w:tc>
      </w:tr>
      <w:tr>
        <w:tc>
          <w:tcPr>
            <w:tcW w:type="dxa" w:w="2800"/>
          </w:tcPr>
          <w:p>
            <w:pPr>
              <w:spacing w:after="40" w:before="40"/>
            </w:pPr>
            <w:r>
              <w:rPr>
                <w:rFonts w:ascii="Calibri" w:cs="Calibri" w:eastAsia="Calibri" w:hAnsi="Calibri"/>
                <w:b/>
                <w:bCs/>
                <w:i w:val="false"/>
                <w:iCs w:val="false"/>
                <w:color w:val="1F2937"/>
                <w:sz w:val="19"/>
                <w:szCs w:val="19"/>
              </w:rPr>
              <w:t xml:space="preserve">Legal — contracts, data residency, SLA drafting</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150,000</w:t>
            </w:r>
          </w:p>
        </w:tc>
        <w:tc>
          <w:tcPr>
            <w:tcW w:type="dxa" w:w="3280"/>
          </w:tcPr>
          <w:p>
            <w:pPr>
              <w:spacing w:after="40" w:before="40"/>
            </w:pPr>
            <w:r>
              <w:rPr>
                <w:rFonts w:ascii="Calibri" w:cs="Calibri" w:eastAsia="Calibri" w:hAnsi="Calibri"/>
                <w:b w:val="false"/>
                <w:bCs w:val="false"/>
                <w:i w:val="false"/>
                <w:iCs w:val="false"/>
                <w:color w:val="1F2937"/>
                <w:sz w:val="19"/>
                <w:szCs w:val="19"/>
              </w:rPr>
              <w:t xml:space="preserve">Includes converting the managed/self-managed table into contract language</w:t>
            </w:r>
          </w:p>
        </w:tc>
      </w:tr>
      <w:tr>
        <w:tc>
          <w:tcPr>
            <w:tcW w:type="dxa" w:w="2800"/>
            <w:shd w:fill="F8FAFC" w:color="auto" w:val="clear"/>
          </w:tcPr>
          <w:p>
            <w:pPr>
              <w:spacing w:after="40" w:before="40"/>
            </w:pPr>
            <w:r>
              <w:rPr>
                <w:rFonts w:ascii="Calibri" w:cs="Calibri" w:eastAsia="Calibri" w:hAnsi="Calibri"/>
                <w:b/>
                <w:bCs/>
                <w:i w:val="false"/>
                <w:iCs w:val="false"/>
                <w:color w:val="1F2937"/>
                <w:sz w:val="19"/>
                <w:szCs w:val="19"/>
              </w:rPr>
              <w:t xml:space="preserve">IP and trademark maintenance</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50,000</w:t>
            </w:r>
          </w:p>
        </w:tc>
        <w:tc>
          <w:tcPr>
            <w:tcW w:type="dxa" w:w="328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EIPA registration upkeep</w:t>
            </w:r>
          </w:p>
        </w:tc>
      </w:tr>
      <w:tr>
        <w:tc>
          <w:tcPr>
            <w:tcW w:type="dxa" w:w="2800"/>
            <w:shd w:fill="E0F2FE" w:color="auto" w:val="clear"/>
          </w:tcPr>
          <w:p>
            <w:pPr>
              <w:spacing w:after="40" w:before="40"/>
            </w:pPr>
            <w:r>
              <w:rPr>
                <w:rFonts w:ascii="Calibri" w:cs="Calibri" w:eastAsia="Calibri" w:hAnsi="Calibri"/>
                <w:b/>
                <w:bCs/>
                <w:i w:val="false"/>
                <w:iCs w:val="false"/>
                <w:color w:val="1B3A6B"/>
                <w:sz w:val="19"/>
                <w:szCs w:val="19"/>
              </w:rPr>
              <w:t xml:space="preserve">Compliance total</w:t>
            </w:r>
          </w:p>
        </w:tc>
        <w:tc>
          <w:tcPr>
            <w:tcW w:type="dxa" w:w="3280"/>
            <w:shd w:fill="E0F2FE" w:color="auto" w:val="clear"/>
          </w:tcPr>
          <w:p>
            <w:pPr>
              <w:spacing w:after="40" w:before="40"/>
            </w:pPr>
            <w:r>
              <w:rPr>
                <w:rFonts w:ascii="Calibri" w:cs="Calibri" w:eastAsia="Calibri" w:hAnsi="Calibri"/>
                <w:b/>
                <w:bCs/>
                <w:i w:val="false"/>
                <w:iCs w:val="false"/>
                <w:color w:val="1B3A6B"/>
                <w:sz w:val="19"/>
                <w:szCs w:val="19"/>
              </w:rPr>
              <w:t xml:space="preserve">570,000</w:t>
            </w:r>
          </w:p>
        </w:tc>
        <w:tc>
          <w:tcPr>
            <w:tcW w:type="dxa" w:w="3280"/>
            <w:shd w:fill="E0F2FE" w:color="auto" w:val="clear"/>
          </w:tcPr>
          <w:p>
            <w:pPr>
              <w:spacing w:after="40" w:before="40"/>
            </w:pPr>
            <w:r>
              <w:rPr>
                <w:rFonts w:ascii="Calibri" w:cs="Calibri" w:eastAsia="Calibri" w:hAnsi="Calibri"/>
                <w:b/>
                <w:bCs/>
                <w:i w:val="false"/>
                <w:iCs w:val="false"/>
                <w:color w:val="1B3A6B"/>
                <w:sz w:val="19"/>
                <w:szCs w:val="19"/>
              </w:rPr>
              <w:t xml:space="preserve">~$3,560</w:t>
            </w:r>
          </w:p>
        </w:tc>
      </w:tr>
    </w:tbl>
    <w:p>
      <w:pPr>
        <w:pStyle w:val="Heading2"/>
        <w:spacing w:after="140" w:before="300"/>
      </w:pPr>
      <w:r>
        <w:rPr>
          <w:rFonts w:ascii="Calibri" w:cs="Calibri" w:eastAsia="Calibri" w:hAnsi="Calibri"/>
          <w:b/>
          <w:bCs/>
          <w:i w:val="false"/>
          <w:iCs w:val="false"/>
          <w:color w:val="0D9488"/>
          <w:sz w:val="24"/>
          <w:szCs w:val="24"/>
        </w:rPr>
        <w:t xml:space="preserve">6.6  Year 1 cost base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Category</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Annual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Share</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USD (@160)</w:t>
            </w:r>
          </w:p>
        </w:tc>
      </w:tr>
      <w:tr>
        <w:tc>
          <w:tcPr>
            <w:tcW w:type="dxa" w:w="2400"/>
          </w:tcPr>
          <w:p>
            <w:pPr>
              <w:spacing w:after="40" w:before="40"/>
            </w:pPr>
            <w:r>
              <w:rPr>
                <w:rFonts w:ascii="Calibri" w:cs="Calibri" w:eastAsia="Calibri" w:hAnsi="Calibri"/>
                <w:b/>
                <w:bCs/>
                <w:i w:val="false"/>
                <w:iCs w:val="false"/>
                <w:color w:val="1F2937"/>
                <w:sz w:val="19"/>
                <w:szCs w:val="19"/>
              </w:rPr>
              <w:t xml:space="preserve">People</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3,507,200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53%</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$21,920</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Marketing &amp; business development</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1,160,000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17%</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$7,250</w:t>
            </w:r>
          </w:p>
        </w:tc>
      </w:tr>
      <w:tr>
        <w:tc>
          <w:tcPr>
            <w:tcW w:type="dxa" w:w="2400"/>
          </w:tcPr>
          <w:p>
            <w:pPr>
              <w:spacing w:after="40" w:before="40"/>
            </w:pPr>
            <w:r>
              <w:rPr>
                <w:rFonts w:ascii="Calibri" w:cs="Calibri" w:eastAsia="Calibri" w:hAnsi="Calibri"/>
                <w:b/>
                <w:bCs/>
                <w:i w:val="false"/>
                <w:iCs w:val="false"/>
                <w:color w:val="1F2937"/>
                <w:sz w:val="19"/>
                <w:szCs w:val="19"/>
              </w:rPr>
              <w:t xml:space="preserve">Premises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1,030,000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$6,440</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Infrastructure</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713,030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11%</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$4,456</w:t>
            </w:r>
          </w:p>
        </w:tc>
      </w:tr>
      <w:tr>
        <w:tc>
          <w:tcPr>
            <w:tcW w:type="dxa" w:w="2400"/>
          </w:tcPr>
          <w:p>
            <w:pPr>
              <w:spacing w:after="40" w:before="40"/>
            </w:pPr>
            <w:r>
              <w:rPr>
                <w:rFonts w:ascii="Calibri" w:cs="Calibri" w:eastAsia="Calibri" w:hAnsi="Calibri"/>
                <w:b/>
                <w:bCs/>
                <w:i w:val="false"/>
                <w:iCs w:val="false"/>
                <w:color w:val="1F2937"/>
                <w:sz w:val="19"/>
                <w:szCs w:val="19"/>
              </w:rPr>
              <w:t xml:space="preserve">Legal &amp; compliance</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570,000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9%</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$3,563</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Total Year 1</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6,980,230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$43,626</w:t>
            </w:r>
          </w:p>
        </w:tc>
      </w:tr>
    </w:tbl>
    <w:p>
      <w:r>
        <w:br w:type="page"/>
      </w:r>
    </w:p>
    <w:p>
      <w:pPr>
        <w:pStyle w:val="Heading1"/>
        <w:spacing w:after="180" w:before="380"/>
      </w:pPr>
      <w:r>
        <w:rPr>
          <w:rFonts w:ascii="Calibri" w:cs="Calibri" w:eastAsia="Calibri" w:hAnsi="Calibri"/>
          <w:b/>
          <w:bCs/>
          <w:i w:val="false"/>
          <w:iCs w:val="false"/>
          <w:color w:val="1B3A6B"/>
          <w:sz w:val="28"/>
          <w:szCs w:val="28"/>
        </w:rPr>
        <w:t xml:space="preserve">7. Unit Economics</w:t>
      </w:r>
    </w:p>
    <w:p>
      <w:pPr>
        <w:pStyle w:val="Heading2"/>
        <w:spacing w:after="140" w:before="300"/>
      </w:pPr>
      <w:r>
        <w:rPr>
          <w:rFonts w:ascii="Calibri" w:cs="Calibri" w:eastAsia="Calibri" w:hAnsi="Calibri"/>
          <w:b/>
          <w:bCs/>
          <w:i w:val="false"/>
          <w:iCs w:val="false"/>
          <w:color w:val="0D9488"/>
          <w:sz w:val="24"/>
          <w:szCs w:val="24"/>
        </w:rPr>
        <w:t xml:space="preserve">7.1  Cost to serve, by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500"/>
        <w:gridCol w:w="1500"/>
        <w:gridCol w:w="1500"/>
        <w:gridCol w:w="1500"/>
        <w:gridCol w:w="1560"/>
      </w:tblGrid>
      <w:tr>
        <w:trPr>
          <w:tblHeader/>
        </w:trPr>
        <w:tc>
          <w:tcPr>
            <w:tcW w:type="dxa" w:w="1800"/>
            <w:shd w:fill="1B3A6B" w:color="auto" w:val="clear"/>
          </w:tcPr>
          <w:p>
            <w:pPr>
              <w:spacing w:after="50" w:before="50"/>
            </w:pPr>
            <w:r>
              <w:rPr>
                <w:rFonts w:ascii="Calibri" w:cs="Calibri" w:eastAsia="Calibri" w:hAnsi="Calibri"/>
                <w:b/>
                <w:bCs/>
                <w:i w:val="false"/>
                <w:iCs w:val="false"/>
                <w:color w:val="FFFFFF"/>
                <w:sz w:val="19"/>
                <w:szCs w:val="19"/>
              </w:rPr>
              <w:t xml:space="preserve">Tier</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Price</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Infra</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AI</w:t>
            </w:r>
          </w:p>
        </w:tc>
        <w:tc>
          <w:tcPr>
            <w:tcW w:type="dxa" w:w="1500"/>
            <w:shd w:fill="1B3A6B" w:color="auto" w:val="clear"/>
          </w:tcPr>
          <w:p>
            <w:pPr>
              <w:spacing w:after="50" w:before="50"/>
            </w:pPr>
            <w:r>
              <w:rPr>
                <w:rFonts w:ascii="Calibri" w:cs="Calibri" w:eastAsia="Calibri" w:hAnsi="Calibri"/>
                <w:b/>
                <w:bCs/>
                <w:i w:val="false"/>
                <w:iCs w:val="false"/>
                <w:color w:val="FFFFFF"/>
                <w:sz w:val="19"/>
                <w:szCs w:val="19"/>
              </w:rPr>
              <w:t xml:space="preserve">Support</w:t>
            </w:r>
          </w:p>
        </w:tc>
        <w:tc>
          <w:tcPr>
            <w:tcW w:type="dxa" w:w="1560"/>
            <w:shd w:fill="1B3A6B" w:color="auto" w:val="clear"/>
          </w:tcPr>
          <w:p>
            <w:pPr>
              <w:spacing w:after="50" w:before="50"/>
            </w:pPr>
            <w:r>
              <w:rPr>
                <w:rFonts w:ascii="Calibri" w:cs="Calibri" w:eastAsia="Calibri" w:hAnsi="Calibri"/>
                <w:b/>
                <w:bCs/>
                <w:i w:val="false"/>
                <w:iCs w:val="false"/>
                <w:color w:val="FFFFFF"/>
                <w:sz w:val="19"/>
                <w:szCs w:val="19"/>
              </w:rPr>
              <w:t xml:space="preserve">Gross margin</w:t>
            </w:r>
          </w:p>
        </w:tc>
      </w:tr>
      <w:tr>
        <w:tc>
          <w:tcPr>
            <w:tcW w:type="dxa" w:w="1800"/>
          </w:tcPr>
          <w:p>
            <w:pPr>
              <w:spacing w:after="40" w:before="40"/>
            </w:pPr>
            <w:r>
              <w:rPr>
                <w:rFonts w:ascii="Calibri" w:cs="Calibri" w:eastAsia="Calibri" w:hAnsi="Calibri"/>
                <w:b/>
                <w:bCs/>
                <w:i w:val="false"/>
                <w:iCs w:val="false"/>
                <w:color w:val="1F2937"/>
                <w:sz w:val="19"/>
                <w:szCs w:val="19"/>
              </w:rPr>
              <w:t xml:space="preserve">Starter</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32,000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500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900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1,200</w:t>
            </w:r>
          </w:p>
        </w:tc>
        <w:tc>
          <w:tcPr>
            <w:tcW w:type="dxa" w:w="1560"/>
          </w:tcPr>
          <w:p>
            <w:pPr>
              <w:spacing w:after="40" w:before="40"/>
            </w:pPr>
            <w:r>
              <w:rPr>
                <w:rFonts w:ascii="Calibri" w:cs="Calibri" w:eastAsia="Calibri" w:hAnsi="Calibri"/>
                <w:b w:val="false"/>
                <w:bCs w:val="false"/>
                <w:i w:val="false"/>
                <w:iCs w:val="false"/>
                <w:color w:val="1F2937"/>
                <w:sz w:val="19"/>
                <w:szCs w:val="19"/>
              </w:rPr>
              <w:t xml:space="preserve">92%</w:t>
            </w:r>
          </w:p>
        </w:tc>
      </w:tr>
      <w:tr>
        <w:tc>
          <w:tcPr>
            <w:tcW w:type="dxa" w:w="1800"/>
            <w:shd w:fill="F8FAFC" w:color="auto" w:val="clear"/>
          </w:tcPr>
          <w:p>
            <w:pPr>
              <w:spacing w:after="40" w:before="40"/>
            </w:pPr>
            <w:r>
              <w:rPr>
                <w:rFonts w:ascii="Calibri" w:cs="Calibri" w:eastAsia="Calibri" w:hAnsi="Calibri"/>
                <w:b/>
                <w:bCs/>
                <w:i w:val="false"/>
                <w:iCs w:val="false"/>
                <w:color w:val="1F2937"/>
                <w:sz w:val="19"/>
                <w:szCs w:val="19"/>
              </w:rPr>
              <w:t xml:space="preserve">Professional</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95,000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1,200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3,600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4,800</w:t>
            </w:r>
          </w:p>
        </w:tc>
        <w:tc>
          <w:tcPr>
            <w:tcW w:type="dxa" w:w="1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w:t>
            </w:r>
          </w:p>
        </w:tc>
      </w:tr>
      <w:tr>
        <w:tc>
          <w:tcPr>
            <w:tcW w:type="dxa" w:w="1800"/>
          </w:tcPr>
          <w:p>
            <w:pPr>
              <w:spacing w:after="40" w:before="40"/>
            </w:pPr>
            <w:r>
              <w:rPr>
                <w:rFonts w:ascii="Calibri" w:cs="Calibri" w:eastAsia="Calibri" w:hAnsi="Calibri"/>
                <w:b/>
                <w:bCs/>
                <w:i w:val="false"/>
                <w:iCs w:val="false"/>
                <w:color w:val="1F2937"/>
                <w:sz w:val="19"/>
                <w:szCs w:val="19"/>
              </w:rPr>
              <w:t xml:space="preserve">Business</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260,000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3,000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12,000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18,000</w:t>
            </w:r>
          </w:p>
        </w:tc>
        <w:tc>
          <w:tcPr>
            <w:tcW w:type="dxa" w:w="1560"/>
          </w:tcPr>
          <w:p>
            <w:pPr>
              <w:spacing w:after="40" w:before="40"/>
            </w:pPr>
            <w:r>
              <w:rPr>
                <w:rFonts w:ascii="Calibri" w:cs="Calibri" w:eastAsia="Calibri" w:hAnsi="Calibri"/>
                <w:b w:val="false"/>
                <w:bCs w:val="false"/>
                <w:i w:val="false"/>
                <w:iCs w:val="false"/>
                <w:color w:val="1F2937"/>
                <w:sz w:val="19"/>
                <w:szCs w:val="19"/>
              </w:rPr>
              <w:t xml:space="preserve">87%</w:t>
            </w:r>
          </w:p>
        </w:tc>
      </w:tr>
      <w:tr>
        <w:tc>
          <w:tcPr>
            <w:tcW w:type="dxa" w:w="1800"/>
            <w:shd w:fill="F8FAFC" w:color="auto" w:val="clear"/>
          </w:tcPr>
          <w:p>
            <w:pPr>
              <w:spacing w:after="40" w:before="40"/>
            </w:pPr>
            <w:r>
              <w:rPr>
                <w:rFonts w:ascii="Calibri" w:cs="Calibri" w:eastAsia="Calibri" w:hAnsi="Calibri"/>
                <w:b/>
                <w:bCs/>
                <w:i w:val="false"/>
                <w:iCs w:val="false"/>
                <w:color w:val="1F2937"/>
                <w:sz w:val="19"/>
                <w:szCs w:val="19"/>
              </w:rPr>
              <w:t xml:space="preserve">Regional</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180,000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2,200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7,500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15,000</w:t>
            </w:r>
          </w:p>
        </w:tc>
        <w:tc>
          <w:tcPr>
            <w:tcW w:type="dxa" w:w="1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86%</w:t>
            </w:r>
          </w:p>
        </w:tc>
      </w:tr>
      <w:tr>
        <w:tc>
          <w:tcPr>
            <w:tcW w:type="dxa" w:w="1800"/>
          </w:tcPr>
          <w:p>
            <w:pPr>
              <w:spacing w:after="40" w:before="40"/>
            </w:pPr>
            <w:r>
              <w:rPr>
                <w:rFonts w:ascii="Calibri" w:cs="Calibri" w:eastAsia="Calibri" w:hAnsi="Calibri"/>
                <w:b/>
                <w:bCs/>
                <w:i w:val="false"/>
                <w:iCs w:val="false"/>
                <w:color w:val="1F2937"/>
                <w:sz w:val="19"/>
                <w:szCs w:val="19"/>
              </w:rPr>
              <w:t xml:space="preserve">Enterprise</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650,000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6,000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45,000</w:t>
            </w:r>
          </w:p>
        </w:tc>
        <w:tc>
          <w:tcPr>
            <w:tcW w:type="dxa" w:w="1500"/>
          </w:tcPr>
          <w:p>
            <w:pPr>
              <w:spacing w:after="40" w:before="40"/>
            </w:pPr>
            <w:r>
              <w:rPr>
                <w:rFonts w:ascii="Calibri" w:cs="Calibri" w:eastAsia="Calibri" w:hAnsi="Calibri"/>
                <w:b w:val="false"/>
                <w:bCs w:val="false"/>
                <w:i w:val="false"/>
                <w:iCs w:val="false"/>
                <w:color w:val="1F2937"/>
                <w:sz w:val="19"/>
                <w:szCs w:val="19"/>
              </w:rPr>
              <w:t xml:space="preserve">60,000</w:t>
            </w:r>
          </w:p>
        </w:tc>
        <w:tc>
          <w:tcPr>
            <w:tcW w:type="dxa" w:w="1560"/>
          </w:tcPr>
          <w:p>
            <w:pPr>
              <w:spacing w:after="40" w:before="40"/>
            </w:pPr>
            <w:r>
              <w:rPr>
                <w:rFonts w:ascii="Calibri" w:cs="Calibri" w:eastAsia="Calibri" w:hAnsi="Calibri"/>
                <w:b w:val="false"/>
                <w:bCs w:val="false"/>
                <w:i w:val="false"/>
                <w:iCs w:val="false"/>
                <w:color w:val="1F2937"/>
                <w:sz w:val="19"/>
                <w:szCs w:val="19"/>
              </w:rPr>
              <w:t xml:space="preserve">83%</w:t>
            </w:r>
          </w:p>
        </w:tc>
      </w:tr>
      <w:tr>
        <w:tc>
          <w:tcPr>
            <w:tcW w:type="dxa" w:w="1800"/>
            <w:shd w:fill="F8FAFC" w:color="auto" w:val="clear"/>
          </w:tcPr>
          <w:p>
            <w:pPr>
              <w:spacing w:after="40" w:before="40"/>
            </w:pPr>
            <w:r>
              <w:rPr>
                <w:rFonts w:ascii="Calibri" w:cs="Calibri" w:eastAsia="Calibri" w:hAnsi="Calibri"/>
                <w:b/>
                <w:bCs/>
                <w:i w:val="false"/>
                <w:iCs w:val="false"/>
                <w:color w:val="1F2937"/>
                <w:sz w:val="19"/>
                <w:szCs w:val="19"/>
              </w:rPr>
              <w:t xml:space="preserve">Government</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700,000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60,000</w:t>
            </w:r>
          </w:p>
        </w:tc>
        <w:tc>
          <w:tcPr>
            <w:tcW w:type="dxa" w:w="15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90,000</w:t>
            </w:r>
          </w:p>
        </w:tc>
        <w:tc>
          <w:tcPr>
            <w:tcW w:type="dxa" w:w="1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78%</w:t>
            </w:r>
          </w:p>
        </w:tc>
      </w:tr>
    </w:tbl>
    <w:p>
      <w:pPr>
        <w:spacing w:after="130" w:line="268"/>
        <w:jc w:val="left"/>
      </w:pPr>
      <w:r>
        <w:rPr>
          <w:rFonts w:ascii="Calibri" w:cs="Calibri" w:eastAsia="Calibri" w:hAnsi="Calibri"/>
          <w:b w:val="false"/>
          <w:bCs w:val="false"/>
          <w:i w:val="false"/>
          <w:iCs w:val="false"/>
          <w:color w:val="1F2937"/>
          <w:sz w:val="21"/>
          <w:szCs w:val="21"/>
        </w:rPr>
        <w:t xml:space="preserve">All figures in ETB per customer per year, excluding sales commission and acquisition cost. Gross margins sit in the 78–92% band typical of healthy SaaS, and the draft's 70–80% target is comfortably met. Government margin is lowest because it carries the heaviest support and implementation load — but it remains the most valuable segment in absolute contribution, at roughly 546,000 ETB gross profit per customer against 29,400 ETB for a Starter account.</w:t>
      </w:r>
    </w:p>
    <w:p>
      <w:pPr>
        <w:pStyle w:val="Heading2"/>
        <w:spacing w:after="140" w:before="300"/>
      </w:pPr>
      <w:r>
        <w:rPr>
          <w:rFonts w:ascii="Calibri" w:cs="Calibri" w:eastAsia="Calibri" w:hAnsi="Calibri"/>
          <w:b/>
          <w:bCs/>
          <w:i w:val="false"/>
          <w:iCs w:val="false"/>
          <w:color w:val="0D9488"/>
          <w:sz w:val="24"/>
          <w:szCs w:val="24"/>
        </w:rPr>
        <w:t xml:space="preserve">7.2  Acquisition cost and payback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Segment</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Est. CAC (ETB)</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Payback</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Assessment</w:t>
            </w:r>
          </w:p>
        </w:tc>
      </w:tr>
      <w:tr>
        <w:tc>
          <w:tcPr>
            <w:tcW w:type="dxa" w:w="2400"/>
          </w:tcPr>
          <w:p>
            <w:pPr>
              <w:spacing w:after="40" w:before="40"/>
            </w:pPr>
            <w:r>
              <w:rPr>
                <w:rFonts w:ascii="Calibri" w:cs="Calibri" w:eastAsia="Calibri" w:hAnsi="Calibri"/>
                <w:b/>
                <w:bCs/>
                <w:i w:val="false"/>
                <w:iCs w:val="false"/>
                <w:color w:val="1F2937"/>
                <w:sz w:val="19"/>
                <w:szCs w:val="19"/>
              </w:rPr>
              <w:t xml:space="preserve">SME (self-serve)</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15,000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~6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Viable only if genuinely self-serve — one support-heavy SME erases the margin on several others</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NGO / university</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 months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Best ratio in the portfolio; sector referrals compound</w:t>
            </w:r>
          </w:p>
        </w:tc>
      </w:tr>
      <w:tr>
        <w:tc>
          <w:tcPr>
            <w:tcW w:type="dxa" w:w="2400"/>
          </w:tcPr>
          <w:p>
            <w:pPr>
              <w:spacing w:after="40" w:before="40"/>
            </w:pPr>
            <w:r>
              <w:rPr>
                <w:rFonts w:ascii="Calibri" w:cs="Calibri" w:eastAsia="Calibri" w:hAnsi="Calibri"/>
                <w:b/>
                <w:bCs/>
                <w:i w:val="false"/>
                <w:iCs w:val="false"/>
                <w:color w:val="1F2937"/>
                <w:sz w:val="19"/>
                <w:szCs w:val="19"/>
              </w:rPr>
              <w:t xml:space="preserve">Regional bureau</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120,000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~9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Language advantage should reduce this materially over time</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Enterprise / bank</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350,000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~8 months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Long cycle, high value, references essential</w:t>
            </w:r>
          </w:p>
        </w:tc>
      </w:tr>
      <w:tr>
        <w:tc>
          <w:tcPr>
            <w:tcW w:type="dxa" w:w="2400"/>
          </w:tcPr>
          <w:p>
            <w:pPr>
              <w:spacing w:after="40" w:before="40"/>
            </w:pPr>
            <w:r>
              <w:rPr>
                <w:rFonts w:ascii="Calibri" w:cs="Calibri" w:eastAsia="Calibri" w:hAnsi="Calibri"/>
                <w:b/>
                <w:bCs/>
                <w:i w:val="false"/>
                <w:iCs w:val="false"/>
                <w:color w:val="1F2937"/>
                <w:sz w:val="19"/>
                <w:szCs w:val="19"/>
              </w:rPr>
              <w:t xml:space="preserve">Government</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450,000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~10 months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Tender costs are incurred whether or not the bid is won</w:t>
            </w:r>
          </w:p>
        </w:tc>
      </w:tr>
    </w:tbl>
    <w:p>
      <w:pPr>
        <w:pBdr>
          <w:top w:val="single" w:color="B45309" w:sz="1"/>
          <w:bottom w:val="single" w:color="B45309" w:sz="1"/>
          <w:left w:val="single" w:color="B45309" w:sz="8"/>
          <w:right w:val="single" w:color="B45309" w:sz="1"/>
        </w:pBdr>
        <w:shd w:fill="FEF3C7" w:color="auto" w:val="clear"/>
        <w:spacing w:after="150" w:before="150" w:line="268"/>
        <w:ind w:left="170" w:right="170"/>
      </w:pPr>
      <w:r>
        <w:rPr>
          <w:rFonts w:ascii="Calibri" w:cs="Calibri" w:eastAsia="Calibri" w:hAnsi="Calibri"/>
          <w:b/>
          <w:bCs/>
          <w:i w:val="false"/>
          <w:iCs w:val="false"/>
          <w:color w:val="B45309"/>
          <w:sz w:val="19"/>
          <w:szCs w:val="19"/>
        </w:rPr>
        <w:t xml:space="preserve">The government cost that is easy to miss  </w:t>
      </w:r>
      <w:r>
        <w:rPr>
          <w:rFonts w:ascii="Calibri" w:cs="Calibri" w:eastAsia="Calibri" w:hAnsi="Calibri"/>
          <w:b w:val="false"/>
          <w:bCs w:val="false"/>
          <w:i w:val="false"/>
          <w:iCs w:val="false"/>
          <w:color w:val="1F2937"/>
          <w:sz w:val="19"/>
          <w:szCs w:val="19"/>
        </w:rPr>
        <w:t xml:space="preserve">Tender pursuit costs are sunk on loss. At an estimated 450,000 ETB per pursuit and a realistic win rate of one in three for a new entrant, the true acquisition cost of each government contract won is closer to 1.35M ETB. This is still comfortably profitable against a 700,000 ETB annual contract with multi-year renewal — but only if contracts renew. Retention is not a secondary metric in this model; it is the metric that makes government pursuit rational at all.</w:t>
      </w:r>
    </w:p>
    <w:p>
      <w:r>
        <w:br w:type="page"/>
      </w:r>
    </w:p>
    <w:p>
      <w:pPr>
        <w:pStyle w:val="Heading1"/>
        <w:spacing w:after="180" w:before="380"/>
      </w:pPr>
      <w:r>
        <w:rPr>
          <w:rFonts w:ascii="Calibri" w:cs="Calibri" w:eastAsia="Calibri" w:hAnsi="Calibri"/>
          <w:b/>
          <w:bCs/>
          <w:i w:val="false"/>
          <w:iCs w:val="false"/>
          <w:color w:val="1B3A6B"/>
          <w:sz w:val="28"/>
          <w:szCs w:val="28"/>
        </w:rPr>
        <w:t xml:space="preserve">8. Operating Scenarios</w:t>
      </w:r>
    </w:p>
    <w:p>
      <w:pPr>
        <w:spacing w:after="130" w:line="268"/>
        <w:jc w:val="left"/>
      </w:pPr>
      <w:r>
        <w:rPr>
          <w:rFonts w:ascii="Calibri" w:cs="Calibri" w:eastAsia="Calibri" w:hAnsi="Calibri"/>
          <w:b w:val="false"/>
          <w:bCs w:val="false"/>
          <w:i w:val="false"/>
          <w:iCs w:val="false"/>
          <w:color w:val="1F2937"/>
          <w:sz w:val="21"/>
          <w:szCs w:val="21"/>
        </w:rPr>
        <w:t xml:space="preserve">Three scenarios, differing in staffing and market investment. All assume the revised pricing and the segment sequencing in Section 3.</w:t>
      </w:r>
    </w:p>
    <w:p>
      <w:pPr>
        <w:pStyle w:val="Heading2"/>
        <w:spacing w:after="140" w:before="300"/>
      </w:pPr>
      <w:r>
        <w:rPr>
          <w:rFonts w:ascii="Calibri" w:cs="Calibri" w:eastAsia="Calibri" w:hAnsi="Calibri"/>
          <w:b/>
          <w:bCs/>
          <w:i w:val="false"/>
          <w:iCs w:val="false"/>
          <w:color w:val="0D9488"/>
          <w:sz w:val="24"/>
          <w:szCs w:val="24"/>
        </w:rPr>
        <w:t xml:space="preserve">8.1  Scenario A — Lean</w:t>
      </w:r>
    </w:p>
    <w:p>
      <w:pPr>
        <w:spacing w:after="130" w:line="268"/>
        <w:jc w:val="left"/>
      </w:pPr>
      <w:r>
        <w:rPr>
          <w:rFonts w:ascii="Calibri" w:cs="Calibri" w:eastAsia="Calibri" w:hAnsi="Calibri"/>
          <w:b w:val="false"/>
          <w:bCs w:val="false"/>
          <w:i w:val="false"/>
          <w:iCs w:val="false"/>
          <w:color w:val="1F2937"/>
          <w:sz w:val="21"/>
          <w:szCs w:val="21"/>
        </w:rPr>
        <w:t xml:space="preserve">Three staff, co-working, minimal marketing, tender pursuit only where the fit is strong. Founders defer compensation.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1</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2</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3</w:t>
            </w:r>
          </w:p>
        </w:tc>
      </w:tr>
      <w:tr>
        <w:tc>
          <w:tcPr>
            <w:tcW w:type="dxa" w:w="2400"/>
          </w:tcPr>
          <w:p>
            <w:pPr>
              <w:spacing w:after="40" w:before="40"/>
            </w:pPr>
            <w:r>
              <w:rPr>
                <w:rFonts w:ascii="Calibri" w:cs="Calibri" w:eastAsia="Calibri" w:hAnsi="Calibri"/>
                <w:b/>
                <w:bCs/>
                <w:i w:val="false"/>
                <w:iCs w:val="false"/>
                <w:color w:val="1F2937"/>
                <w:sz w:val="19"/>
                <w:szCs w:val="19"/>
              </w:rPr>
              <w:t xml:space="preserve">Customers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28</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68</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135</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Revenue (ETB)</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2,150,000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6,400,000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13,900,000</w:t>
            </w:r>
          </w:p>
        </w:tc>
      </w:tr>
      <w:tr>
        <w:tc>
          <w:tcPr>
            <w:tcW w:type="dxa" w:w="2400"/>
          </w:tcPr>
          <w:p>
            <w:pPr>
              <w:spacing w:after="40" w:before="40"/>
            </w:pPr>
            <w:r>
              <w:rPr>
                <w:rFonts w:ascii="Calibri" w:cs="Calibri" w:eastAsia="Calibri" w:hAnsi="Calibri"/>
                <w:b/>
                <w:bCs/>
                <w:i w:val="false"/>
                <w:iCs w:val="false"/>
                <w:color w:val="1F2937"/>
                <w:sz w:val="19"/>
                <w:szCs w:val="19"/>
              </w:rPr>
              <w:t xml:space="preserve">Costs (ETB)</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3,470,000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5,100,000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8,200,000</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Net (ETB)</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−1,320,000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+1,300,000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+5,700,000</w:t>
            </w:r>
          </w:p>
        </w:tc>
      </w:tr>
    </w:tbl>
    <w:p>
      <w:pPr>
        <w:spacing w:after="130" w:line="268"/>
        <w:jc w:val="left"/>
      </w:pPr>
      <w:r>
        <w:rPr>
          <w:rFonts w:ascii="Calibri" w:cs="Calibri" w:eastAsia="Calibri" w:hAnsi="Calibri"/>
          <w:b w:val="false"/>
          <w:bCs w:val="false"/>
          <w:i w:val="false"/>
          <w:iCs w:val="false"/>
          <w:color w:val="1F2937"/>
          <w:sz w:val="21"/>
          <w:szCs w:val="21"/>
        </w:rPr>
        <w:t xml:space="preserve">Break-even in Year 2. Peak funding need approximately 1.8M ETB (~$11,250). The cost is speed: with one salesperson, only a handful of government tenders can be pursued, and competitors entering later face a less entrenched incumbent.</w:t>
      </w:r>
    </w:p>
    <w:p>
      <w:pPr>
        <w:pStyle w:val="Heading2"/>
        <w:spacing w:after="140" w:before="300"/>
      </w:pPr>
      <w:r>
        <w:rPr>
          <w:rFonts w:ascii="Calibri" w:cs="Calibri" w:eastAsia="Calibri" w:hAnsi="Calibri"/>
          <w:b/>
          <w:bCs/>
          <w:i w:val="false"/>
          <w:iCs w:val="false"/>
          <w:color w:val="0D9488"/>
          <w:sz w:val="24"/>
          <w:szCs w:val="24"/>
        </w:rPr>
        <w:t xml:space="preserve">8.2  Scenario B — Base (recommended)</w:t>
      </w:r>
    </w:p>
    <w:p>
      <w:pPr>
        <w:spacing w:after="130" w:line="268"/>
        <w:jc w:val="left"/>
      </w:pPr>
      <w:r>
        <w:rPr>
          <w:rFonts w:ascii="Calibri" w:cs="Calibri" w:eastAsia="Calibri" w:hAnsi="Calibri"/>
          <w:b w:val="false"/>
          <w:bCs w:val="false"/>
          <w:i w:val="false"/>
          <w:iCs w:val="false"/>
          <w:color w:val="1F2937"/>
          <w:sz w:val="21"/>
          <w:szCs w:val="21"/>
        </w:rPr>
        <w:t xml:space="preserve">Five staff, own office, active tender pursuit, marketing across all three wedges.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1</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2</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3</w:t>
            </w:r>
          </w:p>
        </w:tc>
      </w:tr>
      <w:tr>
        <w:tc>
          <w:tcPr>
            <w:tcW w:type="dxa" w:w="2400"/>
          </w:tcPr>
          <w:p>
            <w:pPr>
              <w:spacing w:after="40" w:before="40"/>
            </w:pPr>
            <w:r>
              <w:rPr>
                <w:rFonts w:ascii="Calibri" w:cs="Calibri" w:eastAsia="Calibri" w:hAnsi="Calibri"/>
                <w:b/>
                <w:bCs/>
                <w:i w:val="false"/>
                <w:iCs w:val="false"/>
                <w:color w:val="1F2937"/>
                <w:sz w:val="19"/>
                <w:szCs w:val="19"/>
              </w:rPr>
              <w:t xml:space="preserve">Customers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52</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126</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245</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Government contracts</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10</w:t>
            </w:r>
          </w:p>
        </w:tc>
      </w:tr>
      <w:tr>
        <w:tc>
          <w:tcPr>
            <w:tcW w:type="dxa" w:w="2400"/>
          </w:tcPr>
          <w:p>
            <w:pPr>
              <w:spacing w:after="40" w:before="40"/>
            </w:pPr>
            <w:r>
              <w:rPr>
                <w:rFonts w:ascii="Calibri" w:cs="Calibri" w:eastAsia="Calibri" w:hAnsi="Calibri"/>
                <w:b/>
                <w:bCs/>
                <w:i w:val="false"/>
                <w:iCs w:val="false"/>
                <w:color w:val="1F2937"/>
                <w:sz w:val="19"/>
                <w:szCs w:val="19"/>
              </w:rPr>
              <w:t xml:space="preserve">Revenue (ETB)</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4,120,000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12,450,000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27,400,000</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Costs (ETB)</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6,980,000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9,200,000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14,100,000</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Net (ETB)</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−2,860,000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+3,250,000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+13,300,000</w:t>
            </w:r>
          </w:p>
        </w:tc>
      </w:tr>
    </w:tbl>
    <w:p>
      <w:pPr>
        <w:spacing w:after="130" w:line="268"/>
        <w:jc w:val="left"/>
      </w:pPr>
      <w:r>
        <w:rPr>
          <w:rFonts w:ascii="Calibri" w:cs="Calibri" w:eastAsia="Calibri" w:hAnsi="Calibri"/>
          <w:b w:val="false"/>
          <w:bCs w:val="false"/>
          <w:i w:val="false"/>
          <w:iCs w:val="false"/>
          <w:color w:val="1F2937"/>
          <w:sz w:val="21"/>
          <w:szCs w:val="21"/>
        </w:rPr>
        <w:t xml:space="preserve">Break-even during Year 2. Peak cumulative funding need approximately 3.5M ETB (~$22,000), including working capital for the lag between government contract signature and payment. Year 3 net margin approaches 49%.</w:t>
      </w:r>
    </w:p>
    <w:p>
      <w:pPr>
        <w:pStyle w:val="Heading2"/>
        <w:spacing w:after="140" w:before="300"/>
      </w:pPr>
      <w:r>
        <w:rPr>
          <w:rFonts w:ascii="Calibri" w:cs="Calibri" w:eastAsia="Calibri" w:hAnsi="Calibri"/>
          <w:b/>
          <w:bCs/>
          <w:i w:val="false"/>
          <w:iCs w:val="false"/>
          <w:color w:val="0D9488"/>
          <w:sz w:val="24"/>
          <w:szCs w:val="24"/>
        </w:rPr>
        <w:t xml:space="preserve">8.3  Scenario C — Growth</w:t>
      </w:r>
    </w:p>
    <w:p>
      <w:pPr>
        <w:spacing w:after="130" w:line="268"/>
        <w:jc w:val="left"/>
      </w:pPr>
      <w:r>
        <w:rPr>
          <w:rFonts w:ascii="Calibri" w:cs="Calibri" w:eastAsia="Calibri" w:hAnsi="Calibri"/>
          <w:b w:val="false"/>
          <w:bCs w:val="false"/>
          <w:i w:val="false"/>
          <w:iCs w:val="false"/>
          <w:color w:val="1F2937"/>
          <w:sz w:val="21"/>
          <w:szCs w:val="21"/>
        </w:rPr>
        <w:t xml:space="preserve">Ten staff including a dedicated implementation team, regional presence, partner programme, early East Africa exploration.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320"/>
        <w:gridCol w:w="2320"/>
        <w:gridCol w:w="232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1</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2</w:t>
            </w:r>
          </w:p>
        </w:tc>
        <w:tc>
          <w:tcPr>
            <w:tcW w:type="dxa" w:w="2320"/>
            <w:shd w:fill="1B3A6B" w:color="auto" w:val="clear"/>
          </w:tcPr>
          <w:p>
            <w:pPr>
              <w:spacing w:after="50" w:before="50"/>
            </w:pPr>
            <w:r>
              <w:rPr>
                <w:rFonts w:ascii="Calibri" w:cs="Calibri" w:eastAsia="Calibri" w:hAnsi="Calibri"/>
                <w:b/>
                <w:bCs/>
                <w:i w:val="false"/>
                <w:iCs w:val="false"/>
                <w:color w:val="FFFFFF"/>
                <w:sz w:val="19"/>
                <w:szCs w:val="19"/>
              </w:rPr>
              <w:t xml:space="preserve">Year 3</w:t>
            </w:r>
          </w:p>
        </w:tc>
      </w:tr>
      <w:tr>
        <w:tc>
          <w:tcPr>
            <w:tcW w:type="dxa" w:w="2400"/>
          </w:tcPr>
          <w:p>
            <w:pPr>
              <w:spacing w:after="40" w:before="40"/>
            </w:pPr>
            <w:r>
              <w:rPr>
                <w:rFonts w:ascii="Calibri" w:cs="Calibri" w:eastAsia="Calibri" w:hAnsi="Calibri"/>
                <w:b/>
                <w:bCs/>
                <w:i w:val="false"/>
                <w:iCs w:val="false"/>
                <w:color w:val="1F2937"/>
                <w:sz w:val="19"/>
                <w:szCs w:val="19"/>
              </w:rPr>
              <w:t xml:space="preserve">Customers</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78</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210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430</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Revenue (ETB)</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6,300,000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20,100,000</w:t>
            </w:r>
          </w:p>
        </w:tc>
        <w:tc>
          <w:tcPr>
            <w:tcW w:type="dxa" w:w="232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46,500,000</w:t>
            </w:r>
          </w:p>
        </w:tc>
      </w:tr>
      <w:tr>
        <w:tc>
          <w:tcPr>
            <w:tcW w:type="dxa" w:w="2400"/>
          </w:tcPr>
          <w:p>
            <w:pPr>
              <w:spacing w:after="40" w:before="40"/>
            </w:pPr>
            <w:r>
              <w:rPr>
                <w:rFonts w:ascii="Calibri" w:cs="Calibri" w:eastAsia="Calibri" w:hAnsi="Calibri"/>
                <w:b/>
                <w:bCs/>
                <w:i w:val="false"/>
                <w:iCs w:val="false"/>
                <w:color w:val="1F2937"/>
                <w:sz w:val="19"/>
                <w:szCs w:val="19"/>
              </w:rPr>
              <w:t xml:space="preserve">Costs (ETB)</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11,400,000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16,800,000</w:t>
            </w:r>
          </w:p>
        </w:tc>
        <w:tc>
          <w:tcPr>
            <w:tcW w:type="dxa" w:w="2320"/>
          </w:tcPr>
          <w:p>
            <w:pPr>
              <w:spacing w:after="40" w:before="40"/>
            </w:pPr>
            <w:r>
              <w:rPr>
                <w:rFonts w:ascii="Calibri" w:cs="Calibri" w:eastAsia="Calibri" w:hAnsi="Calibri"/>
                <w:b w:val="false"/>
                <w:bCs w:val="false"/>
                <w:i w:val="false"/>
                <w:iCs w:val="false"/>
                <w:color w:val="1F2937"/>
                <w:sz w:val="19"/>
                <w:szCs w:val="19"/>
              </w:rPr>
              <w:t xml:space="preserve">25,900,000</w:t>
            </w:r>
          </w:p>
        </w:tc>
      </w:tr>
      <w:tr>
        <w:tc>
          <w:tcPr>
            <w:tcW w:type="dxa" w:w="2400"/>
            <w:shd w:fill="E0F2FE" w:color="auto" w:val="clear"/>
          </w:tcPr>
          <w:p>
            <w:pPr>
              <w:spacing w:after="40" w:before="40"/>
            </w:pPr>
            <w:r>
              <w:rPr>
                <w:rFonts w:ascii="Calibri" w:cs="Calibri" w:eastAsia="Calibri" w:hAnsi="Calibri"/>
                <w:b/>
                <w:bCs/>
                <w:i w:val="false"/>
                <w:iCs w:val="false"/>
                <w:color w:val="1B3A6B"/>
                <w:sz w:val="19"/>
                <w:szCs w:val="19"/>
              </w:rPr>
              <w:t xml:space="preserve">Net (ETB)</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−5,100,000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+3,300,000</w:t>
            </w:r>
          </w:p>
        </w:tc>
        <w:tc>
          <w:tcPr>
            <w:tcW w:type="dxa" w:w="2320"/>
            <w:shd w:fill="E0F2FE" w:color="auto" w:val="clear"/>
          </w:tcPr>
          <w:p>
            <w:pPr>
              <w:spacing w:after="40" w:before="40"/>
            </w:pPr>
            <w:r>
              <w:rPr>
                <w:rFonts w:ascii="Calibri" w:cs="Calibri" w:eastAsia="Calibri" w:hAnsi="Calibri"/>
                <w:b/>
                <w:bCs/>
                <w:i w:val="false"/>
                <w:iCs w:val="false"/>
                <w:color w:val="1B3A6B"/>
                <w:sz w:val="19"/>
                <w:szCs w:val="19"/>
              </w:rPr>
              <w:t xml:space="preserve">+20,600,000</w:t>
            </w:r>
          </w:p>
        </w:tc>
      </w:tr>
    </w:tbl>
    <w:p>
      <w:pPr>
        <w:spacing w:after="130" w:line="268"/>
        <w:jc w:val="left"/>
      </w:pPr>
      <w:r>
        <w:rPr>
          <w:rFonts w:ascii="Calibri" w:cs="Calibri" w:eastAsia="Calibri" w:hAnsi="Calibri"/>
          <w:b w:val="false"/>
          <w:bCs w:val="false"/>
          <w:i w:val="false"/>
          <w:iCs w:val="false"/>
          <w:color w:val="1F2937"/>
          <w:sz w:val="21"/>
          <w:szCs w:val="21"/>
        </w:rPr>
        <w:t xml:space="preserve">Requires roughly 6.5M ETB (~$40,600) of external capital and assumes hiring 10 capable people into a thin Addis Ababa talent market inside twelve months. The revenue upside is real; the execution risk is that a young company scales headcount ahead of its ability to manage it, and the government cycle does not accelerate to match the burn.</w:t>
      </w:r>
    </w:p>
    <w:p>
      <w:pPr>
        <w:pStyle w:val="Heading2"/>
        <w:spacing w:after="140" w:before="300"/>
      </w:pPr>
      <w:r>
        <w:rPr>
          <w:rFonts w:ascii="Calibri" w:cs="Calibri" w:eastAsia="Calibri" w:hAnsi="Calibri"/>
          <w:b/>
          <w:bCs/>
          <w:i w:val="false"/>
          <w:iCs w:val="false"/>
          <w:color w:val="0D9488"/>
          <w:sz w:val="24"/>
          <w:szCs w:val="24"/>
        </w:rPr>
        <w:t xml:space="preserve">8.4  Recommendation</w:t>
      </w:r>
    </w:p>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Recommended: Scenario B, with two modifications  </w:t>
      </w:r>
      <w:r>
        <w:rPr>
          <w:rFonts w:ascii="Calibri" w:cs="Calibri" w:eastAsia="Calibri" w:hAnsi="Calibri"/>
          <w:b w:val="false"/>
          <w:bCs w:val="false"/>
          <w:i w:val="false"/>
          <w:iCs w:val="false"/>
          <w:color w:val="1F2937"/>
          <w:sz w:val="19"/>
          <w:szCs w:val="19"/>
        </w:rPr>
        <w:t xml:space="preserve">Start in co-working for the first two quarters and move to the office once the first government contract is signed — this defers roughly 300,000 ETB to the point where it is justified by a signed reference. Second, hire the customer success role only when live customers reach fifteen; before that, the engineering and operations staff can absorb the support load, and the salary is better spent on tender pursuit.</w:t>
      </w:r>
    </w:p>
    <w:p>
      <w:pPr>
        <w:spacing w:after="130" w:line="268"/>
        <w:jc w:val="left"/>
      </w:pPr>
      <w:r>
        <w:rPr>
          <w:rFonts w:ascii="Calibri" w:cs="Calibri" w:eastAsia="Calibri" w:hAnsi="Calibri"/>
          <w:b w:val="false"/>
          <w:bCs w:val="false"/>
          <w:i w:val="false"/>
          <w:iCs w:val="false"/>
          <w:color w:val="1F2937"/>
          <w:sz w:val="21"/>
          <w:szCs w:val="21"/>
        </w:rPr>
        <w:t xml:space="preserve">Scenario B is recommended over Lean because the government segment rewards presence, and a single salesperson cannot pursue enough tenders to make the segment pay. It is recommended over Growth because Growth requires external capital that would be raised against unproven Ethiopian SaaS revenue — the same money is cheaper to raise in eighteen months against a book of signed ministry contracts.</w:t>
      </w:r>
    </w:p>
    <w:p>
      <w:r>
        <w:br w:type="page"/>
      </w:r>
    </w:p>
    <w:p>
      <w:pPr>
        <w:pStyle w:val="Heading1"/>
        <w:spacing w:after="180" w:before="380"/>
      </w:pPr>
      <w:r>
        <w:rPr>
          <w:rFonts w:ascii="Calibri" w:cs="Calibri" w:eastAsia="Calibri" w:hAnsi="Calibri"/>
          <w:b/>
          <w:bCs/>
          <w:i w:val="false"/>
          <w:iCs w:val="false"/>
          <w:color w:val="1B3A6B"/>
          <w:sz w:val="28"/>
          <w:szCs w:val="28"/>
        </w:rPr>
        <w:t xml:space="preserve">9. Risks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200"/>
        <w:gridCol w:w="1200"/>
        <w:gridCol w:w="4560"/>
      </w:tblGrid>
      <w:tr>
        <w:trPr>
          <w:tblHeader/>
        </w:trPr>
        <w:tc>
          <w:tcPr>
            <w:tcW w:type="dxa" w:w="2400"/>
            <w:shd w:fill="1B3A6B" w:color="auto" w:val="clear"/>
          </w:tcPr>
          <w:p>
            <w:pPr>
              <w:spacing w:after="50" w:before="50"/>
            </w:pPr>
            <w:r>
              <w:rPr>
                <w:rFonts w:ascii="Calibri" w:cs="Calibri" w:eastAsia="Calibri" w:hAnsi="Calibri"/>
                <w:b/>
                <w:bCs/>
                <w:i w:val="false"/>
                <w:iCs w:val="false"/>
                <w:color w:val="FFFFFF"/>
                <w:sz w:val="19"/>
                <w:szCs w:val="19"/>
              </w:rPr>
              <w:t xml:space="preserve">Risk</w:t>
            </w:r>
          </w:p>
        </w:tc>
        <w:tc>
          <w:tcPr>
            <w:tcW w:type="dxa" w:w="1200"/>
            <w:shd w:fill="1B3A6B" w:color="auto" w:val="clear"/>
          </w:tcPr>
          <w:p>
            <w:pPr>
              <w:spacing w:after="50" w:before="50"/>
            </w:pPr>
            <w:r>
              <w:rPr>
                <w:rFonts w:ascii="Calibri" w:cs="Calibri" w:eastAsia="Calibri" w:hAnsi="Calibri"/>
                <w:b/>
                <w:bCs/>
                <w:i w:val="false"/>
                <w:iCs w:val="false"/>
                <w:color w:val="FFFFFF"/>
                <w:sz w:val="19"/>
                <w:szCs w:val="19"/>
              </w:rPr>
              <w:t xml:space="preserve">Likelihood</w:t>
            </w:r>
          </w:p>
        </w:tc>
        <w:tc>
          <w:tcPr>
            <w:tcW w:type="dxa" w:w="1200"/>
            <w:shd w:fill="1B3A6B" w:color="auto" w:val="clear"/>
          </w:tcPr>
          <w:p>
            <w:pPr>
              <w:spacing w:after="50" w:before="50"/>
            </w:pPr>
            <w:r>
              <w:rPr>
                <w:rFonts w:ascii="Calibri" w:cs="Calibri" w:eastAsia="Calibri" w:hAnsi="Calibri"/>
                <w:b/>
                <w:bCs/>
                <w:i w:val="false"/>
                <w:iCs w:val="false"/>
                <w:color w:val="FFFFFF"/>
                <w:sz w:val="19"/>
                <w:szCs w:val="19"/>
              </w:rPr>
              <w:t xml:space="preserve">Impact</w:t>
            </w:r>
          </w:p>
        </w:tc>
        <w:tc>
          <w:tcPr>
            <w:tcW w:type="dxa" w:w="4560"/>
            <w:shd w:fill="1B3A6B" w:color="auto" w:val="clear"/>
          </w:tcPr>
          <w:p>
            <w:pPr>
              <w:spacing w:after="50" w:before="50"/>
            </w:pPr>
            <w:r>
              <w:rPr>
                <w:rFonts w:ascii="Calibri" w:cs="Calibri" w:eastAsia="Calibri" w:hAnsi="Calibri"/>
                <w:b/>
                <w:bCs/>
                <w:i w:val="false"/>
                <w:iCs w:val="false"/>
                <w:color w:val="FFFFFF"/>
                <w:sz w:val="19"/>
                <w:szCs w:val="19"/>
              </w:rPr>
              <w:t xml:space="preserve">Mitigation</w:t>
            </w:r>
          </w:p>
        </w:tc>
      </w:tr>
      <w:tr>
        <w:tc>
          <w:tcPr>
            <w:tcW w:type="dxa" w:w="2400"/>
          </w:tcPr>
          <w:p>
            <w:pPr>
              <w:spacing w:after="40" w:before="40"/>
            </w:pPr>
            <w:r>
              <w:rPr>
                <w:rFonts w:ascii="Calibri" w:cs="Calibri" w:eastAsia="Calibri" w:hAnsi="Calibri"/>
                <w:b/>
                <w:bCs/>
                <w:i w:val="false"/>
                <w:iCs w:val="false"/>
                <w:color w:val="1F2937"/>
                <w:sz w:val="19"/>
                <w:szCs w:val="19"/>
              </w:rPr>
              <w:t xml:space="preserve">INSA certification lapses before tenders close</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Severe</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Begin renewal immediately; treat as a standing calendar obligation with budget attached, not a project</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Birr devaluation erodes ETB-denominated margin</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Annual repricing clause in every multi-year contract; hold USD pricing for cross-border NGOs; review the 160 ETB/USD assumption quarterly</w:t>
            </w:r>
          </w:p>
        </w:tc>
      </w:tr>
      <w:tr>
        <w:tc>
          <w:tcPr>
            <w:tcW w:type="dxa" w:w="2400"/>
          </w:tcPr>
          <w:p>
            <w:pPr>
              <w:spacing w:after="40" w:before="40"/>
            </w:pPr>
            <w:r>
              <w:rPr>
                <w:rFonts w:ascii="Calibri" w:cs="Calibri" w:eastAsia="Calibri" w:hAnsi="Calibri"/>
                <w:b/>
                <w:bCs/>
                <w:i w:val="false"/>
                <w:iCs w:val="false"/>
                <w:color w:val="1F2937"/>
                <w:sz w:val="19"/>
                <w:szCs w:val="19"/>
              </w:rPr>
              <w:t xml:space="preserve">Government payment delays</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Working capital reserve; milestone-based invoicing; never let public-sector receivables exceed a quarter of cash</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Tender losses consume budget with no revenue</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Qualify hard before bidding; walk away from tenders written around a competitor's specification</w:t>
            </w:r>
          </w:p>
        </w:tc>
      </w:tr>
      <w:tr>
        <w:tc>
          <w:tcPr>
            <w:tcW w:type="dxa" w:w="2400"/>
          </w:tcPr>
          <w:p>
            <w:pPr>
              <w:spacing w:after="40" w:before="40"/>
            </w:pPr>
            <w:r>
              <w:rPr>
                <w:rFonts w:ascii="Calibri" w:cs="Calibri" w:eastAsia="Calibri" w:hAnsi="Calibri"/>
                <w:b/>
                <w:bCs/>
                <w:i w:val="false"/>
                <w:iCs w:val="false"/>
                <w:color w:val="1F2937"/>
                <w:sz w:val="19"/>
                <w:szCs w:val="19"/>
              </w:rPr>
              <w:t xml:space="preserve">Key-person dependency on founder</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Severe</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Document deployment and architecture; the current runbook depends on one person being reachable</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Talent scarcity in Addis Ababa</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Hire ahead of need for engineering; consider remote Ethiopian diaspora for senior roles</w:t>
            </w:r>
          </w:p>
        </w:tc>
      </w:tr>
      <w:tr>
        <w:tc>
          <w:tcPr>
            <w:tcW w:type="dxa" w:w="2400"/>
          </w:tcPr>
          <w:p>
            <w:pPr>
              <w:spacing w:after="40" w:before="40"/>
            </w:pPr>
            <w:r>
              <w:rPr>
                <w:rFonts w:ascii="Calibri" w:cs="Calibri" w:eastAsia="Calibri" w:hAnsi="Calibri"/>
                <w:b/>
                <w:bCs/>
                <w:i w:val="false"/>
                <w:iCs w:val="false"/>
                <w:color w:val="1F2937"/>
                <w:sz w:val="19"/>
                <w:szCs w:val="19"/>
              </w:rPr>
              <w:t xml:space="preserve">Global vendor localises into Amharic</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Low</w:t>
            </w:r>
          </w:p>
        </w:tc>
        <w:tc>
          <w:tcPr>
            <w:tcW w:type="dxa" w:w="1200"/>
          </w:tcPr>
          <w:p>
            <w:pPr>
              <w:spacing w:after="40" w:before="40"/>
            </w:pPr>
            <w:r>
              <w:rPr>
                <w:rFonts w:ascii="Calibri" w:cs="Calibri" w:eastAsia="Calibri" w:hAnsi="Calibri"/>
                <w:b w:val="false"/>
                <w:bCs w:val="false"/>
                <w:i w:val="false"/>
                <w:iCs w:val="false"/>
                <w:color w:val="1F2937"/>
                <w:sz w:val="19"/>
                <w:szCs w:val="19"/>
              </w:rPr>
              <w:t xml:space="preserve">High</w:t>
            </w:r>
          </w:p>
        </w:tc>
        <w:tc>
          <w:tcPr>
            <w:tcW w:type="dxa" w:w="4560"/>
          </w:tcPr>
          <w:p>
            <w:pPr>
              <w:spacing w:after="40" w:before="40"/>
            </w:pPr>
            <w:r>
              <w:rPr>
                <w:rFonts w:ascii="Calibri" w:cs="Calibri" w:eastAsia="Calibri" w:hAnsi="Calibri"/>
                <w:b w:val="false"/>
                <w:bCs w:val="false"/>
                <w:i w:val="false"/>
                <w:iCs w:val="false"/>
                <w:color w:val="1F2937"/>
                <w:sz w:val="19"/>
                <w:szCs w:val="19"/>
              </w:rPr>
              <w:t xml:space="preserve">Unlikely near-term given market size — but sovereignty and INSA certification remain defensible even if it happens</w:t>
            </w:r>
          </w:p>
        </w:tc>
      </w:tr>
      <w:tr>
        <w:tc>
          <w:tcPr>
            <w:tcW w:type="dxa" w:w="2400"/>
            <w:shd w:fill="F8FAFC" w:color="auto" w:val="clear"/>
          </w:tcPr>
          <w:p>
            <w:pPr>
              <w:spacing w:after="40" w:before="40"/>
            </w:pPr>
            <w:r>
              <w:rPr>
                <w:rFonts w:ascii="Calibri" w:cs="Calibri" w:eastAsia="Calibri" w:hAnsi="Calibri"/>
                <w:b/>
                <w:bCs/>
                <w:i w:val="false"/>
                <w:iCs w:val="false"/>
                <w:color w:val="1F2937"/>
                <w:sz w:val="19"/>
                <w:szCs w:val="19"/>
              </w:rPr>
              <w:t xml:space="preserve">Support load exceeds plan on self-serve tiers</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120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Medium</w:t>
            </w:r>
          </w:p>
        </w:tc>
        <w:tc>
          <w:tcPr>
            <w:tcW w:type="dxa" w:w="4560"/>
            <w:shd w:fill="F8FAFC" w:color="auto" w:val="clear"/>
          </w:tcPr>
          <w:p>
            <w:pPr>
              <w:spacing w:after="40" w:before="40"/>
            </w:pPr>
            <w:r>
              <w:rPr>
                <w:rFonts w:ascii="Calibri" w:cs="Calibri" w:eastAsia="Calibri" w:hAnsi="Calibri"/>
                <w:b w:val="false"/>
                <w:bCs w:val="false"/>
                <w:i w:val="false"/>
                <w:iCs w:val="false"/>
                <w:color w:val="1F2937"/>
                <w:sz w:val="19"/>
                <w:szCs w:val="19"/>
              </w:rPr>
              <w:t xml:space="preserve">Enforce the product-led design commitments; meter support and reprice Starter if the assumption breaks</w:t>
            </w:r>
          </w:p>
        </w:tc>
      </w:tr>
    </w:tbl>
    <w:p>
      <w:pPr>
        <w:pBdr>
          <w:top w:val="single" w:color="B91C1C" w:sz="1"/>
          <w:bottom w:val="single" w:color="B91C1C" w:sz="1"/>
          <w:left w:val="single" w:color="B91C1C" w:sz="8"/>
          <w:right w:val="single" w:color="B91C1C" w:sz="1"/>
        </w:pBdr>
        <w:shd w:fill="FEE2E2" w:color="auto" w:val="clear"/>
        <w:spacing w:after="150" w:before="150" w:line="268"/>
        <w:ind w:left="170" w:right="170"/>
      </w:pPr>
      <w:r>
        <w:rPr>
          <w:rFonts w:ascii="Calibri" w:cs="Calibri" w:eastAsia="Calibri" w:hAnsi="Calibri"/>
          <w:b/>
          <w:bCs/>
          <w:i w:val="false"/>
          <w:iCs w:val="false"/>
          <w:color w:val="B91C1C"/>
          <w:sz w:val="19"/>
          <w:szCs w:val="19"/>
        </w:rPr>
        <w:t xml:space="preserve">The risk that deserves separate attention  </w:t>
      </w:r>
      <w:r>
        <w:rPr>
          <w:rFonts w:ascii="Calibri" w:cs="Calibri" w:eastAsia="Calibri" w:hAnsi="Calibri"/>
          <w:b w:val="false"/>
          <w:bCs w:val="false"/>
          <w:i w:val="false"/>
          <w:iCs w:val="false"/>
          <w:color w:val="1F2937"/>
          <w:sz w:val="19"/>
          <w:szCs w:val="19"/>
        </w:rPr>
        <w:t xml:space="preserve">Key-person dependency is rated severe because it is currently unmitigated and compounds every other risk. If the founder is unavailable during a tender evaluation or a production incident on sovereign infrastructure, there is presently no second person who can respond. Documentation and a trained backup are worth more to the company's valuation than the next feature.</w:t>
      </w:r>
    </w:p>
    <w:p>
      <w:r>
        <w:br w:type="page"/>
      </w:r>
    </w:p>
    <w:p>
      <w:pPr>
        <w:pStyle w:val="Heading1"/>
        <w:spacing w:after="180" w:before="380"/>
      </w:pPr>
      <w:r>
        <w:rPr>
          <w:rFonts w:ascii="Calibri" w:cs="Calibri" w:eastAsia="Calibri" w:hAnsi="Calibri"/>
          <w:b/>
          <w:bCs/>
          <w:i w:val="false"/>
          <w:iCs w:val="false"/>
          <w:color w:val="1B3A6B"/>
          <w:sz w:val="28"/>
          <w:szCs w:val="28"/>
        </w:rPr>
        <w:t xml:space="preserve">10. Twelve-Month Action Plan</w:t>
      </w:r>
    </w:p>
    <w:p>
      <w:pPr>
        <w:pStyle w:val="Heading3"/>
        <w:spacing w:after="110" w:before="240"/>
      </w:pPr>
      <w:r>
        <w:rPr>
          <w:rFonts w:ascii="Calibri" w:cs="Calibri" w:eastAsia="Calibri" w:hAnsi="Calibri"/>
          <w:b/>
          <w:bCs/>
          <w:i w:val="false"/>
          <w:iCs w:val="false"/>
          <w:color w:val="1F2937"/>
          <w:sz w:val="22"/>
          <w:szCs w:val="22"/>
        </w:rPr>
        <w:t xml:space="preserve">Immediate — next 30 days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Open INSA recertification. </w:t>
      </w:r>
      <w:r>
        <w:rPr>
          <w:rFonts w:ascii="Calibri" w:cs="Calibri" w:eastAsia="Calibri" w:hAnsi="Calibri"/>
          <w:b w:val="false"/>
          <w:bCs w:val="false"/>
          <w:i w:val="false"/>
          <w:iCs w:val="false"/>
          <w:color w:val="1F2937"/>
          <w:sz w:val="21"/>
          <w:szCs w:val="21"/>
        </w:rPr>
        <w:t xml:space="preserve">Confirm the process, cost, and lead time. This gates the entire government segment.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Extend the billing schema. </w:t>
      </w:r>
      <w:r>
        <w:rPr>
          <w:rFonts w:ascii="Calibri" w:cs="Calibri" w:eastAsia="Calibri" w:hAnsi="Calibri"/>
          <w:b w:val="false"/>
          <w:bCs w:val="false"/>
          <w:i w:val="false"/>
          <w:iCs w:val="false"/>
          <w:color w:val="1F2937"/>
          <w:sz w:val="21"/>
          <w:szCs w:val="21"/>
        </w:rPr>
        <w:t xml:space="preserve">Add Business, Regional, and Government plans so the pricing model can actually be invoiced.</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Correct the two overstated capability claims </w:t>
      </w:r>
      <w:r>
        <w:rPr>
          <w:rFonts w:ascii="Calibri" w:cs="Calibri" w:eastAsia="Calibri" w:hAnsi="Calibri"/>
          <w:b w:val="false"/>
          <w:bCs w:val="false"/>
          <w:i w:val="false"/>
          <w:iCs w:val="false"/>
          <w:color w:val="1F2937"/>
          <w:sz w:val="21"/>
          <w:szCs w:val="21"/>
        </w:rPr>
        <w:t xml:space="preserve">before any external use of the competitive tables.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Complete the Ethio Telecom provisioning </w:t>
      </w:r>
      <w:r>
        <w:rPr>
          <w:rFonts w:ascii="Calibri" w:cs="Calibri" w:eastAsia="Calibri" w:hAnsi="Calibri"/>
          <w:b w:val="false"/>
          <w:bCs w:val="false"/>
          <w:i w:val="false"/>
          <w:iCs w:val="false"/>
          <w:color w:val="1F2937"/>
          <w:sz w:val="21"/>
          <w:szCs w:val="21"/>
        </w:rPr>
        <w:t xml:space="preserve">and stand up the sovereign production environment.</w:t>
      </w:r>
    </w:p>
    <w:p>
      <w:pPr>
        <w:pStyle w:val="Heading3"/>
        <w:spacing w:after="110" w:before="240"/>
      </w:pPr>
      <w:r>
        <w:rPr>
          <w:rFonts w:ascii="Calibri" w:cs="Calibri" w:eastAsia="Calibri" w:hAnsi="Calibri"/>
          <w:b/>
          <w:bCs/>
          <w:i w:val="false"/>
          <w:iCs w:val="false"/>
          <w:color w:val="1F2937"/>
          <w:sz w:val="22"/>
          <w:szCs w:val="22"/>
        </w:rPr>
        <w:t xml:space="preserve">Quarter 1</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Close three NGO reference customers </w:t>
      </w:r>
      <w:r>
        <w:rPr>
          <w:rFonts w:ascii="Calibri" w:cs="Calibri" w:eastAsia="Calibri" w:hAnsi="Calibri"/>
          <w:b w:val="false"/>
          <w:bCs w:val="false"/>
          <w:i w:val="false"/>
          <w:iCs w:val="false"/>
          <w:color w:val="1F2937"/>
          <w:sz w:val="21"/>
          <w:szCs w:val="21"/>
        </w:rPr>
        <w:t xml:space="preserve">at Business tier — revenue, references, and testable onboarding in one motion.</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Build the Tigrinya and Somali regional pitch </w:t>
      </w:r>
      <w:r>
        <w:rPr>
          <w:rFonts w:ascii="Calibri" w:cs="Calibri" w:eastAsia="Calibri" w:hAnsi="Calibri"/>
          <w:b w:val="false"/>
          <w:bCs w:val="false"/>
          <w:i w:val="false"/>
          <w:iCs w:val="false"/>
          <w:color w:val="1F2937"/>
          <w:sz w:val="21"/>
          <w:szCs w:val="21"/>
        </w:rPr>
        <w:t xml:space="preserve">and approach two regional bureaus. No competitor can answer it.</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Upgrade the AI model </w:t>
      </w:r>
      <w:r>
        <w:rPr>
          <w:rFonts w:ascii="Calibri" w:cs="Calibri" w:eastAsia="Calibri" w:hAnsi="Calibri"/>
          <w:b w:val="false"/>
          <w:bCs w:val="false"/>
          <w:i w:val="false"/>
          <w:iCs w:val="false"/>
          <w:color w:val="1F2937"/>
          <w:sz w:val="21"/>
          <w:szCs w:val="21"/>
        </w:rPr>
        <w:t xml:space="preserve">and measure extraction accuracy on real Amharic documents.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Publish the rate card internally </w:t>
      </w:r>
      <w:r>
        <w:rPr>
          <w:rFonts w:ascii="Calibri" w:cs="Calibri" w:eastAsia="Calibri" w:hAnsi="Calibri"/>
          <w:b w:val="false"/>
          <w:bCs w:val="false"/>
          <w:i w:val="false"/>
          <w:iCs w:val="false"/>
          <w:color w:val="1F2937"/>
          <w:sz w:val="21"/>
          <w:szCs w:val="21"/>
        </w:rPr>
        <w:t xml:space="preserve">with the government floors, and brief sales never to bid beneath them.</w:t>
      </w:r>
    </w:p>
    <w:p>
      <w:pPr>
        <w:pStyle w:val="Heading3"/>
        <w:spacing w:after="110" w:before="240"/>
      </w:pPr>
      <w:r>
        <w:rPr>
          <w:rFonts w:ascii="Calibri" w:cs="Calibri" w:eastAsia="Calibri" w:hAnsi="Calibri"/>
          <w:b/>
          <w:bCs/>
          <w:i w:val="false"/>
          <w:iCs w:val="false"/>
          <w:color w:val="1F2937"/>
          <w:sz w:val="22"/>
          <w:szCs w:val="22"/>
        </w:rPr>
        <w:t xml:space="preserve">Quarter 2</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Submit the first federal tenders, </w:t>
      </w:r>
      <w:r>
        <w:rPr>
          <w:rFonts w:ascii="Calibri" w:cs="Calibri" w:eastAsia="Calibri" w:hAnsi="Calibri"/>
          <w:b w:val="false"/>
          <w:bCs w:val="false"/>
          <w:i w:val="false"/>
          <w:iCs w:val="false"/>
          <w:color w:val="1F2937"/>
          <w:sz w:val="21"/>
          <w:szCs w:val="21"/>
        </w:rPr>
        <w:t xml:space="preserve">timed to the fiscal-year procurement window.</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Convert the delivery-model table into contract language </w:t>
      </w:r>
      <w:r>
        <w:rPr>
          <w:rFonts w:ascii="Calibri" w:cs="Calibri" w:eastAsia="Calibri" w:hAnsi="Calibri"/>
          <w:b w:val="false"/>
          <w:bCs w:val="false"/>
          <w:i w:val="false"/>
          <w:iCs w:val="false"/>
          <w:color w:val="1F2937"/>
          <w:sz w:val="21"/>
          <w:szCs w:val="21"/>
        </w:rPr>
        <w:t xml:space="preserve">— particularly SLA and data residency.</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Reach fifteen live customers </w:t>
      </w:r>
      <w:r>
        <w:rPr>
          <w:rFonts w:ascii="Calibri" w:cs="Calibri" w:eastAsia="Calibri" w:hAnsi="Calibri"/>
          <w:b w:val="false"/>
          <w:bCs w:val="false"/>
          <w:i w:val="false"/>
          <w:iCs w:val="false"/>
          <w:color w:val="1F2937"/>
          <w:sz w:val="21"/>
          <w:szCs w:val="21"/>
        </w:rPr>
        <w:t xml:space="preserve">and hire customer success.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Replace the estimates in this document </w:t>
      </w:r>
      <w:r>
        <w:rPr>
          <w:rFonts w:ascii="Calibri" w:cs="Calibri" w:eastAsia="Calibri" w:hAnsi="Calibri"/>
          <w:b w:val="false"/>
          <w:bCs w:val="false"/>
          <w:i w:val="false"/>
          <w:iCs w:val="false"/>
          <w:color w:val="1F2937"/>
          <w:sz w:val="21"/>
          <w:szCs w:val="21"/>
        </w:rPr>
        <w:t xml:space="preserve">with observed CAC, support load, and contract values.</w:t>
      </w:r>
    </w:p>
    <w:p>
      <w:pPr>
        <w:pStyle w:val="Heading3"/>
        <w:spacing w:after="110" w:before="240"/>
      </w:pPr>
      <w:r>
        <w:rPr>
          <w:rFonts w:ascii="Calibri" w:cs="Calibri" w:eastAsia="Calibri" w:hAnsi="Calibri"/>
          <w:b/>
          <w:bCs/>
          <w:i w:val="false"/>
          <w:iCs w:val="false"/>
          <w:color w:val="1F2937"/>
          <w:sz w:val="22"/>
          <w:szCs w:val="22"/>
        </w:rPr>
        <w:t xml:space="preserve">Quarters 3 and 4</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Sign the first government contract </w:t>
      </w:r>
      <w:r>
        <w:rPr>
          <w:rFonts w:ascii="Calibri" w:cs="Calibri" w:eastAsia="Calibri" w:hAnsi="Calibri"/>
          <w:b w:val="false"/>
          <w:bCs w:val="false"/>
          <w:i w:val="false"/>
          <w:iCs w:val="false"/>
          <w:color w:val="1F2937"/>
          <w:sz w:val="21"/>
          <w:szCs w:val="21"/>
        </w:rPr>
        <w:t xml:space="preserve">and move to permanent office premises.</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Reprice against real cost-to-serve data </w:t>
      </w:r>
      <w:r>
        <w:rPr>
          <w:rFonts w:ascii="Calibri" w:cs="Calibri" w:eastAsia="Calibri" w:hAnsi="Calibri"/>
          <w:b w:val="false"/>
          <w:bCs w:val="false"/>
          <w:i w:val="false"/>
          <w:iCs w:val="false"/>
          <w:color w:val="1F2937"/>
          <w:sz w:val="21"/>
          <w:szCs w:val="21"/>
        </w:rPr>
        <w:t xml:space="preserve">rather than the estimates modelled here.</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Assess East Africa entry </w:t>
      </w:r>
      <w:r>
        <w:rPr>
          <w:rFonts w:ascii="Calibri" w:cs="Calibri" w:eastAsia="Calibri" w:hAnsi="Calibri"/>
          <w:b w:val="false"/>
          <w:bCs w:val="false"/>
          <w:i w:val="false"/>
          <w:iCs w:val="false"/>
          <w:color w:val="1F2937"/>
          <w:sz w:val="21"/>
          <w:szCs w:val="21"/>
        </w:rPr>
        <w:t xml:space="preserve">only if Ethiopian ARR exceeds 10M ETB — the draft's Phase 2 is correct but must not begin before the home market is proven.</w:t>
      </w:r>
    </w:p>
    <w:p>
      <w:pPr>
        <w:pStyle w:val="ListParagraph"/>
        <w:numPr>
          <w:ilvl w:val="0"/>
          <w:numId w:val="1"/>
        </w:numPr>
        <w:spacing w:after="70" w:line="268"/>
      </w:pPr>
      <w:r>
        <w:rPr>
          <w:rFonts w:ascii="Calibri" w:cs="Calibri" w:eastAsia="Calibri" w:hAnsi="Calibri"/>
          <w:b/>
          <w:bCs/>
          <w:i w:val="false"/>
          <w:iCs w:val="false"/>
          <w:color w:val="1F2937"/>
          <w:sz w:val="21"/>
          <w:szCs w:val="21"/>
        </w:rPr>
        <w:t xml:space="preserve">Recruit a second senior engineer </w:t>
      </w:r>
      <w:r>
        <w:rPr>
          <w:rFonts w:ascii="Calibri" w:cs="Calibri" w:eastAsia="Calibri" w:hAnsi="Calibri"/>
          <w:b w:val="false"/>
          <w:bCs w:val="false"/>
          <w:i w:val="false"/>
          <w:iCs w:val="false"/>
          <w:color w:val="1F2937"/>
          <w:sz w:val="21"/>
          <w:szCs w:val="21"/>
        </w:rPr>
        <w:t xml:space="preserve">to retire the key-person risk.</w:t>
      </w:r>
    </w:p>
    <w:p>
      <w:pPr>
        <w:spacing w:after="240"/>
      </w:pPr>
    </w:p>
    <w:p>
      <w:pPr>
        <w:pBdr>
          <w:top w:val="single" w:color="0D9488" w:sz="1"/>
          <w:bottom w:val="single" w:color="0D9488" w:sz="1"/>
          <w:left w:val="single" w:color="0D9488" w:sz="8"/>
          <w:right w:val="single" w:color="0D9488" w:sz="1"/>
        </w:pBdr>
        <w:shd w:fill="F0FDFA" w:color="auto" w:val="clear"/>
        <w:spacing w:after="150" w:before="150" w:line="268"/>
        <w:ind w:left="170" w:right="170"/>
      </w:pPr>
      <w:r>
        <w:rPr>
          <w:rFonts w:ascii="Calibri" w:cs="Calibri" w:eastAsia="Calibri" w:hAnsi="Calibri"/>
          <w:b/>
          <w:bCs/>
          <w:i w:val="false"/>
          <w:iCs w:val="false"/>
          <w:color w:val="0D9488"/>
          <w:sz w:val="19"/>
          <w:szCs w:val="19"/>
        </w:rPr>
        <w:t xml:space="preserve">Closing assessment  </w:t>
      </w:r>
      <w:r>
        <w:rPr>
          <w:rFonts w:ascii="Calibri" w:cs="Calibri" w:eastAsia="Calibri" w:hAnsi="Calibri"/>
          <w:b w:val="false"/>
          <w:bCs w:val="false"/>
          <w:i w:val="false"/>
          <w:iCs w:val="false"/>
          <w:color w:val="1F2937"/>
          <w:sz w:val="19"/>
          <w:szCs w:val="19"/>
        </w:rPr>
        <w:t xml:space="preserve">Onekof is a stronger product than the draft describes and is aimed at a market that no competitor currently serves in the customer's own language, on infrastructure the customer's regulator accepts. The commercial risk is not that the product is inadequate — it is that a certification with five months of validity remaining sits in front of a segment with an eighteen-month sales cycle. Everything else in this plan can absorb a delay. That cannot.</w:t>
      </w:r>
    </w:p>
    <w:p>
      <w:pPr>
        <w:spacing w:after="200"/>
      </w:pPr>
    </w:p>
    <w:p>
      <w:pPr>
        <w:pBdr>
          <w:top w:val="single" w:color="6B7280" w:sz="1"/>
        </w:pBdr>
        <w:spacing w:before="180"/>
        <w:jc w:val="center"/>
      </w:pPr>
      <w:r>
        <w:rPr>
          <w:rFonts w:ascii="Calibri" w:cs="Calibri" w:eastAsia="Calibri" w:hAnsi="Calibri"/>
          <w:b w:val="false"/>
          <w:bCs w:val="false"/>
          <w:i/>
          <w:iCs/>
          <w:color w:val="6B7280"/>
          <w:sz w:val="15"/>
          <w:szCs w:val="15"/>
        </w:rPr>
        <w:t xml:space="preserve">CONFIDENTIAL — DAPS PLC. Internal strategy document.</w:t>
      </w:r>
    </w:p>
    <w:sectPr>
      <w:headerReference w:type="default" r:id="rId7"/>
      <w:footerReference w:type="default" r:id="rId8"/>
      <w:pgSz w:w="12240" w:h="15840" w:orient="portrait"/>
      <w:pgMar w:top="1296" w:right="1656" w:bottom="1008" w:left="1656"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b w:val="false"/>
        <w:bCs w:val="false"/>
        <w:i w:val="false"/>
        <w:iCs w:val="false"/>
        <w:color w:val="6B7280"/>
        <w:sz w:val="15"/>
        <w:szCs w:val="15"/>
      </w:rPr>
      <w:t xml:space="preserve">DAPS PLC — Confidential  |  Page </w:t>
    </w:r>
    <w:r>
      <w:rPr>
        <w:rFonts w:ascii="Calibri" w:cs="Calibri" w:eastAsia="Calibri" w:hAnsi="Calibri"/>
        <w:color w:val="6B7280"/>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61925" cy="1619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61925" cy="161925"/>
                  </a:xfrm>
                  <a:prstGeom prst="rect">
                    <a:avLst/>
                  </a:prstGeom>
                </pic:spPr>
              </pic:pic>
            </a:graphicData>
          </a:graphic>
        </wp:inline>
      </w:drawing>
    </w:r>
    <w:r>
      <w:rPr>
        <w:rFonts w:ascii="Calibri" w:cs="Calibri" w:eastAsia="Calibri" w:hAnsi="Calibri"/>
        <w:b w:val="false"/>
        <w:bCs w:val="false"/>
        <w:i/>
        <w:iCs/>
        <w:color w:val="6B7280"/>
        <w:sz w:val="15"/>
        <w:szCs w:val="15"/>
      </w:rPr>
      <w:t xml:space="preserve">  Onekof — Market Assessment &amp; Commercialization Strategy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bbd378993ecc2fa9feb179001ba50c0883a0a67d.png"/><Relationship Id="rId10" Type="http://schemas.openxmlformats.org/officeDocument/2006/relationships/image" Target="media/5b08ce24445c94ff199317448d75295437cdc2a8.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62d5251e8423c8f96e845e26231e785eecfd1b9a.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Onekof Market Assessment &amp; Commercialization Strategy</dc:title>
  <dc:creator>DAPS PLC</dc:creator>
  <dc:description>Market assessment, cost structure, and growth scenarios</dc:description>
  <cp:lastModifiedBy>DAPS PLC</cp:lastModifiedBy>
  <cp:revision>1</cp:revision>
  <dcterms:created xsi:type="dcterms:W3CDTF">2026-08-05T21:06:25.468Z</dcterms:created>
  <dcterms:modified xsi:type="dcterms:W3CDTF">2026-08-05T21:06:25.483Z</dcterms:modified>
</cp:coreProperties>
</file>

<file path=docProps/custom.xml><?xml version="1.0" encoding="utf-8"?>
<Properties xmlns="http://schemas.openxmlformats.org/officeDocument/2006/custom-properties" xmlns:vt="http://schemas.openxmlformats.org/officeDocument/2006/docPropsVTypes"/>
</file>