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500"/>
        <w:jc w:val="center"/>
      </w:pPr>
      <w:r>
        <w:drawing>
          <wp:inline distT="0" distB="0" distL="0" distR="0">
            <wp:extent cx="3048000" cy="1162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color w:val="1C8C7D"/>
          <w:sz w:val="52"/>
          <w:szCs w:val="52"/>
        </w:rPr>
        <w:t xml:space="preserve">Onekof Industry Editions</w:t>
      </w:r>
    </w:p>
    <w:p>
      <w:pPr>
        <w:spacing w:after="400"/>
        <w:jc w:val="center"/>
      </w:pPr>
      <w:r>
        <w:rPr>
          <w:b/>
          <w:bCs/>
          <w:sz w:val="36"/>
          <w:szCs w:val="36"/>
        </w:rPr>
        <w:t xml:space="preserve">Structure &amp; Proposed Features per Organization Type</w:t>
      </w:r>
    </w:p>
    <w:p>
      <w:pPr>
        <w:spacing w:after="2000"/>
        <w:jc w:val="center"/>
      </w:pPr>
      <w:r>
        <w:rPr>
          <w:color w:val="666666"/>
          <w:sz w:val="24"/>
          <w:szCs w:val="24"/>
        </w:rPr>
        <w:t xml:space="preserve">Product Reference — companion to the Department &amp; Workstream Architecture (D1–D9)</w:t>
      </w:r>
    </w:p>
    <w:p>
      <w:pPr>
        <w:spacing w:after="80"/>
        <w:jc w:val="center"/>
      </w:pPr>
      <w:r>
        <w:rPr>
          <w:color w:val="666666"/>
          <w:sz w:val="21"/>
          <w:szCs w:val="21"/>
        </w:rPr>
        <w:t xml:space="preserve">Version 1.0 · July 28, 2026</w:t>
      </w:r>
    </w:p>
    <w:p>
      <w:pPr>
        <w:jc w:val="center"/>
      </w:pPr>
      <w:r>
        <w:rPr>
          <w:color w:val="666666"/>
          <w:sz w:val="21"/>
          <w:szCs w:val="21"/>
        </w:rPr>
        <w:t xml:space="preserve">Prepared by: Oli Tamrat, CTO — DAPS Analytics PLC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The Shared Core — every edition, every organization</w:t>
      </w:r>
    </w:p>
    <w:p>
      <w:pPr>
        <w:spacing w:after="120"/>
      </w:pPr>
      <w:r>
        <w:rPr>
          <w:sz w:val="21"/>
          <w:szCs w:val="21"/>
        </w:rPr>
        <w:t xml:space="preserve">Onekof is one platform with five institutional presentations. The core is identical everywhere — one codebase, one data model, one support organization — and each edition selects which lenses appear. An Owner/Admin can always adjust individual sections after the preset applies: editions are defaults, never locks.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Projects with enterprise metadata (department, budget code, risk level, visibility up to Confidential)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Issues: list, board, backlog, hierarchy (Epic → Story → Task → Subtask), calendar, timeline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Sprints / Work Cycles: planning, commitment snapshots, insights, scope-churn tracking, branded signable PDF reports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Teams, Goals, Members &amp; role-based permissions (org / project / team layers, budget access ladder)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Budget &amp; Expenses with approval workflow and revision audit trail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Documents, Docs &amp; Wiki knowledge 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Reports &amp; per-cycle accountability, organization audit log (INSA-aligned)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Five languages (English, Amharic, Afaan Oromo, Tigrinya, Somali) · Ethiopian calendar support · works on sovereign on-premise deployments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Government / Ministry Edition</w:t>
      </w:r>
    </w:p>
    <w:p>
      <w:pPr>
        <w:spacing w:after="120"/>
      </w:pPr>
      <w:r>
        <w:rPr>
          <w:sz w:val="21"/>
          <w:szCs w:val="21"/>
        </w:rPr>
        <w:t xml:space="preserve">Audit-first project management for ministries, agencies, and public institutions. Formal vocabulary, procurement discipline, public transparency, and sovereign deployment (onekof.et on Ethio Telecom infrastructure, INSA-certified). Everything a directorate reports upward is signable and permanent.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Configuration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Terminology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Formal — "Work Cycle" replaces "Sprint" on every screen and report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Sidebar structure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+ Operations (Incidents, Monitoring, Checklists) · Research (Data, Findings, Plans, Materials, Inspections) · Compliance · Knowledge (Documents with OCR &amp; version control, Wiki, Docs)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Departments &amp; workstreams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operations, research — with all workstreams; classification chips visible across boards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Budget configuration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Procurement ON · Public transparency ON · Approval workflow ON · Forecasting ON · Single currency (ETB)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Feature flags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Automations OFF · AI Assistant OFF · Integrations OFF · Analytics ON · Custom branding ON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Proposed future features (roadmap candidates)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Directorate registry — </w:t>
      </w:r>
      <w:r>
        <w:rPr>
          <w:sz w:val="21"/>
          <w:szCs w:val="21"/>
        </w:rPr>
        <w:t xml:space="preserve">org-defined department names (Directorates/Bureaus) feeding the same classification fields — the designed-for extension of D1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Official correspondence templates — </w:t>
      </w:r>
      <w:r>
        <w:rPr>
          <w:sz w:val="21"/>
          <w:szCs w:val="21"/>
        </w:rPr>
        <w:t xml:space="preserve">letter and memo formats generated from Documents with the ministry letterhead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Ethiopian fiscal year alignment — </w:t>
      </w:r>
      <w:r>
        <w:rPr>
          <w:sz w:val="21"/>
          <w:szCs w:val="21"/>
        </w:rPr>
        <w:t xml:space="preserve">EFY (Hamle–Sene) budget periods and reporting boundaries throughout Budget and Reports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Digital signatures on reports — </w:t>
      </w:r>
      <w:r>
        <w:rPr>
          <w:sz w:val="21"/>
          <w:szCs w:val="21"/>
        </w:rPr>
        <w:t xml:space="preserve">signed Work Cycle and budget reports for formal submission chains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Tender lifecycle depth — </w:t>
      </w:r>
      <w:r>
        <w:rPr>
          <w:sz w:val="21"/>
          <w:szCs w:val="21"/>
        </w:rPr>
        <w:t xml:space="preserve">procurement from announcement → evaluation → award as first-class workflow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Citizen transparency portal — </w:t>
      </w:r>
      <w:r>
        <w:rPr>
          <w:sz w:val="21"/>
          <w:szCs w:val="21"/>
        </w:rPr>
        <w:t xml:space="preserve">public read-only budget/progress pages for transparency-mandated institutions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NGO / Non-Profit Edition</w:t>
      </w:r>
    </w:p>
    <w:p>
      <w:pPr>
        <w:spacing w:after="120"/>
      </w:pPr>
      <w:r>
        <w:rPr>
          <w:sz w:val="21"/>
          <w:szCs w:val="21"/>
        </w:rPr>
        <w:t xml:space="preserve">Grant-and-impact centered delivery for NGOs and donor-funded programs. Multi-currency donor money, outreach campaigns, and impact evidence — built for organizations that answer to donors and communities at once.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Configuration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Terminology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Formal — "Work Cycle"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Sidebar structure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+ Marketing (Campaigns, Social Media, Analytics — outreach) · Operations · Research (M&amp;E data collection) · Impact · Knowledge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Departments &amp; workstreams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marketing, operations, research — with all workstreams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Budget configuration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Grants ON · Donations ON · Multi-currency ON (donor currencies with recorded exchange rates) · Public transparency ON · Approval workflow ON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Feature flags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Automations OFF · AI Assistant OFF · Integrations ON · Analytics ON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Proposed future features (roadmap candidates)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Donor reporting pack — </w:t>
      </w:r>
      <w:r>
        <w:rPr>
          <w:sz w:val="21"/>
          <w:szCs w:val="21"/>
        </w:rPr>
        <w:t xml:space="preserve">per-grant branded PDF bundling work-cycle results, budget utilization, and impact lines — the sprint-report pattern extended to grants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Logframe / M&amp;E indicators — </w:t>
      </w:r>
      <w:r>
        <w:rPr>
          <w:sz w:val="21"/>
          <w:szCs w:val="21"/>
        </w:rPr>
        <w:t xml:space="preserve">result-framework indicators attached to Goals, rolling up to Impact automatically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Grant deadline calendar — </w:t>
      </w:r>
      <w:r>
        <w:rPr>
          <w:sz w:val="21"/>
          <w:szCs w:val="21"/>
        </w:rPr>
        <w:t xml:space="preserve">reporting and disbursement deadlines as first-class calendar entries with notifications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Beneficiary tracking — </w:t>
      </w:r>
      <w:r>
        <w:rPr>
          <w:sz w:val="21"/>
          <w:szCs w:val="21"/>
        </w:rPr>
        <w:t xml:space="preserve">counters and disaggregation (region, gender, age) on Impact, feeding donor reports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Program registry — </w:t>
      </w:r>
      <w:r>
        <w:rPr>
          <w:sz w:val="21"/>
          <w:szCs w:val="21"/>
        </w:rPr>
        <w:t xml:space="preserve">org-defined departments as Programs — same D1 extension as ministry Directorates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Business / Tech Edition</w:t>
      </w:r>
    </w:p>
    <w:p>
      <w:pPr>
        <w:spacing w:after="120"/>
      </w:pPr>
      <w:r>
        <w:rPr>
          <w:sz w:val="21"/>
          <w:szCs w:val="21"/>
        </w:rPr>
        <w:t xml:space="preserve">The most automated edition — startups and enterprises shipping products. Agile vocabulary, development workflows, AI assistance, and integrations. This is also the edition DAPS itself runs on ("DAPS on Onekof").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Configuration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Terminology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Agile — "Sprint"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Sidebar structure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+ Development (Backlog, Releases, Code Review) · Marketing (Campaigns, Social, Analytics) · Operations · Automations (Workflows, Triggers, History) · AI Documents · Docs incl. API docs · Analytics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Departments &amp; workstreams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development, marketing, operations — with all workstreams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Budget configuration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Forecasting ON · Multi-currency ON · Approval workflow ON · Transparency OFF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Feature flags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Automations ON · AI Assistant ON · Integrations ON · OKRs ON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Proposed future features (roadmap candidates)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GitHub integration — </w:t>
      </w:r>
      <w:r>
        <w:rPr>
          <w:sz w:val="21"/>
          <w:szCs w:val="21"/>
        </w:rPr>
        <w:t xml:space="preserve">link pull requests and commits to issues; release pages fed by real merges (Integrations is already ON for this edition)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Release notes generation — </w:t>
      </w:r>
      <w:r>
        <w:rPr>
          <w:sz w:val="21"/>
          <w:szCs w:val="21"/>
        </w:rPr>
        <w:t xml:space="preserve">draft release notes from the completed sprint’s delivered issues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OKR scoring — </w:t>
      </w:r>
      <w:r>
        <w:rPr>
          <w:sz w:val="21"/>
          <w:szCs w:val="21"/>
        </w:rPr>
        <w:t xml:space="preserve">quarterly objective scoring rolled up from goal progress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Customer feedback intake — </w:t>
      </w:r>
      <w:r>
        <w:rPr>
          <w:sz w:val="21"/>
          <w:szCs w:val="21"/>
        </w:rPr>
        <w:t xml:space="preserve">lightweight portal feeding triaged feedback into the backlog with source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Usage analytics for admins — </w:t>
      </w:r>
      <w:r>
        <w:rPr>
          <w:sz w:val="21"/>
          <w:szCs w:val="21"/>
        </w:rPr>
        <w:t xml:space="preserve">adoption dashboards (active users, cycle cadence) for engineering leadership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Education Edition</w:t>
      </w:r>
    </w:p>
    <w:p>
      <w:pPr>
        <w:spacing w:after="120"/>
      </w:pPr>
      <w:r>
        <w:rPr>
          <w:sz w:val="21"/>
          <w:szCs w:val="21"/>
        </w:rPr>
        <w:t xml:space="preserve">The simplest edition — schools, universities, and training institutions. Course-centered structure, research supervision, minimal financial complexity. Deliberately the least cluttered sidebar in the family.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Configuration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Terminology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Formal — "Work Cycle"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Sidebar structure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+ Research (Data, Findings, Plans, Materials, Inspections) · Courses · Knowledge (Wiki, Docs)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Departments &amp; workstreams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research — all workstreams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Budget configuration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Grants ON (simplified) · Income/Forecasting/Procurement OFF · Approval workflow ON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Feature flags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Automations OFF · AI Assistant OFF · Integrations OFF · Analytics OFF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Proposed future features (roadmap candidates)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Academic calendar — </w:t>
      </w:r>
      <w:r>
        <w:rPr>
          <w:sz w:val="21"/>
          <w:szCs w:val="21"/>
        </w:rPr>
        <w:t xml:space="preserve">semester/term timelines as the default planning horizon instead of free dates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Course cohorts — </w:t>
      </w:r>
      <w:r>
        <w:rPr>
          <w:sz w:val="21"/>
          <w:szCs w:val="21"/>
        </w:rPr>
        <w:t xml:space="preserve">courses tied to Teams so a cohort’s work, goals, and activity live together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Research supervision workflow — </w:t>
      </w:r>
      <w:r>
        <w:rPr>
          <w:sz w:val="21"/>
          <w:szCs w:val="21"/>
        </w:rPr>
        <w:t xml:space="preserve">thesis/dissertation milestones with supervisor sign-off steps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Ministry of Education reporting — </w:t>
      </w:r>
      <w:r>
        <w:rPr>
          <w:sz w:val="21"/>
          <w:szCs w:val="21"/>
        </w:rPr>
        <w:t xml:space="preserve">export formats aligned to MoE institutional reporting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Faculty registry — </w:t>
      </w:r>
      <w:r>
        <w:rPr>
          <w:sz w:val="21"/>
          <w:szCs w:val="21"/>
        </w:rPr>
        <w:t xml:space="preserve">org-defined departments as Faculties/Colleges — the D1 extension again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Healthcare Edition (the fifth preset)</w:t>
      </w:r>
    </w:p>
    <w:p>
      <w:pPr>
        <w:spacing w:after="120"/>
      </w:pPr>
      <w:r>
        <w:rPr>
          <w:sz w:val="21"/>
          <w:szCs w:val="21"/>
        </w:rPr>
        <w:t xml:space="preserve">Hospitals, clinics and health programs. Facility and equipment operations, safety management, clinical research support, and an approval-disciplined budget. Patient-linked features are NOT part of this edition today — see the note below.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Configuration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Terminology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Formal — "Work Cycle"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Sidebar structure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+ Operations (Incidents, Monitoring, Checklists, Facilities, Equipment, Safety Management) · Research (Data, Findings, Plans, Materials, Inspections) · Knowledge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Departments &amp; workstreams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operations, research — all workstreams, including the facility/equipment/safety workstreams added by M4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Budget configuration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Approval workflow ON · single currency · transparency OFF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Feature flags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Automations OFF · AI Assistant OFF · Integrations OFF · Analytics ON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Proposed future features (roadmap candidates)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Patient registry and care coordination — </w:t>
      </w:r>
      <w:r>
        <w:rPr>
          <w:sz w:val="21"/>
          <w:szCs w:val="21"/>
        </w:rPr>
        <w:t xml:space="preserve">the Medical module proper. Gated on a data-residency opinion from counsel and a retention decision — see docs/architecture/MEDICAL_MODULE_ARCHITECTURE.md. Onekof builds healthcare OPERATIONS and is deliberately not an Electronic Medical Record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Recurring preventive maintenance — </w:t>
      </w:r>
      <w:r>
        <w:rPr>
          <w:sz w:val="21"/>
          <w:szCs w:val="21"/>
        </w:rPr>
        <w:t xml:space="preserve">scheduled servicing for facilities and equipment. Requires recurring tasks, which the platform does not have yet — a general capability, not a healthcare feature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Health data compliance checklists — </w:t>
      </w:r>
      <w:r>
        <w:rPr>
          <w:sz w:val="21"/>
          <w:szCs w:val="21"/>
        </w:rPr>
        <w:t xml:space="preserve">Ethiopian health data regulations as living checklists, once the Compliance section is real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Shift handover checklists — </w:t>
      </w:r>
      <w:r>
        <w:rPr>
          <w:sz w:val="21"/>
          <w:szCs w:val="21"/>
        </w:rPr>
        <w:t xml:space="preserve">structured shift-change documentation in Operations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Clinical research protocols — </w:t>
      </w:r>
      <w:r>
        <w:rPr>
          <w:sz w:val="21"/>
          <w:szCs w:val="21"/>
        </w:rPr>
        <w:t xml:space="preserve">protocol templates and approval steps layered on Research workstreams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Construction / Infrastructure Edition (the sixth preset)</w:t>
      </w:r>
    </w:p>
    <w:p>
      <w:pPr>
        <w:spacing w:after="120"/>
      </w:pPr>
      <w:r>
        <w:rPr>
          <w:sz w:val="21"/>
          <w:szCs w:val="21"/>
        </w:rPr>
        <w:t xml:space="preserve">Contractors and infrastructure programmes. Site delivery, materials and inspections, safety and incident discipline, and a procurement-aware budget. Added after an audit found the sector had no preset at all and fell through to Business — handing an Ethiopian contractor Code Review and Releases while the Research workstreams built for exactly this work never reached them.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4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Configuration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Terminology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Agile — "Sprint" (contractors run delivery cycles, not formal work cycles)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Sidebar structure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+ Operations (Incidents, Monitoring, Checklists, Facilities, Equipment, Safety Management) · Research (Plans, Materials, Inspections, Data, Findings) · Knowledge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Departments &amp; workstreams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operations, research — no development or marketing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Budget configuration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Procurement ON · Multi-currency ON (imported materials are frequently priced in USD) · Approval workflow ON · Forecasting ON · Public transparency OFF (private contractor, unlike a ministry)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Feature flags</w:t>
            </w:r>
          </w:p>
        </w:tc>
        <w:tc>
          <w:tcPr>
            <w:tcW w:type="dxa" w:w="6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Automations OFF · AI Assistant OFF · Integrations OFF · Analytics ON · Document OCR ON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22222"/>
          <w:sz w:val="24"/>
          <w:szCs w:val="24"/>
        </w:rPr>
        <w:t xml:space="preserve">Proposed future features (roadmap candidates)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Site vocabulary — </w:t>
      </w:r>
      <w:r>
        <w:rPr>
          <w:sz w:val="21"/>
          <w:szCs w:val="21"/>
        </w:rPr>
        <w:t xml:space="preserve">contractors say "sites" where hospitals say "facilities". Whether that is a separate workstream or industry-specific wording for the same one is an open decision, not yet made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Progress photography — </w:t>
      </w:r>
      <w:r>
        <w:rPr>
          <w:sz w:val="21"/>
          <w:szCs w:val="21"/>
        </w:rPr>
        <w:t xml:space="preserve">site progress captured as dated attachments on inspection items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Equipment utilisation — </w:t>
      </w:r>
      <w:r>
        <w:rPr>
          <w:sz w:val="21"/>
          <w:szCs w:val="21"/>
        </w:rPr>
        <w:t xml:space="preserve">plant and machinery availability tracking on the equipment workstream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Subcontractor coordination — </w:t>
      </w:r>
      <w:r>
        <w:rPr>
          <w:sz w:val="21"/>
          <w:szCs w:val="21"/>
        </w:rPr>
        <w:t xml:space="preserve">external party access scoped to specific projects</w:t>
      </w:r>
    </w:p>
    <w:p>
      <w:pPr>
        <w:pStyle w:val="Heading1"/>
        <w:spacing w:after="160" w:before="320"/>
      </w:pPr>
      <w:r>
        <w:rPr>
          <w:b/>
          <w:bCs/>
          <w:color w:val="1C8C7D"/>
          <w:sz w:val="30"/>
          <w:szCs w:val="30"/>
        </w:rPr>
        <w:t xml:space="preserve">How an organization gets its edition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 account creation: the onboarding asks "What kind of organization is this?" — the edition applies instantly and atomically (Decision D7).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Existing organizations: a one-time "Choose your organization type" banner for admins (Decision D9) — no forced migration.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After setup: Settings → Customization shows the edition as a starting point; Owner/Admin can toggle any individual section. Editions are defaults, never locks.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Unknown / Other: Business/Tech configuration (the current fallback, unchanged).</w:t>
      </w:r>
    </w:p>
    <w:p>
      <w:pPr>
        <w:spacing w:after="120"/>
      </w:pPr>
      <w:r>
        <w:rPr>
          <w:sz w:val="21"/>
          <w:szCs w:val="21"/>
        </w:rPr>
        <w:t xml:space="preserve"/>
      </w:r>
    </w:p>
    <w:p>
      <w:pPr>
        <w:spacing w:after="120"/>
      </w:pPr>
      <w:r>
        <w:rPr>
          <w:i/>
          <w:iCs/>
          <w:color w:val="666666"/>
          <w:sz w:val="21"/>
          <w:szCs w:val="21"/>
        </w:rPr>
        <w:t xml:space="preserve">This reference is the product-facing companion to docs/architecture/DEPARTMENT_WORKSTREAMS_ARCHITECTURE.md (v1.1, decisions D1–D9). The capability matrix in that document is the engineering source of truth; this document is the narrative per edition, including roadmap candidates that are proposals only until scheduled.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C8C7D" w:sz="6" w:space="4"/>
      </w:pBdr>
      <w:tabs>
        <w:tab w:val="right" w:pos="9360"/>
      </w:tabs>
    </w:pPr>
    <w:r>
      <w:rPr>
        <w:color w:val="666666"/>
        <w:sz w:val="16"/>
        <w:szCs w:val="16"/>
      </w:rPr>
      <w:t xml:space="preserve">DAPS Analytics PLC · onekof.com</w:t>
    </w:r>
    <w:r>
      <w:rPr>
        <w:sz w:val="16"/>
        <w:szCs w:val="16"/>
      </w:rPr>
      <w:t xml:space="preserve">	</w:t>
    </w:r>
    <w:r>
      <w:rPr>
        <w:color w:val="66666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C8C7D" w:sz="6" w:space="4"/>
      </w:pBdr>
      <w:tabs>
        <w:tab w:val="right" w:pos="9360"/>
      </w:tabs>
      <w:spacing w:after="200"/>
    </w:pPr>
    <w:r>
      <w:drawing>
        <wp:inline distT="0" distB="0" distL="0" distR="0">
          <wp:extent cx="752475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2475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666666"/>
        <w:sz w:val="17"/>
        <w:szCs w:val="17"/>
      </w:rPr>
      <w:t xml:space="preserve">	Onekof Industry Editions — Feature Reference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80e835861454731cddec76c828227388670d561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0e835861454731cddec76c828227388670d5616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2026-07-29T11:59:39.771Z</dcterms:created>
  <dcterms:modified xsi:type="dcterms:W3CDTF">2026-07-29T11:59:39.771Z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