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500"/>
        <w:jc w:val="center"/>
      </w:pPr>
      <w:r>
        <w:drawing>
          <wp:inline distT="0" distB="0" distL="0" distR="0">
            <wp:extent cx="3048000" cy="116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1C8C7D"/>
          <w:sz w:val="52"/>
          <w:szCs w:val="52"/>
        </w:rPr>
        <w:t xml:space="preserve">Onekof Industry Editions</w:t>
      </w:r>
    </w:p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Structure &amp; Proposed Features per Organization Type</w:t>
      </w:r>
    </w:p>
    <w:p>
      <w:pPr>
        <w:spacing w:after="2000"/>
        <w:jc w:val="center"/>
      </w:pPr>
      <w:r>
        <w:rPr>
          <w:color w:val="666666"/>
          <w:sz w:val="24"/>
          <w:szCs w:val="24"/>
        </w:rPr>
        <w:t xml:space="preserve">Product Reference — companion to the Department &amp; Workstream Architecture (D1–D9)</w:t>
      </w:r>
    </w:p>
    <w:p>
      <w:pPr>
        <w:spacing w:after="80"/>
        <w:jc w:val="center"/>
      </w:pPr>
      <w:r>
        <w:rPr>
          <w:color w:val="666666"/>
          <w:sz w:val="21"/>
          <w:szCs w:val="21"/>
        </w:rPr>
        <w:t xml:space="preserve">Version 1.0 · July 28, 2026</w:t>
      </w:r>
    </w:p>
    <w:p>
      <w:pPr>
        <w:jc w:val="center"/>
      </w:pPr>
      <w:r>
        <w:rPr>
          <w:color w:val="666666"/>
          <w:sz w:val="21"/>
          <w:szCs w:val="21"/>
        </w:rPr>
        <w:t xml:space="preserve">Prepared by: Oli Tamrat, CTO — DAPS Analytics PLC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The Shared Core — every edition, every organization</w:t>
      </w:r>
    </w:p>
    <w:p>
      <w:pPr>
        <w:spacing w:after="120"/>
      </w:pPr>
      <w:r>
        <w:rPr>
          <w:sz w:val="21"/>
          <w:szCs w:val="21"/>
        </w:rPr>
        <w:t xml:space="preserve">Onekof is one platform with five institutional presentations. The core is identical everywhere — one codebase, one data model, one support organization — and each edition selects which lenses appear. An Owner/Admin can always adjust individual sections after the preset applies: editions are defaults, never locks.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Projects with enterprise metadata (department, budget code, risk level, visibility up to Confidential)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Issues: list, board, backlog, hierarchy (Epic → Story → Task → Subtask), calendar, timeline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Sprints / Work Cycles: planning, commitment snapshots, insights, scope-churn tracking, branded signable PDF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Teams, Goals, Members &amp; role-based permissions (org / project / team layers, budget access ladder)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Budget &amp; Expenses with approval workflow and revision audit trail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Documents, Docs &amp; Wiki knowledge 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Reports &amp; per-cycle accountability, organization audit log (INSA-aligned)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Five languages (English, Amharic, Afaan Oromo, Tigrinya, Somali) · Ethiopian calendar support · works on sovereign on-premise deployments</w:t>
      </w:r>
    </w:p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Government / Ministry Edition</w:t>
      </w:r>
    </w:p>
    <w:p>
      <w:pPr>
        <w:spacing w:after="120"/>
      </w:pPr>
      <w:r>
        <w:rPr>
          <w:sz w:val="21"/>
          <w:szCs w:val="21"/>
        </w:rPr>
        <w:t xml:space="preserve">Audit-first project management for ministries, agencies, and public institutions. Formal vocabulary, procurement discipline, public transparency, and sovereign deployment (onekof.et on Ethio Telecom infrastructure, INSA-certified). Everything a directorate reports upward is signable and permanent.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Dimension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Terminology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Formal — "Work Cycle" replaces "Sprint" on every screen and report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Sidebar structure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+ Operations (Incidents, Monitoring, Checklists) · Research (Data, Findings, Plans, Materials, Inspections) · Compliance · Knowledge (Documents with OCR &amp; version control, Wiki, Docs)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Departments &amp; workstreams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operations, research — with all workstreams; classification chips visible across boards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Budget configuration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Procurement ON · Public transparency ON · Approval workflow ON · Forecasting ON · Single currency (ETB)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 flags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Automations OFF · AI Assistant OFF · Integrations OFF · Analytics ON · Custom branding ON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Proposed future features (roadmap candidates)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Directorate registry — </w:t>
      </w:r>
      <w:r>
        <w:rPr>
          <w:sz w:val="21"/>
          <w:szCs w:val="21"/>
        </w:rPr>
        <w:t xml:space="preserve">org-defined department names (Directorates/Bureaus) feeding the same classification fields — the designed-for extension of D1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Official correspondence templates — </w:t>
      </w:r>
      <w:r>
        <w:rPr>
          <w:sz w:val="21"/>
          <w:szCs w:val="21"/>
        </w:rPr>
        <w:t xml:space="preserve">letter and memo formats generated from Documents with the ministry letterhead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Ethiopian fiscal year alignment — </w:t>
      </w:r>
      <w:r>
        <w:rPr>
          <w:sz w:val="21"/>
          <w:szCs w:val="21"/>
        </w:rPr>
        <w:t xml:space="preserve">EFY (Hamle–Sene) budget periods and reporting boundaries throughout Budget and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Digital signatures on reports — </w:t>
      </w:r>
      <w:r>
        <w:rPr>
          <w:sz w:val="21"/>
          <w:szCs w:val="21"/>
        </w:rPr>
        <w:t xml:space="preserve">signed Work Cycle and budget reports for formal submission chains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Tender lifecycle depth — </w:t>
      </w:r>
      <w:r>
        <w:rPr>
          <w:sz w:val="21"/>
          <w:szCs w:val="21"/>
        </w:rPr>
        <w:t xml:space="preserve">procurement from announcement → evaluation → award as first-class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Citizen transparency portal — </w:t>
      </w:r>
      <w:r>
        <w:rPr>
          <w:sz w:val="21"/>
          <w:szCs w:val="21"/>
        </w:rPr>
        <w:t xml:space="preserve">public read-only budget/progress pages for transparency-mandated institutions</w:t>
      </w:r>
    </w:p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NGO / Non-Profit Edition</w:t>
      </w:r>
    </w:p>
    <w:p>
      <w:pPr>
        <w:spacing w:after="120"/>
      </w:pPr>
      <w:r>
        <w:rPr>
          <w:sz w:val="21"/>
          <w:szCs w:val="21"/>
        </w:rPr>
        <w:t xml:space="preserve">Grant-and-impact centered delivery for NGOs and donor-funded programs. Multi-currency donor money, outreach campaigns, and impact evidence — built for organizations that answer to donors and communities at once.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Dimension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Terminology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Formal — "Work Cycle"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Sidebar structure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+ Marketing (Campaigns, Social Media, Analytics — outreach) · Operations · Research (M&amp;E data collection) · Impact · Knowledge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Departments &amp; workstreams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marketing, operations, research — with all workstreams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Budget configuration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Grants ON · Donations ON · Multi-currency ON (donor currencies with recorded exchange rates) · Public transparency ON · Approval workflow 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 flags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Automations OFF · AI Assistant OFF · Integrations ON · Analytics ON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Proposed future features (roadmap candidates)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Donor reporting pack — </w:t>
      </w:r>
      <w:r>
        <w:rPr>
          <w:sz w:val="21"/>
          <w:szCs w:val="21"/>
        </w:rPr>
        <w:t xml:space="preserve">per-grant branded PDF bundling work-cycle results, budget utilization, and impact lines — the sprint-report pattern extended to grants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Logframe / M&amp;E indicators — </w:t>
      </w:r>
      <w:r>
        <w:rPr>
          <w:sz w:val="21"/>
          <w:szCs w:val="21"/>
        </w:rPr>
        <w:t xml:space="preserve">result-framework indicators attached to Goals, rolling up to Impact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Grant deadline calendar — </w:t>
      </w:r>
      <w:r>
        <w:rPr>
          <w:sz w:val="21"/>
          <w:szCs w:val="21"/>
        </w:rPr>
        <w:t xml:space="preserve">reporting and disbursement deadlines as first-class calendar entries with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Beneficiary tracking — </w:t>
      </w:r>
      <w:r>
        <w:rPr>
          <w:sz w:val="21"/>
          <w:szCs w:val="21"/>
        </w:rPr>
        <w:t xml:space="preserve">counters and disaggregation (region, gender, age) on Impact, feeding donor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Program registry — </w:t>
      </w:r>
      <w:r>
        <w:rPr>
          <w:sz w:val="21"/>
          <w:szCs w:val="21"/>
        </w:rPr>
        <w:t xml:space="preserve">org-defined departments as Programs — same D1 extension as ministry Directorates</w:t>
      </w:r>
    </w:p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Business / Tech Edition</w:t>
      </w:r>
    </w:p>
    <w:p>
      <w:pPr>
        <w:spacing w:after="120"/>
      </w:pPr>
      <w:r>
        <w:rPr>
          <w:sz w:val="21"/>
          <w:szCs w:val="21"/>
        </w:rPr>
        <w:t xml:space="preserve">The most automated edition — startups and enterprises shipping products. Agile vocabulary, development workflows, AI assistance, and integrations. This is also the edition DAPS itself runs on ("DAPS on Onekof").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Dimension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Terminology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Agile — "Sprint"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Sidebar structure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+ Development (Backlog, Releases, Code Review) · Marketing (Campaigns, Social, Analytics) · Operations · Automations (Workflows, Triggers, History) · AI Documents · Docs incl. API docs · Analytics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Departments &amp; workstreams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development, marketing, operations — with all workstreams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Budget configuration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Forecasting ON · Multi-currency ON · Approval workflow ON · Transparency OFF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 flags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Automations ON · AI Assistant ON · Integrations ON · OKRs ON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Proposed future features (roadmap candidates)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GitHub integration — </w:t>
      </w:r>
      <w:r>
        <w:rPr>
          <w:sz w:val="21"/>
          <w:szCs w:val="21"/>
        </w:rPr>
        <w:t xml:space="preserve">link pull requests and commits to issues; release pages fed by real merges (Integrations is already ON for this edition)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Release notes generation — </w:t>
      </w:r>
      <w:r>
        <w:rPr>
          <w:sz w:val="21"/>
          <w:szCs w:val="21"/>
        </w:rPr>
        <w:t xml:space="preserve">draft release notes from the completed sprint’s delivered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OKR scoring — </w:t>
      </w:r>
      <w:r>
        <w:rPr>
          <w:sz w:val="21"/>
          <w:szCs w:val="21"/>
        </w:rPr>
        <w:t xml:space="preserve">quarterly objective scoring rolled up from goal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Customer feedback intake — </w:t>
      </w:r>
      <w:r>
        <w:rPr>
          <w:sz w:val="21"/>
          <w:szCs w:val="21"/>
        </w:rPr>
        <w:t xml:space="preserve">lightweight portal feeding triaged feedback into the backlog with source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Usage analytics for admins — </w:t>
      </w:r>
      <w:r>
        <w:rPr>
          <w:sz w:val="21"/>
          <w:szCs w:val="21"/>
        </w:rPr>
        <w:t xml:space="preserve">adoption dashboards (active users, cycle cadence) for engineering leadership</w:t>
      </w:r>
    </w:p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Education Edition</w:t>
      </w:r>
    </w:p>
    <w:p>
      <w:pPr>
        <w:spacing w:after="120"/>
      </w:pPr>
      <w:r>
        <w:rPr>
          <w:sz w:val="21"/>
          <w:szCs w:val="21"/>
        </w:rPr>
        <w:t xml:space="preserve">The simplest edition — schools, universities, and training institutions. Course-centered structure, research supervision, minimal financial complexity. Deliberately the least cluttered sidebar in the family.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Dimension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Terminology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Formal — "Work Cycle"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Sidebar structure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+ Research (Data, Findings, Plans, Materials, Inspections) · Courses · Knowledge (Wiki, Docs)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Departments &amp; workstreams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research — all workstreams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Budget configuration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Grants ON (simplified) · Income/Forecasting/Procurement OFF · Approval workflow 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 flags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Automations OFF · AI Assistant OFF · Integrations OFF · Analytics OFF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Proposed future features (roadmap candidates)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Academic calendar — </w:t>
      </w:r>
      <w:r>
        <w:rPr>
          <w:sz w:val="21"/>
          <w:szCs w:val="21"/>
        </w:rPr>
        <w:t xml:space="preserve">semester/term timelines as the default planning horizon instead of free 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Course cohorts — </w:t>
      </w:r>
      <w:r>
        <w:rPr>
          <w:sz w:val="21"/>
          <w:szCs w:val="21"/>
        </w:rPr>
        <w:t xml:space="preserve">courses tied to Teams so a cohort’s work, goals, and activity live together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Research supervision workflow — </w:t>
      </w:r>
      <w:r>
        <w:rPr>
          <w:sz w:val="21"/>
          <w:szCs w:val="21"/>
        </w:rPr>
        <w:t xml:space="preserve">thesis/dissertation milestones with supervisor sign-off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Ministry of Education reporting — </w:t>
      </w:r>
      <w:r>
        <w:rPr>
          <w:sz w:val="21"/>
          <w:szCs w:val="21"/>
        </w:rPr>
        <w:t xml:space="preserve">export formats aligned to MoE institutional reporting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Faculty registry — </w:t>
      </w:r>
      <w:r>
        <w:rPr>
          <w:sz w:val="21"/>
          <w:szCs w:val="21"/>
        </w:rPr>
        <w:t xml:space="preserve">org-defined departments as Faculties/Colleges — the D1 extension again</w:t>
      </w:r>
    </w:p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Healthcare Edition (new — the fifth preset)</w:t>
      </w:r>
    </w:p>
    <w:p>
      <w:pPr>
        <w:spacing w:after="120"/>
      </w:pPr>
      <w:r>
        <w:rPr>
          <w:sz w:val="21"/>
          <w:szCs w:val="21"/>
        </w:rPr>
        <w:t xml:space="preserve">Hospitals, clinics, and health programs. Patient-linked operations, clinical research, compliance posture. The medical modules exist in the platform today; this edition is what finally switches them on for the right customers.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Dimension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Terminology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Formal — "Work Cycle"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Sidebar structure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+ Operations (Incidents, Monitoring, Checklists) · Research (clinical data, findings) · Compliance · Medical &amp; Patients · Knowledge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Departments &amp; workstreams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operations, research — all workstreams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Budget configuration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Approval workflow ON · single currency · transparency OFF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 flags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Automations OFF · AI Assistant OFF · Integrations OFF · Analytics ON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Proposed future features (roadmap candidates)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Health data compliance checklists — </w:t>
      </w:r>
      <w:r>
        <w:rPr>
          <w:sz w:val="21"/>
          <w:szCs w:val="21"/>
        </w:rPr>
        <w:t xml:space="preserve">Ethiopian health data regulations + HIPAA-aligned handling procedures as living Compliance checklists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Equipment maintenance schedules — </w:t>
      </w:r>
      <w:r>
        <w:rPr>
          <w:sz w:val="21"/>
          <w:szCs w:val="21"/>
        </w:rPr>
        <w:t xml:space="preserve">preventive maintenance as recurring operations checklists tied to the equipment registry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Shift handover checklists — </w:t>
      </w:r>
      <w:r>
        <w:rPr>
          <w:sz w:val="21"/>
          <w:szCs w:val="21"/>
        </w:rPr>
        <w:t xml:space="preserve">structured shift-change documentation in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Clinical research protocols — </w:t>
      </w:r>
      <w:r>
        <w:rPr>
          <w:sz w:val="21"/>
          <w:szCs w:val="21"/>
        </w:rPr>
        <w:t xml:space="preserve">protocol templates and approval steps layered on Research workstreams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Referral tracking — </w:t>
      </w:r>
      <w:r>
        <w:rPr>
          <w:sz w:val="21"/>
          <w:szCs w:val="21"/>
        </w:rPr>
        <w:t xml:space="preserve">inter-facility patient referral workflows on the Medical module</w:t>
      </w:r>
    </w:p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How an organization gets its edition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At account creation: the onboarding asks "What kind of organization is this?" — the edition applies instantly and atomically (Decision D7).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Existing organizations: a one-time "Choose your organization type" banner for admins (Decision D9) — no forced migration.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After setup: Settings → Customization shows the edition as a starting point; Owner/Admin can toggle any individual section. Editions are defaults, never locks.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Unknown / Other: Business/Tech configuration (the current fallback, unchanged).</w:t>
      </w:r>
    </w:p>
    <w:p>
      <w:pPr>
        <w:spacing w:after="12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i/>
          <w:iCs/>
          <w:color w:val="666666"/>
          <w:sz w:val="21"/>
          <w:szCs w:val="21"/>
        </w:rPr>
        <w:t xml:space="preserve">This reference is the product-facing companion to docs/architecture/DEPARTMENT_WORKSTREAMS_ARCHITECTURE.md (v1.1, decisions D1–D9). The capability matrix in that document is the engineering source of truth; this document is the narrative per edition, including roadmap candidates that are proposals only until scheduled.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C8C7D" w:sz="6" w:space="4"/>
      </w:pBdr>
      <w:tabs>
        <w:tab w:val="right" w:pos="9360"/>
      </w:tabs>
    </w:pPr>
    <w:r>
      <w:rPr>
        <w:color w:val="666666"/>
        <w:sz w:val="16"/>
        <w:szCs w:val="16"/>
      </w:rPr>
      <w:t xml:space="preserve">DAPS Analytics PLC · onekof.com</w:t>
    </w:r>
    <w:r>
      <w:rPr>
        <w:sz w:val="16"/>
        <w:szCs w:val="16"/>
      </w:rPr>
      <w:t xml:space="preserve">	</w:t>
    </w:r>
    <w:r>
      <w:rPr>
        <w:color w:val="66666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C8C7D" w:sz="6" w:space="4"/>
      </w:pBdr>
      <w:tabs>
        <w:tab w:val="right" w:pos="9360"/>
      </w:tabs>
      <w:spacing w:after="200"/>
    </w:pPr>
    <w:r>
      <w:drawing>
        <wp:inline distT="0" distB="0" distL="0" distR="0">
          <wp:extent cx="752475" cy="285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666666"/>
        <w:sz w:val="17"/>
        <w:szCs w:val="17"/>
      </w:rPr>
      <w:t xml:space="preserve">	Onekof Industry Editions — Feature Reference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80e835861454731cddec76c828227388670d561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0e835861454731cddec76c828227388670d5616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2026-07-28T15:48:35.967Z</dcterms:created>
  <dcterms:modified xsi:type="dcterms:W3CDTF">2026-07-28T15:48:35.981Z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