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w:pPr>
        <w:spacing w:after="60"/>
        <w:jc w:val="left"/>
      </w:pPr>
      <w:r>
        <w:drawing>
          <wp:inline distT="0" distB="0" distL="0" distR="0">
            <wp:extent cx="2476500" cy="323850"/>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7" cstate="none"/>
                    <a:srcRect/>
                    <a:stretch>
                      <a:fillRect/>
                    </a:stretch>
                  </pic:blipFill>
                  <pic:spPr bwMode="auto">
                    <a:xfrm>
                      <a:off x="0" y="0"/>
                      <a:ext cx="2476500" cy="323850"/>
                    </a:xfrm>
                    <a:prstGeom prst="rect">
                      <a:avLst/>
                    </a:prstGeom>
                  </pic:spPr>
                </pic:pic>
              </a:graphicData>
            </a:graphic>
          </wp:inline>
        </w:drawing>
      </w:r>
    </w:p>
    <w:p>
      <w:pPr>
        <w:spacing w:after="40"/>
      </w:pPr>
      <w:r>
        <w:rPr>
          <w:rFonts w:ascii="Calibri" w:cs="Calibri" w:eastAsia="Calibri" w:hAnsi="Calibri"/>
          <w:b w:val="false"/>
          <w:bCs w:val="false"/>
          <w:i w:val="false"/>
          <w:iCs w:val="false"/>
          <w:color w:val="6B7280"/>
          <w:sz w:val="17"/>
          <w:szCs w:val="17"/>
        </w:rPr>
        <w:t xml:space="preserve">Addis Ababa, Ethiopia   ·   oli.oli@dapsanalytics.com</w:t>
      </w:r>
    </w:p>
    <w:p>
      <w:pPr>
        <w:pBdr>
          <w:bottom w:val="single" w:color="1B3A6B" w:sz="8"/>
        </w:pBdr>
        <w:spacing w:after="200"/>
      </w:pPr>
    </w:p>
    <w:tbl>
      <w:tblPr>
        <w:tblW w:type="dxa" w:w="4000"/>
        <w:jc w:val="right"/>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tblGrid>
      <w:tr>
        <w:tc>
          <w:tcPr>
            <w:tcW w:type="dxa" w:w="1400"/>
            <w:tcBorders>
              <w:top w:val="none" w:sz="0"/>
              <w:left w:val="none" w:sz="0"/>
              <w:bottom w:val="none" w:sz="0"/>
              <w:right w:val="none" w:sz="0"/>
            </w:tcBorders>
          </w:tcPr>
          <w:p>
            <w:pPr>
              <w:spacing w:after="20"/>
            </w:pPr>
            <w:r>
              <w:rPr>
                <w:rFonts w:ascii="Calibri" w:cs="Calibri" w:eastAsia="Calibri" w:hAnsi="Calibri"/>
                <w:b/>
                <w:bCs/>
                <w:i w:val="false"/>
                <w:iCs w:val="false"/>
                <w:color w:val="6B7280"/>
                <w:sz w:val="20"/>
                <w:szCs w:val="20"/>
              </w:rPr>
              <w:t xml:space="preserve">Ref. No.</w:t>
            </w:r>
          </w:p>
        </w:tc>
        <w:tc>
          <w:tcPr>
            <w:tcW w:type="dxa" w:w="2600"/>
            <w:tcBorders>
              <w:top w:val="none" w:sz="0"/>
              <w:left w:val="none" w:sz="0"/>
              <w:bottom w:val="none" w:sz="0"/>
              <w:right w:val="none" w:sz="0"/>
            </w:tcBorders>
          </w:tcPr>
          <w:p>
            <w:pPr>
              <w:spacing w:after="20"/>
            </w:pPr>
            <w:r>
              <w:rPr>
                <w:rFonts w:ascii="Calibri" w:cs="Calibri" w:eastAsia="Calibri" w:hAnsi="Calibri"/>
                <w:b w:val="false"/>
                <w:bCs w:val="false"/>
                <w:i w:val="false"/>
                <w:iCs w:val="false"/>
                <w:color w:val="1F2937"/>
                <w:sz w:val="20"/>
                <w:szCs w:val="20"/>
              </w:rPr>
              <w:t xml:space="preserve">DAPS/ECS/2026-001</w:t>
            </w:r>
          </w:p>
        </w:tc>
      </w:tr>
      <w:tr>
        <w:tc>
          <w:tcPr>
            <w:tcW w:type="dxa" w:w="1400"/>
            <w:tcBorders>
              <w:top w:val="none" w:sz="0"/>
              <w:left w:val="none" w:sz="0"/>
              <w:bottom w:val="none" w:sz="0"/>
              <w:right w:val="none" w:sz="0"/>
            </w:tcBorders>
          </w:tcPr>
          <w:p>
            <w:pPr>
              <w:spacing w:after="20"/>
            </w:pPr>
            <w:r>
              <w:rPr>
                <w:rFonts w:ascii="Calibri" w:cs="Calibri" w:eastAsia="Calibri" w:hAnsi="Calibri"/>
                <w:b/>
                <w:bCs/>
                <w:i w:val="false"/>
                <w:iCs w:val="false"/>
                <w:color w:val="6B7280"/>
                <w:sz w:val="20"/>
                <w:szCs w:val="20"/>
              </w:rPr>
              <w:t xml:space="preserve">Date</w:t>
            </w:r>
          </w:p>
        </w:tc>
        <w:tc>
          <w:tcPr>
            <w:tcW w:type="dxa" w:w="2600"/>
            <w:tcBorders>
              <w:top w:val="none" w:sz="0"/>
              <w:left w:val="none" w:sz="0"/>
              <w:bottom w:val="none" w:sz="0"/>
              <w:right w:val="none" w:sz="0"/>
            </w:tcBorders>
          </w:tcPr>
          <w:p>
            <w:pPr>
              <w:spacing w:after="20"/>
            </w:pPr>
            <w:r>
              <w:rPr>
                <w:rFonts w:ascii="Calibri" w:cs="Calibri" w:eastAsia="Calibri" w:hAnsi="Calibri"/>
                <w:b w:val="false"/>
                <w:bCs w:val="false"/>
                <w:i w:val="false"/>
                <w:iCs w:val="false"/>
                <w:color w:val="1F2937"/>
                <w:sz w:val="20"/>
                <w:szCs w:val="20"/>
              </w:rPr>
              <w:t xml:space="preserve">August 2026</w:t>
            </w:r>
          </w:p>
        </w:tc>
      </w:tr>
    </w:tbl>
    <w:p>
      <w:pPr>
        <w:spacing w:after="200"/>
      </w:pPr>
    </w:p>
    <w:p>
      <w:pPr>
        <w:spacing w:after="40" w:before="0" w:line="276"/>
        <w:jc w:val="left"/>
      </w:pPr>
      <w:r>
        <w:rPr>
          <w:rFonts w:ascii="Calibri" w:cs="Calibri" w:eastAsia="Calibri" w:hAnsi="Calibri"/>
          <w:b/>
          <w:bCs/>
          <w:i w:val="false"/>
          <w:iCs w:val="false"/>
          <w:color w:val="1F2937"/>
          <w:sz w:val="21"/>
          <w:szCs w:val="21"/>
        </w:rPr>
        <w:t xml:space="preserve">To:</w:t>
      </w:r>
    </w:p>
    <w:p>
      <w:pPr>
        <w:spacing w:after="20" w:before="0" w:line="276"/>
        <w:jc w:val="left"/>
      </w:pPr>
      <w:r>
        <w:rPr>
          <w:rFonts w:ascii="Calibri" w:cs="Calibri" w:eastAsia="Calibri" w:hAnsi="Calibri"/>
          <w:b w:val="false"/>
          <w:bCs w:val="false"/>
          <w:i w:val="false"/>
          <w:iCs w:val="false"/>
          <w:color w:val="1F2937"/>
          <w:sz w:val="21"/>
          <w:szCs w:val="21"/>
        </w:rPr>
        <w:t xml:space="preserve">The Manager, Cloud Services</w:t>
      </w:r>
    </w:p>
    <w:p>
      <w:pPr>
        <w:spacing w:after="20" w:before="0" w:line="276"/>
        <w:jc w:val="left"/>
      </w:pPr>
      <w:r>
        <w:rPr>
          <w:rFonts w:ascii="Calibri" w:cs="Calibri" w:eastAsia="Calibri" w:hAnsi="Calibri"/>
          <w:b w:val="false"/>
          <w:bCs w:val="false"/>
          <w:i w:val="false"/>
          <w:iCs w:val="false"/>
          <w:color w:val="1F2937"/>
          <w:sz w:val="21"/>
          <w:szCs w:val="21"/>
        </w:rPr>
        <w:t xml:space="preserve">Enterprise &amp; Government Solutions Division</w:t>
      </w:r>
    </w:p>
    <w:p>
      <w:pPr>
        <w:spacing w:after="20" w:before="0" w:line="276"/>
        <w:jc w:val="left"/>
      </w:pPr>
      <w:r>
        <w:rPr>
          <w:rFonts w:ascii="Calibri" w:cs="Calibri" w:eastAsia="Calibri" w:hAnsi="Calibri"/>
          <w:b w:val="false"/>
          <w:bCs w:val="false"/>
          <w:i w:val="false"/>
          <w:iCs w:val="false"/>
          <w:color w:val="1F2937"/>
          <w:sz w:val="21"/>
          <w:szCs w:val="21"/>
        </w:rPr>
        <w:t xml:space="preserve">Ethio Telecom</w:t>
      </w:r>
    </w:p>
    <w:p>
      <w:pPr>
        <w:spacing w:after="200" w:before="0" w:line="276"/>
        <w:jc w:val="left"/>
      </w:pPr>
      <w:r>
        <w:rPr>
          <w:rFonts w:ascii="Calibri" w:cs="Calibri" w:eastAsia="Calibri" w:hAnsi="Calibri"/>
          <w:b w:val="false"/>
          <w:bCs w:val="false"/>
          <w:i w:val="false"/>
          <w:iCs w:val="false"/>
          <w:color w:val="1F2937"/>
          <w:sz w:val="21"/>
          <w:szCs w:val="21"/>
        </w:rPr>
        <w:t xml:space="preserve">Addis Ababa, Ethiopia</w:t>
      </w:r>
    </w:p>
    <w:p>
      <w:pPr>
        <w:pBdr>
          <w:top w:val="single" w:color="CBD5E1" w:sz="1"/>
          <w:left w:val="single" w:color="CBD5E1" w:sz="1"/>
          <w:bottom w:val="single" w:color="CBD5E1" w:sz="1"/>
          <w:right w:val="single" w:color="CBD5E1" w:sz="1"/>
        </w:pBdr>
        <w:shd w:fill="F1F5F9" w:color="auto" w:val="clear"/>
        <w:spacing w:after="200"/>
        <w:ind w:left="120" w:right="120"/>
      </w:pPr>
      <w:r>
        <w:rPr>
          <w:rFonts w:ascii="Calibri" w:cs="Calibri" w:eastAsia="Calibri" w:hAnsi="Calibri"/>
          <w:b/>
          <w:bCs/>
          <w:i w:val="false"/>
          <w:iCs w:val="false"/>
          <w:color w:val="1B3A6B"/>
          <w:sz w:val="21"/>
          <w:szCs w:val="21"/>
        </w:rPr>
        <w:t xml:space="preserve">Subject:  </w:t>
      </w:r>
      <w:r>
        <w:rPr>
          <w:rFonts w:ascii="Calibri" w:cs="Calibri" w:eastAsia="Calibri" w:hAnsi="Calibri"/>
          <w:b/>
          <w:bCs/>
          <w:i w:val="false"/>
          <w:iCs w:val="false"/>
          <w:color w:val="1B3A6B"/>
          <w:sz w:val="21"/>
          <w:szCs w:val="21"/>
        </w:rPr>
        <w:t xml:space="preserve">Request for Provisioning of Elastic Cloud Server (ECS) Infrastructure for the Onekof PM Platform</w:t>
      </w:r>
    </w:p>
    <w:p>
      <w:pPr>
        <w:spacing w:after="160" w:before="0" w:line="276"/>
        <w:jc w:val="left"/>
      </w:pPr>
      <w:r>
        <w:rPr>
          <w:rFonts w:ascii="Calibri" w:cs="Calibri" w:eastAsia="Calibri" w:hAnsi="Calibri"/>
          <w:b w:val="false"/>
          <w:bCs w:val="false"/>
          <w:i w:val="false"/>
          <w:iCs w:val="false"/>
          <w:color w:val="1F2937"/>
          <w:sz w:val="22"/>
          <w:szCs w:val="22"/>
        </w:rPr>
        <w:t xml:space="preserve">Dear Sir / Madam,</w:t>
      </w:r>
    </w:p>
    <w:p>
      <w:pPr>
        <w:spacing w:after="140" w:before="0" w:line="276"/>
        <w:jc w:val="left"/>
      </w:pPr>
      <w:r>
        <w:rPr>
          <w:rFonts w:ascii="Calibri" w:cs="Calibri" w:eastAsia="Calibri" w:hAnsi="Calibri"/>
          <w:b w:val="false"/>
          <w:bCs w:val="false"/>
          <w:i w:val="false"/>
          <w:iCs w:val="false"/>
          <w:color w:val="1F2937"/>
          <w:sz w:val="22"/>
          <w:szCs w:val="22"/>
        </w:rPr>
        <w:t xml:space="preserve">DAPS PLC is an Ethiopian-registered software development company based in Addis Ababa. We develop and operate Onekof PM, a multi-tenant project and budget management platform built for Ethiopian government institutions, banks, and non-governmental organizations. The platform has completed its security assessment and holds certification from the Information Network Security Administration (INSA).</w:t>
      </w:r>
    </w:p>
    <w:p>
      <w:pPr>
        <w:spacing w:after="140" w:before="0" w:line="276"/>
        <w:jc w:val="left"/>
      </w:pPr>
      <w:r>
        <w:rPr>
          <w:rFonts w:ascii="Calibri" w:cs="Calibri" w:eastAsia="Calibri" w:hAnsi="Calibri"/>
          <w:b w:val="false"/>
          <w:bCs w:val="false"/>
          <w:i w:val="false"/>
          <w:iCs w:val="false"/>
          <w:color w:val="1F2937"/>
          <w:sz w:val="22"/>
          <w:szCs w:val="22"/>
        </w:rPr>
        <w:t xml:space="preserve">To serve Ethiopian public-sector institutions, Onekof PM must be hosted on sovereign national infrastructure. We therefore formally request the provisioning of Elastic Cloud Server (ECS) resources on Ethio Cloud, as detailed in the technical document enclosed with this letter.</w:t>
      </w:r>
    </w:p>
    <w:p>
      <w:pPr>
        <w:spacing w:after="100" w:before="60" w:line="276"/>
        <w:jc w:val="left"/>
      </w:pPr>
      <w:r>
        <w:rPr>
          <w:rFonts w:ascii="Calibri" w:cs="Calibri" w:eastAsia="Calibri" w:hAnsi="Calibri"/>
          <w:b/>
          <w:bCs/>
          <w:i w:val="false"/>
          <w:iCs w:val="false"/>
          <w:color w:val="1B3A6B"/>
          <w:sz w:val="22"/>
          <w:szCs w:val="22"/>
        </w:rPr>
        <w:t xml:space="preserve">Summary of the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800"/>
        <w:gridCol w:w="1960"/>
      </w:tblGrid>
      <w:tr>
        <w:tc>
          <w:tcPr>
            <w:tcW w:type="dxa" w:w="3600"/>
            <w:shd w:fill="1B3A6B" w:color="auto" w:val="clear"/>
          </w:tcPr>
          <w:p>
            <w:pPr>
              <w:spacing w:after="50" w:before="50"/>
            </w:pPr>
            <w:r>
              <w:rPr>
                <w:rFonts w:ascii="Calibri" w:cs="Calibri" w:eastAsia="Calibri" w:hAnsi="Calibri"/>
                <w:b/>
                <w:bCs/>
                <w:i w:val="false"/>
                <w:iCs w:val="false"/>
                <w:color w:val="FFFFFF"/>
                <w:sz w:val="20"/>
                <w:szCs w:val="20"/>
              </w:rPr>
              <w:t xml:space="preserve">Item</w:t>
            </w:r>
          </w:p>
        </w:tc>
        <w:tc>
          <w:tcPr>
            <w:tcW w:type="dxa" w:w="3800"/>
            <w:shd w:fill="1B3A6B" w:color="auto" w:val="clear"/>
          </w:tcPr>
          <w:p>
            <w:pPr>
              <w:spacing w:after="50" w:before="50"/>
            </w:pPr>
            <w:r>
              <w:rPr>
                <w:rFonts w:ascii="Calibri" w:cs="Calibri" w:eastAsia="Calibri" w:hAnsi="Calibri"/>
                <w:b/>
                <w:bCs/>
                <w:i w:val="false"/>
                <w:iCs w:val="false"/>
                <w:color w:val="FFFFFF"/>
                <w:sz w:val="20"/>
                <w:szCs w:val="20"/>
              </w:rPr>
              <w:t xml:space="preserve">Specification</w:t>
            </w:r>
          </w:p>
        </w:tc>
        <w:tc>
          <w:tcPr>
            <w:tcW w:type="dxa" w:w="1960"/>
            <w:shd w:fill="1B3A6B" w:color="auto" w:val="clear"/>
          </w:tcPr>
          <w:p>
            <w:pPr>
              <w:spacing w:after="50" w:before="50"/>
            </w:pPr>
            <w:r>
              <w:rPr>
                <w:rFonts w:ascii="Calibri" w:cs="Calibri" w:eastAsia="Calibri" w:hAnsi="Calibri"/>
                <w:b/>
                <w:bCs/>
                <w:i w:val="false"/>
                <w:iCs w:val="false"/>
                <w:color w:val="FFFFFF"/>
                <w:sz w:val="20"/>
                <w:szCs w:val="20"/>
              </w:rPr>
              <w:t xml:space="preserve">ETB / 6 Months</w:t>
            </w:r>
          </w:p>
        </w:tc>
      </w:tr>
      <w:tr>
        <w:tc>
          <w:tcPr>
            <w:tcW w:type="dxa" w:w="3600"/>
          </w:tcPr>
          <w:p>
            <w:pPr>
              <w:spacing w:after="40" w:before="40"/>
            </w:pPr>
            <w:r>
              <w:rPr>
                <w:rFonts w:ascii="Calibri" w:cs="Calibri" w:eastAsia="Calibri" w:hAnsi="Calibri"/>
                <w:b/>
                <w:bCs/>
                <w:i w:val="false"/>
                <w:iCs w:val="false"/>
                <w:color w:val="1F2937"/>
                <w:sz w:val="20"/>
                <w:szCs w:val="20"/>
              </w:rPr>
              <w:t xml:space="preserve">Production Cloud Server</w:t>
            </w:r>
          </w:p>
        </w:tc>
        <w:tc>
          <w:tcPr>
            <w:tcW w:type="dxa" w:w="3800"/>
          </w:tcPr>
          <w:p>
            <w:pPr>
              <w:spacing w:after="40" w:before="40"/>
            </w:pPr>
            <w:r>
              <w:rPr>
                <w:rFonts w:ascii="Calibri" w:cs="Calibri" w:eastAsia="Calibri" w:hAnsi="Calibri"/>
                <w:b w:val="false"/>
                <w:bCs w:val="false"/>
                <w:i w:val="false"/>
                <w:iCs w:val="false"/>
                <w:color w:val="1F2937"/>
                <w:sz w:val="20"/>
                <w:szCs w:val="20"/>
              </w:rPr>
              <w:t xml:space="preserve">CSRAMOPT05 — 4 vCPU, 32 GB RAM, 50 GB SSD, 4 Mbps</w:t>
            </w:r>
          </w:p>
        </w:tc>
        <w:tc>
          <w:tcPr>
            <w:tcW w:type="dxa" w:w="1960"/>
          </w:tcPr>
          <w:p>
            <w:pPr>
              <w:spacing w:after="40" w:before="40"/>
            </w:pPr>
            <w:r>
              <w:rPr>
                <w:rFonts w:ascii="Calibri" w:cs="Calibri" w:eastAsia="Calibri" w:hAnsi="Calibri"/>
                <w:b w:val="false"/>
                <w:bCs w:val="false"/>
                <w:i w:val="false"/>
                <w:iCs w:val="false"/>
                <w:color w:val="1F2937"/>
                <w:sz w:val="20"/>
                <w:szCs w:val="20"/>
              </w:rPr>
              <w:t xml:space="preserve">107,047</w:t>
            </w:r>
          </w:p>
        </w:tc>
      </w:tr>
      <w:tr>
        <w:tc>
          <w:tcPr>
            <w:tcW w:type="dxa" w:w="3600"/>
            <w:shd w:fill="F8FAFC" w:color="auto" w:val="clear"/>
          </w:tcPr>
          <w:p>
            <w:pPr>
              <w:spacing w:after="40" w:before="40"/>
            </w:pPr>
            <w:r>
              <w:rPr>
                <w:rFonts w:ascii="Calibri" w:cs="Calibri" w:eastAsia="Calibri" w:hAnsi="Calibri"/>
                <w:b/>
                <w:bCs/>
                <w:i w:val="false"/>
                <w:iCs w:val="false"/>
                <w:color w:val="1F2937"/>
                <w:sz w:val="20"/>
                <w:szCs w:val="20"/>
              </w:rPr>
              <w:t xml:space="preserve">Managed Backup Service</w:t>
            </w:r>
          </w:p>
        </w:tc>
        <w:tc>
          <w:tcPr>
            <w:tcW w:type="dxa" w:w="3800"/>
            <w:shd w:fill="F8FAFC" w:color="auto" w:val="clear"/>
          </w:tcPr>
          <w:p>
            <w:pPr>
              <w:spacing w:after="40" w:before="40"/>
            </w:pPr>
            <w:r>
              <w:rPr>
                <w:rFonts w:ascii="Calibri" w:cs="Calibri" w:eastAsia="Calibri" w:hAnsi="Calibri"/>
                <w:b w:val="false"/>
                <w:bCs w:val="false"/>
                <w:i w:val="false"/>
                <w:iCs w:val="false"/>
                <w:color w:val="1F2937"/>
                <w:sz w:val="20"/>
                <w:szCs w:val="20"/>
              </w:rPr>
              <w:t xml:space="preserve">ETZ Daily Backup — 100 GB, 7-day retention</w:t>
            </w:r>
          </w:p>
        </w:tc>
        <w:tc>
          <w:tcPr>
            <w:tcW w:type="dxa" w:w="1960"/>
            <w:shd w:fill="F8FAFC" w:color="auto" w:val="clear"/>
          </w:tcPr>
          <w:p>
            <w:pPr>
              <w:spacing w:after="40" w:before="40"/>
            </w:pPr>
            <w:r>
              <w:rPr>
                <w:rFonts w:ascii="Calibri" w:cs="Calibri" w:eastAsia="Calibri" w:hAnsi="Calibri"/>
                <w:b w:val="false"/>
                <w:bCs w:val="false"/>
                <w:i w:val="false"/>
                <w:iCs w:val="false"/>
                <w:color w:val="1F2937"/>
                <w:sz w:val="20"/>
                <w:szCs w:val="20"/>
              </w:rPr>
              <w:t xml:space="preserve">19,768</w:t>
            </w:r>
          </w:p>
        </w:tc>
      </w:tr>
      <w:tr>
        <w:tc>
          <w:tcPr>
            <w:tcW w:type="dxa" w:w="3600"/>
          </w:tcPr>
          <w:p>
            <w:pPr>
              <w:spacing w:after="40" w:before="40"/>
            </w:pPr>
            <w:r>
              <w:rPr>
                <w:rFonts w:ascii="Calibri" w:cs="Calibri" w:eastAsia="Calibri" w:hAnsi="Calibri"/>
                <w:b/>
                <w:bCs/>
                <w:i w:val="false"/>
                <w:iCs w:val="false"/>
                <w:color w:val="1B3A6B"/>
                <w:sz w:val="20"/>
                <w:szCs w:val="20"/>
              </w:rPr>
              <w:t xml:space="preserve">Total</w:t>
            </w:r>
          </w:p>
        </w:tc>
        <w:tc>
          <w:tcPr>
            <w:tcW w:type="dxa" w:w="3800"/>
          </w:tcPr>
          <w:p>
            <w:pPr>
              <w:spacing w:after="40" w:before="40"/>
            </w:pPr>
            <w:r>
              <w:rPr>
                <w:rFonts w:ascii="Calibri" w:cs="Calibri" w:eastAsia="Calibri" w:hAnsi="Calibri"/>
                <w:b w:val="false"/>
                <w:bCs w:val="false"/>
                <w:i/>
                <w:iCs/>
                <w:color w:val="6B7280"/>
                <w:sz w:val="20"/>
                <w:szCs w:val="20"/>
              </w:rPr>
              <w:t xml:space="preserve">Semi-annual (6-month) billing</w:t>
            </w:r>
          </w:p>
        </w:tc>
        <w:tc>
          <w:tcPr>
            <w:tcW w:type="dxa" w:w="1960"/>
          </w:tcPr>
          <w:p>
            <w:pPr>
              <w:spacing w:after="40" w:before="40"/>
            </w:pPr>
            <w:r>
              <w:rPr>
                <w:rFonts w:ascii="Calibri" w:cs="Calibri" w:eastAsia="Calibri" w:hAnsi="Calibri"/>
                <w:b/>
                <w:bCs/>
                <w:i w:val="false"/>
                <w:iCs w:val="false"/>
                <w:color w:val="1B3A6B"/>
                <w:sz w:val="20"/>
                <w:szCs w:val="20"/>
              </w:rPr>
              <w:t xml:space="preserve">126,815</w:t>
            </w:r>
          </w:p>
        </w:tc>
      </w:tr>
    </w:tbl>
    <w:p>
      <w:pPr>
        <w:spacing w:after="160"/>
      </w:pPr>
    </w:p>
    <w:p>
      <w:pPr>
        <w:spacing w:after="100" w:before="0" w:line="276"/>
        <w:jc w:val="left"/>
      </w:pPr>
      <w:r>
        <w:rPr>
          <w:rFonts w:ascii="Calibri" w:cs="Calibri" w:eastAsia="Calibri" w:hAnsi="Calibri"/>
          <w:b/>
          <w:bCs/>
          <w:i w:val="false"/>
          <w:iCs w:val="false"/>
          <w:color w:val="1B3A6B"/>
          <w:sz w:val="22"/>
          <w:szCs w:val="22"/>
        </w:rPr>
        <w:t xml:space="preserve">Items requiring explicit confirmation</w:t>
      </w:r>
    </w:p>
    <w:p>
      <w:pPr>
        <w:spacing w:after="100" w:before="0" w:line="276"/>
        <w:jc w:val="left"/>
      </w:pPr>
      <w:r>
        <w:rPr>
          <w:rFonts w:ascii="Calibri" w:cs="Calibri" w:eastAsia="Calibri" w:hAnsi="Calibri"/>
          <w:b w:val="false"/>
          <w:bCs w:val="false"/>
          <w:i w:val="false"/>
          <w:iCs w:val="false"/>
          <w:color w:val="1F2937"/>
          <w:sz w:val="22"/>
          <w:szCs w:val="22"/>
        </w:rPr>
        <w:t xml:space="preserve">Three configuration items are commonly overlooked during provisioning and would each block go-live. We respectfully ask that they be confirmed alongside the order:</w:t>
      </w:r>
    </w:p>
    <w:p>
      <w:pPr>
        <w:pStyle w:val="ListParagraph"/>
        <w:numPr>
          <w:ilvl w:val="0"/>
          <w:numId w:val="1"/>
        </w:numPr>
        <w:spacing w:after="60" w:line="276"/>
      </w:pPr>
      <w:r>
        <w:rPr>
          <w:rFonts w:ascii="Calibri" w:cs="Calibri" w:eastAsia="Calibri" w:hAnsi="Calibri"/>
          <w:b/>
          <w:bCs/>
          <w:i w:val="false"/>
          <w:iCs w:val="false"/>
          <w:color w:val="1F2937"/>
          <w:sz w:val="21"/>
          <w:szCs w:val="21"/>
        </w:rPr>
        <w:t xml:space="preserve">Elastic IP (EIP) allocation. </w:t>
      </w:r>
      <w:r>
        <w:rPr>
          <w:rFonts w:ascii="Calibri" w:cs="Calibri" w:eastAsia="Calibri" w:hAnsi="Calibri"/>
          <w:b w:val="false"/>
          <w:bCs w:val="false"/>
          <w:i w:val="false"/>
          <w:iCs w:val="false"/>
          <w:color w:val="1F2937"/>
          <w:sz w:val="21"/>
          <w:szCs w:val="21"/>
        </w:rPr>
        <w:t xml:space="preserve">A static public IPv4 address is governed by a separate quota. Without it, the server cannot be reached from the public internet.</w:t>
      </w:r>
    </w:p>
    <w:p>
      <w:pPr>
        <w:pStyle w:val="ListParagraph"/>
        <w:numPr>
          <w:ilvl w:val="0"/>
          <w:numId w:val="1"/>
        </w:numPr>
        <w:spacing w:after="60" w:line="276"/>
      </w:pPr>
      <w:r>
        <w:rPr>
          <w:rFonts w:ascii="Calibri" w:cs="Calibri" w:eastAsia="Calibri" w:hAnsi="Calibri"/>
          <w:b/>
          <w:bCs/>
          <w:i w:val="false"/>
          <w:iCs w:val="false"/>
          <w:color w:val="1F2937"/>
          <w:sz w:val="21"/>
          <w:szCs w:val="21"/>
        </w:rPr>
        <w:t xml:space="preserve">UDP port 443, in addition to TCP port 443. </w:t>
      </w:r>
      <w:r>
        <w:rPr>
          <w:rFonts w:ascii="Calibri" w:cs="Calibri" w:eastAsia="Calibri" w:hAnsi="Calibri"/>
          <w:b w:val="false"/>
          <w:bCs w:val="false"/>
          <w:i w:val="false"/>
          <w:iCs w:val="false"/>
          <w:color w:val="1F2937"/>
          <w:sz w:val="21"/>
          <w:szCs w:val="21"/>
        </w:rPr>
        <w:t xml:space="preserve">Our reverse proxy serves HTTP/3 over QUIC, which requires both protocols to be opened on the security group.</w:t>
      </w:r>
    </w:p>
    <w:p>
      <w:pPr>
        <w:pStyle w:val="ListParagraph"/>
        <w:numPr>
          <w:ilvl w:val="0"/>
          <w:numId w:val="1"/>
        </w:numPr>
        <w:spacing w:after="60" w:line="276"/>
      </w:pPr>
      <w:r>
        <w:rPr>
          <w:rFonts w:ascii="Calibri" w:cs="Calibri" w:eastAsia="Calibri" w:hAnsi="Calibri"/>
          <w:b/>
          <w:bCs/>
          <w:i w:val="false"/>
          <w:iCs w:val="false"/>
          <w:color w:val="1F2937"/>
          <w:sz w:val="21"/>
          <w:szCs w:val="21"/>
        </w:rPr>
        <w:t xml:space="preserve">Ubuntu Server 24.04 LTS availability </w:t>
      </w:r>
      <w:r>
        <w:rPr>
          <w:rFonts w:ascii="Calibri" w:cs="Calibri" w:eastAsia="Calibri" w:hAnsi="Calibri"/>
          <w:b w:val="false"/>
          <w:bCs w:val="false"/>
          <w:i w:val="false"/>
          <w:iCs w:val="false"/>
          <w:color w:val="1F2937"/>
          <w:sz w:val="21"/>
          <w:szCs w:val="21"/>
        </w:rPr>
        <w:t xml:space="preserve">as the base operating system image (Ubuntu 22.04 LTS is an acceptable alternative).</w:t>
      </w:r>
    </w:p>
    <w:p>
      <w:pPr>
        <w:spacing w:after="120"/>
      </w:pPr>
    </w:p>
    <w:p>
      <w:pPr>
        <w:spacing w:after="140" w:before="0" w:line="276"/>
        <w:jc w:val="left"/>
      </w:pPr>
      <w:r>
        <w:rPr>
          <w:rFonts w:ascii="Calibri" w:cs="Calibri" w:eastAsia="Calibri" w:hAnsi="Calibri"/>
          <w:b w:val="false"/>
          <w:bCs w:val="false"/>
          <w:i w:val="false"/>
          <w:iCs w:val="false"/>
          <w:color w:val="1F2937"/>
          <w:sz w:val="22"/>
          <w:szCs w:val="22"/>
        </w:rPr>
        <w:t xml:space="preserve">The enclosed technical document sets out the full specification, network and security group configuration, DNS requirements, provisioning sequence, and the complete list of confirmations sought from your teams. DAPS PLC assumes full responsibility for all operations above the virtual machine layer — operating system hardening, container runtime, application deployment, monitoring, and backups — placing no operational burden on Ethio Telecom staff following handover.</w:t>
      </w:r>
    </w:p>
    <w:p>
      <w:pPr>
        <w:spacing w:after="220" w:before="0" w:line="276"/>
        <w:jc w:val="left"/>
      </w:pPr>
      <w:r>
        <w:rPr>
          <w:rFonts w:ascii="Calibri" w:cs="Calibri" w:eastAsia="Calibri" w:hAnsi="Calibri"/>
          <w:b w:val="false"/>
          <w:bCs w:val="false"/>
          <w:i w:val="false"/>
          <w:iCs w:val="false"/>
          <w:color w:val="1F2937"/>
          <w:sz w:val="22"/>
          <w:szCs w:val="22"/>
        </w:rPr>
        <w:t xml:space="preserve">We would be grateful for your confirmation of the above and for guidance on the procurement and payment process. Our technical team is available to meet with your cloud and networking engineers at your convenience, and we look forward to working with Ethio Telecom on this deployment.</w:t>
      </w:r>
    </w:p>
    <w:p>
      <w:pPr>
        <w:spacing w:after="360" w:before="0" w:line="276"/>
        <w:jc w:val="left"/>
      </w:pPr>
      <w:r>
        <w:rPr>
          <w:rFonts w:ascii="Calibri" w:cs="Calibri" w:eastAsia="Calibri" w:hAnsi="Calibri"/>
          <w:b w:val="false"/>
          <w:bCs w:val="false"/>
          <w:i w:val="false"/>
          <w:iCs w:val="false"/>
          <w:color w:val="1F2937"/>
          <w:sz w:val="22"/>
          <w:szCs w:val="22"/>
        </w:rPr>
        <w:t xml:space="preserve">Yours faithfully,</w:t>
      </w:r>
    </w:p>
    <w:p>
      <w:pPr>
        <w:pBdr>
          <w:top w:val="single" w:color="1F2937" w:sz="4"/>
        </w:pBdr>
        <w:spacing w:after="20"/>
        <w:ind w:right="6000"/>
      </w:pPr>
    </w:p>
    <w:p>
      <w:pPr>
        <w:spacing w:after="20" w:before="0" w:line="276"/>
        <w:jc w:val="left"/>
      </w:pPr>
      <w:r>
        <w:rPr>
          <w:rFonts w:ascii="Calibri" w:cs="Calibri" w:eastAsia="Calibri" w:hAnsi="Calibri"/>
          <w:b/>
          <w:bCs/>
          <w:i w:val="false"/>
          <w:iCs w:val="false"/>
          <w:color w:val="1F2937"/>
          <w:sz w:val="22"/>
          <w:szCs w:val="22"/>
        </w:rPr>
        <w:t xml:space="preserve">Moti Begi</w:t>
      </w:r>
    </w:p>
    <w:p>
      <w:pPr>
        <w:spacing w:after="20" w:before="0" w:line="276"/>
        <w:jc w:val="left"/>
      </w:pPr>
      <w:r>
        <w:rPr>
          <w:rFonts w:ascii="Calibri" w:cs="Calibri" w:eastAsia="Calibri" w:hAnsi="Calibri"/>
          <w:b w:val="false"/>
          <w:bCs w:val="false"/>
          <w:i w:val="false"/>
          <w:iCs w:val="false"/>
          <w:color w:val="6B7280"/>
          <w:sz w:val="20"/>
          <w:szCs w:val="20"/>
        </w:rPr>
        <w:t xml:space="preserve">Operations Officer</w:t>
      </w:r>
    </w:p>
    <w:p>
      <w:pPr>
        <w:spacing w:after="200" w:before="0" w:line="276"/>
        <w:jc w:val="left"/>
      </w:pPr>
      <w:r>
        <w:rPr>
          <w:rFonts w:ascii="Calibri" w:cs="Calibri" w:eastAsia="Calibri" w:hAnsi="Calibri"/>
          <w:b w:val="false"/>
          <w:bCs w:val="false"/>
          <w:i w:val="false"/>
          <w:iCs w:val="false"/>
          <w:color w:val="6B7280"/>
          <w:sz w:val="20"/>
          <w:szCs w:val="20"/>
        </w:rPr>
        <w:t xml:space="preserve">For and on behalf of DAPS PLC</w:t>
      </w:r>
    </w:p>
    <w:p>
      <w:pPr>
        <w:pBdr>
          <w:top w:val="single" w:color="CBD5E1" w:sz="1"/>
        </w:pBdr>
        <w:spacing w:after="60" w:before="100"/>
      </w:pPr>
    </w:p>
    <w:p>
      <w:pPr>
        <w:spacing w:after="0" w:before="0" w:line="276"/>
        <w:jc w:val="left"/>
      </w:pPr>
      <w:r>
        <w:rPr>
          <w:rFonts w:ascii="Calibri" w:cs="Calibri" w:eastAsia="Calibri" w:hAnsi="Calibri"/>
          <w:b/>
          <w:bCs/>
          <w:i w:val="false"/>
          <w:iCs w:val="false"/>
          <w:color w:val="6B7280"/>
          <w:sz w:val="19"/>
          <w:szCs w:val="19"/>
        </w:rPr>
        <w:t xml:space="preserve">Enclosure:  </w:t>
      </w:r>
      <w:r>
        <w:rPr>
          <w:rFonts w:ascii="Calibri" w:cs="Calibri" w:eastAsia="Calibri" w:hAnsi="Calibri"/>
          <w:b w:val="false"/>
          <w:bCs w:val="false"/>
          <w:i w:val="false"/>
          <w:iCs w:val="false"/>
          <w:color w:val="6B7280"/>
          <w:sz w:val="19"/>
          <w:szCs w:val="19"/>
        </w:rPr>
        <w:t xml:space="preserve">Ethio Cloud ECS — Infrastructure Provisioning Request (technical specification)</w:t>
      </w:r>
    </w:p>
    <w:sectPr>
      <w:pgSz w:w="12240" w:h="15840" w:orient="portrait"/>
      <w:pgMar w:top="1224" w:right="1727" w:bottom="1008"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bd378993ecc2fa9feb179001ba50c0883a0a67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for Provisioning of Elastic Cloud Server (ECS) Infrastructure</dc:title>
  <dc:creator>DAPS PLC</dc:creator>
  <dc:description>Cover letter to Ethio Telecom — Onekof PM Platform</dc:description>
  <cp:lastModifiedBy>DAPS PLC</cp:lastModifiedBy>
  <cp:revision>1</cp:revision>
  <dcterms:created xsi:type="dcterms:W3CDTF">2026-08-05T21:45:59.885Z</dcterms:created>
  <dcterms:modified xsi:type="dcterms:W3CDTF">2026-08-05T21:45:59.885Z</dcterms:modified>
</cp:coreProperties>
</file>

<file path=docProps/custom.xml><?xml version="1.0" encoding="utf-8"?>
<Properties xmlns="http://schemas.openxmlformats.org/officeDocument/2006/custom-properties" xmlns:vt="http://schemas.openxmlformats.org/officeDocument/2006/docPropsVTypes"/>
</file>