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b/>
          <w:color w:val="1F6B6B"/>
          <w:sz w:val="30"/>
        </w:rPr>
        <w:t>Fiche « réalités du marché » — Web &amp; outils de gestion pour le non-marchand (Bruxelles)</w:t>
      </w:r>
    </w:p>
    <w:p>
      <w:r>
        <w:rPr>
          <w:b w:val="0"/>
          <w:i/>
          <w:color w:val="1F6B6B"/>
          <w:sz w:val="22"/>
        </w:rPr>
        <w:t>Recherche de marché (desk research) — synthèse de sources publiques, juillet 2026. À confronter avec l'interview réelle. Ceci n'est PAS une interview.</w:t>
      </w:r>
    </w:p>
    <w:p>
      <w:pPr>
        <w:spacing w:before="240"/>
      </w:pPr>
      <w:r>
        <w:rPr>
          <w:b/>
          <w:color w:val="1F6B6B"/>
          <w:sz w:val="30"/>
        </w:rPr>
        <w:t>1. Prix pratiqués sur le marché</w:t>
      </w:r>
    </w:p>
    <w:p>
      <w:pPr>
        <w:spacing w:before="160"/>
      </w:pPr>
      <w:r>
        <w:rPr>
          <w:b/>
          <w:color w:val="1F6B6B"/>
          <w:sz w:val="25"/>
        </w:rPr>
        <w:t>Sites web</w:t>
      </w:r>
    </w:p>
    <w:p>
      <w:pPr>
        <w:pStyle w:val="ListBullet"/>
      </w:pPr>
      <w:r>
        <w:t>Site pour ASBL / petit budget : de 0 à ~1 500 € (souvent en DIY ou freelance débutant). Freelance : à partir de ~500 € pour un site vitrine.</w:t>
      </w:r>
    </w:p>
    <w:p>
      <w:pPr>
        <w:pStyle w:val="ListBullet"/>
      </w:pPr>
      <w:r>
        <w:t>Site vitrine PME via agence : 2 000 à 8 000 € HTVA (moyenne ~2 500 €) ; version évoluée 4 000 à 25 000 €. Délai typique 8–12 semaines.</w:t>
      </w:r>
    </w:p>
    <w:p>
      <w:pPr>
        <w:pStyle w:val="ListBullet"/>
      </w:pPr>
      <w:r>
        <w:t>Site e-commerce : 6 000 à 25 000 €+ HTVA.</w:t>
      </w:r>
    </w:p>
    <w:p>
      <w:pPr>
        <w:pStyle w:val="ListBullet"/>
      </w:pPr>
      <w:r>
        <w:t>Coûts récurrents facturables : hébergement 120–350 €/an, maintenance/sécurité 250–1 200 €/an.</w:t>
      </w:r>
    </w:p>
    <w:p>
      <w:pPr>
        <w:spacing w:before="160"/>
      </w:pPr>
      <w:r>
        <w:rPr>
          <w:b/>
          <w:color w:val="1F6B6B"/>
          <w:sz w:val="25"/>
        </w:rPr>
        <w:t>Taux horaires / journaliers (freelance dev, Belgique)</w:t>
      </w:r>
    </w:p>
    <w:p>
      <w:pPr>
        <w:pStyle w:val="ListBullet"/>
      </w:pPr>
      <w:r>
        <w:t>Taux horaire courant : 40–80 €/h selon profil.</w:t>
      </w:r>
    </w:p>
    <w:p>
      <w:pPr>
        <w:pStyle w:val="ListBullet"/>
      </w:pPr>
      <w:r>
        <w:t>TJM : ~300–350 € pour un revenu net correct ; jusqu'à 700 €+ à Bruxelles pour les profils recherchés.</w:t>
      </w:r>
    </w:p>
    <w:p>
      <w:pPr>
        <w:spacing w:before="160"/>
      </w:pPr>
      <w:r>
        <w:rPr>
          <w:b/>
          <w:color w:val="1F6B6B"/>
          <w:sz w:val="25"/>
        </w:rPr>
        <w:t>Outils de gestion / compta pour ASBL (offre standard = tes concurrents indirects)</w:t>
      </w:r>
    </w:p>
    <w:p>
      <w:pPr>
        <w:pStyle w:val="ListBullet"/>
      </w:pPr>
      <w:r>
        <w:t>Ciel Associations : à partir de 129 €. Yapla : modèle freemium. Exact WinBooks : abonnement. NOALYSS : libre/gratuit (open source).</w:t>
      </w:r>
    </w:p>
    <w:p>
      <w:pPr>
        <w:pStyle w:val="ListBullet"/>
      </w:pPr>
      <w:r>
        <w:t>Enseignement : le marché du logiciel STANDARD est occupé et peu cher → ta valeur est le SUR-MESURE que ces outils ne couvrent pas.</w:t>
      </w:r>
    </w:p>
    <w:p>
      <w:pPr>
        <w:spacing w:before="240"/>
      </w:pPr>
      <w:r>
        <w:rPr>
          <w:b/>
          <w:color w:val="1F6B6B"/>
          <w:sz w:val="30"/>
        </w:rPr>
        <w:t>2. Structure du marché &amp; concurrents identifiés</w:t>
      </w:r>
    </w:p>
    <w:p>
      <w:pPr>
        <w:pStyle w:val="ListBullet"/>
      </w:pPr>
      <w:r>
        <w:t>Spécialistes associatif : Webup (Namur/Bxl, ~15 ans), Comsa ASBL, Média Animation ASBL.</w:t>
      </w:r>
    </w:p>
    <w:p>
      <w:pPr>
        <w:pStyle w:val="ListBullet"/>
      </w:pPr>
      <w:r>
        <w:t>Généralistes : VR Agency, nombreuses agences web bruxelloises, freelances.</w:t>
      </w:r>
    </w:p>
    <w:p>
      <w:pPr>
        <w:pStyle w:val="ListBullet"/>
      </w:pPr>
      <w:r>
        <w:t>Acteur de référence / prescripteur : L'Agence pour le Non-Marchand (MonASBL.be, Le Guide Social — 300 000+ visites/mois).</w:t>
      </w:r>
    </w:p>
    <w:p>
      <w:pPr>
        <w:pStyle w:val="ListBullet"/>
      </w:pPr>
      <w:r>
        <w:t>Concurrence indirecte (forte) : Wix, WordPress, Squarespace en DIY + générateurs de sites par IA → pression sur les prix du site vitrine.</w:t>
      </w:r>
    </w:p>
    <w:p>
      <w:pPr>
        <w:spacing w:before="240"/>
      </w:pPr>
      <w:r>
        <w:rPr>
          <w:b/>
          <w:color w:val="1F6B6B"/>
          <w:sz w:val="30"/>
        </w:rPr>
        <w:t>3. Canaux d'acquisition qui fonctionnent</w:t>
      </w:r>
    </w:p>
    <w:p>
      <w:pPr>
        <w:pStyle w:val="ListBullet"/>
      </w:pPr>
      <w:r>
        <w:t>Spécialisation / niche : plus le positionnement est précis (ici : non-marchand), plus on est convaincant et recommandé.</w:t>
      </w:r>
    </w:p>
    <w:p>
      <w:pPr>
        <w:pStyle w:val="ListBullet"/>
      </w:pPr>
      <w:r>
        <w:t>Présence en ligne : portfolio/site perso qui montre le savoir-faire et la personnalité (tu l'as déjà : olivervdb.com).</w:t>
      </w:r>
    </w:p>
    <w:p>
      <w:pPr>
        <w:pStyle w:val="ListBullet"/>
      </w:pPr>
      <w:r>
        <w:t>LinkedIn + networking : beaucoup de missions passent par les relations et le bouche-à-oreille.</w:t>
      </w:r>
    </w:p>
    <w:p>
      <w:pPr>
        <w:pStyle w:val="ListBullet"/>
      </w:pPr>
      <w:r>
        <w:t>Plateformes freelance : Malt (.be), Beelance, Jellow, Gighouse.</w:t>
      </w:r>
    </w:p>
    <w:p>
      <w:pPr>
        <w:pStyle w:val="ListBullet"/>
      </w:pPr>
      <w:r>
        <w:t>Prescripteurs sectoriels : fédérations du non-marchand, comptables d'ASBL, MonASBL.be / Guide Social.</w:t>
      </w:r>
    </w:p>
    <w:p>
      <w:pPr>
        <w:spacing w:before="240"/>
      </w:pPr>
      <w:r>
        <w:rPr>
          <w:b/>
          <w:color w:val="1F6B6B"/>
          <w:sz w:val="30"/>
        </w:rPr>
        <w:t>4. Difficultés &amp; pièges typiques du démarrage</w:t>
      </w:r>
    </w:p>
    <w:p>
      <w:pPr>
        <w:pStyle w:val="ListBullet"/>
      </w:pPr>
      <w:r>
        <w:t>Obtenir les premiers clients et fixer ses prix (peur de « trop » demander).</w:t>
      </w:r>
    </w:p>
    <w:p>
      <w:pPr>
        <w:pStyle w:val="ListBullet"/>
      </w:pPr>
      <w:r>
        <w:t>Cadrer le périmètre du sur-mesure → sinon dépassements de temps non facturés.</w:t>
      </w:r>
    </w:p>
    <w:p>
      <w:pPr>
        <w:pStyle w:val="ListBullet"/>
      </w:pPr>
      <w:r>
        <w:t>Besoin d'autonomie du client : prévoir formation + contenu éditable + contrat de maintenance.</w:t>
      </w:r>
    </w:p>
    <w:p>
      <w:pPr>
        <w:pStyle w:val="ListBullet"/>
      </w:pPr>
      <w:r>
        <w:t>Trésorerie : le non-marchand vit de subsides → délais de paiement longs.</w:t>
      </w:r>
    </w:p>
    <w:p>
      <w:pPr>
        <w:spacing w:before="240"/>
      </w:pPr>
      <w:r>
        <w:rPr>
          <w:b/>
          <w:color w:val="1F6B6B"/>
          <w:sz w:val="30"/>
        </w:rPr>
        <w:t>5. Tendances</w:t>
      </w:r>
    </w:p>
    <w:p>
      <w:pPr>
        <w:pStyle w:val="ListBullet"/>
      </w:pPr>
      <w:r>
        <w:t>No-code et IA banalisent le site vitrine « générique » → se différencier par le sur-mesure et l'expertise sectorielle.</w:t>
      </w:r>
    </w:p>
    <w:p>
      <w:pPr>
        <w:pStyle w:val="ListBullet"/>
      </w:pPr>
      <w:r>
        <w:t>Demande croissante d'outils de gestion adaptés (subsides, membres, dons) que les logiciels standards couvrent mal.</w:t>
      </w:r>
    </w:p>
    <w:p>
      <w:pPr>
        <w:spacing w:before="240"/>
      </w:pPr>
      <w:r>
        <w:rPr>
          <w:b/>
          <w:color w:val="1F6B6B"/>
          <w:sz w:val="30"/>
        </w:rPr>
        <w:t>Sources</w:t>
      </w:r>
    </w:p>
    <w:p>
      <w:pPr>
        <w:pStyle w:val="ListBullet"/>
      </w:pPr>
      <w:r>
        <w:t>monasbl.be — Le budget pour créer son site internet</w:t>
      </w:r>
    </w:p>
    <w:p>
      <w:pPr>
        <w:pStyle w:val="ListBullet"/>
      </w:pPr>
      <w:r>
        <w:t>webup.be — Création de site pour ASBL</w:t>
      </w:r>
    </w:p>
    <w:p>
      <w:pPr>
        <w:pStyle w:val="ListBullet"/>
      </w:pPr>
      <w:r>
        <w:t>neoshore.eu — Tarif journalier développeur web freelance</w:t>
      </w:r>
    </w:p>
    <w:p>
      <w:pPr>
        <w:pStyle w:val="ListBullet"/>
      </w:pPr>
      <w:r>
        <w:t>isayprod.be &amp; onemorepixel.be — Prix création site web Belgique 2025</w:t>
      </w:r>
    </w:p>
    <w:p>
      <w:pPr>
        <w:pStyle w:val="ListBullet"/>
      </w:pPr>
      <w:r>
        <w:t>winbooks.be / exact.com, yapla.com, noalyss.eu — offres logiciels ASBL</w:t>
      </w:r>
    </w:p>
    <w:p>
      <w:pPr>
        <w:pStyle w:val="ListBullet"/>
      </w:pPr>
      <w:r>
        <w:t>malt.be, beelance.io, accountable.eu — plateformes &amp; acquisition freelance</w:t>
      </w:r>
    </w:p>
    <w:p>
      <w:pPr>
        <w:pStyle w:val="ListBullet"/>
      </w:pPr>
      <w:r>
        <w:t>lagencepourlenonmarchand.be — MonASBL.be / Le Guide 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