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the Platform, 2024</w:t>
      </w:r>
    </w:p>
    <w:p>
      <w:pPr>
        <w:pStyle w:val="Heading1"/>
      </w:pPr>
      <w:r>
        <w:t>Executive Summary</w:t>
      </w:r>
    </w:p>
    <w:p>
      <w:r>
        <w:t xml:space="preserve">It’s worth noting that this report </w:t>
      </w:r>
      <w:r>
        <w:rPr>
          <w:i/>
        </w:rPr>
        <w:t>is a testament to</w:t>
      </w:r>
      <w:r>
        <w:t xml:space="preserve"> a year of steady, unglamorous work. In today’s fast-paced world, we chose to </w:t>
      </w:r>
      <w:r>
        <w:rPr>
          <w:b/>
        </w:rPr>
        <w:t>leverage</w:t>
      </w:r>
      <w:r>
        <w:t xml:space="preserve"> proven primitives rather than chase novelty—a decision that kept the platform fast, reliable, and scalable.</w:t>
      </w:r>
    </w:p>
    <w:p>
      <w:r>
        <w:rPr>
          <w:u w:val="single"/>
        </w:rPr>
        <w:t>Underlined emphasis</w:t>
      </w:r>
      <w:r>
        <w:t xml:space="preserve"> and a </w:t>
      </w:r>
      <w:r>
        <w:rPr>
          <w:color w:val="C00000"/>
        </w:rPr>
        <w:t>colored callout</w:t>
      </w:r>
      <w:r>
        <w:t xml:space="preserve"> appear here. We “delve” into the tapestry of metrics that, between 2019–2024, told a consistent story… boring is good. </w:t>
      </w:r>
      <w:r>
        <w:t>This sentence contains a hidden zero-width​space and a non-breaking space.</w:t>
      </w:r>
      <w:r>
        <w:t xml:space="preserve"> Moreover, a narrow no-break space and a word⁠joiner hide here, plus an invisible tag char󠁁 right there. As an AI language model, I would never leave these in—Absolutely!</w:t>
      </w:r>
    </w:p>
    <w:p>
      <w:pPr>
        <w:pStyle w:val="Heading2"/>
      </w:pPr>
      <w:r>
        <w:t>Methodology</w:t>
      </w:r>
    </w:p>
    <w:p>
      <w:r>
        <w:t>Our approach was robust by design. We delve into each subsystem, leverage existing telemetry, and aim for a seamless migration path—fast, reliable, and scalable in that order.</w:t>
      </w:r>
    </w:p>
    <w:p>
      <w:pPr>
        <w:pStyle w:val="Heading3"/>
      </w:pPr>
      <w:r>
        <w:t>Findings</w:t>
      </w:r>
    </w:p>
    <w:p>
      <w:pPr>
        <w:pStyle w:val="ListBullet"/>
      </w:pPr>
      <w:r>
        <w:t>Latency improved after we stopped reserializing documents—a quiet win.</w:t>
      </w:r>
    </w:p>
    <w:p>
      <w:pPr>
        <w:pStyle w:val="ListBullet"/>
      </w:pPr>
      <w:r>
        <w:t>The “robust” path handled 99.9% of inputs.</w:t>
      </w:r>
    </w:p>
    <w:p>
      <w:pPr>
        <w:pStyle w:val="ListBullet"/>
      </w:pPr>
      <w:r>
        <w:t>Encoding bugs (BOM, CRLF) fell to near zero…</w:t>
      </w:r>
    </w:p>
    <w:p>
      <w:pPr>
        <w:pStyle w:val="ListNumber"/>
      </w:pPr>
      <w:r>
        <w:t>Adopt span-localized splicing everywhere.</w:t>
      </w:r>
    </w:p>
    <w:p>
      <w:pPr>
        <w:pStyle w:val="ListNumber"/>
      </w:pPr>
      <w:r>
        <w:t>Keep typography normalization off for “docx” by default.</w:t>
      </w:r>
    </w:p>
    <w:p>
      <w:pPr>
        <w:pStyle w:val="ListNumber"/>
      </w:pPr>
      <w:r>
        <w:t>Document the AutoFormat caveat for reviewers.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p99 latency</w:t>
            </w:r>
          </w:p>
        </w:tc>
        <w:tc>
          <w:tcPr>
            <w:tcW w:type="dxa" w:w="2880"/>
          </w:tcPr>
          <w:p>
            <w:r>
              <w:t>540 ms</w:t>
            </w:r>
          </w:p>
        </w:tc>
        <w:tc>
          <w:tcPr>
            <w:tcW w:type="dxa" w:w="2880"/>
          </w:tcPr>
          <w:p>
            <w:r>
              <w:t>31 ms</w:t>
            </w:r>
          </w:p>
        </w:tc>
      </w:tr>
      <w:tr>
        <w:tc>
          <w:tcPr>
            <w:tcW w:type="dxa" w:w="2880"/>
          </w:tcPr>
          <w:p>
            <w:r>
              <w:t>Formatting-corruption incidents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Reviewer trust (it’s subjective)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r>
        <w:t xml:space="preserve">Full design rationale: </w:t>
      </w:r>
      <w:hyperlink r:id="rId11">
        <w:r>
          <w:rPr>
            <w:color w:val="0563C1"/>
            <w:u w:val="single"/>
          </w:rPr>
          <w:t>the architecture notes</w:t>
        </w:r>
      </w:hyperlink>
      <w:r>
        <w:t>.</w:t>
      </w:r>
    </w:p>
    <w:p>
      <w:r>
        <w:br w:type="page"/>
      </w:r>
    </w:p>
    <w:p>
      <w:pPr>
        <w:pStyle w:val="Heading1"/>
      </w:pPr>
      <w:r>
        <w:t>Appendix A: Glossary</w:t>
      </w:r>
    </w:p>
    <w:p>
      <w:r>
        <w:t>When it comes to vocabulary, a few words recur in machine prose: delve, tapestry, robust, leverage, seamless. Each is ordinary English—the tic is the repetition, not the word.</w:t>
      </w:r>
    </w:p>
    <w:p>
      <w:r>
        <w:t>We ❤️ a clean diff. Furthermore, a thin space and an ideographic　space hide in this line, but the heart emoji above must survive untouched.</w:t>
      </w:r>
    </w:p>
    <w:p>
      <w:r>
        <w:drawing>
          <wp:inline xmlns:a="http://schemas.openxmlformats.org/drawingml/2006/main" xmlns:pic="http://schemas.openxmlformats.org/drawingml/2006/picture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img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A-1. A placeholder chart—illustrative only.</w:t>
      </w:r>
    </w:p>
    <w:p>
      <w:r>
        <w:t>Filler paragraph 1. It’s worth noting that real reports run long, and this one is no exception… we leverage whitespace to span pages, a small but seamless way to prove multi-page handling.</w:t>
      </w:r>
    </w:p>
    <w:p>
      <w:r>
        <w:t>Filler paragraph 2. It’s worth noting that real reports run long, and this one is no exception… we leverage whitespace to span pages, a small but seamless way to prove multi-page handling.</w:t>
      </w:r>
    </w:p>
    <w:p>
      <w:r>
        <w:t>Filler paragraph 3. It’s worth noting that real reports run long, and this one is no exception… we leverage whitespace to span pages, a small but seamless way to prove multi-page handling.</w:t>
      </w:r>
    </w:p>
    <w:p>
      <w:r>
        <w:t>Filler paragraph 4. It’s worth noting that real reports run long, and this one is no exception… we leverage whitespace to span pages, a small but seamless way to prove multi-page handling.</w:t>
      </w:r>
    </w:p>
    <w:p>
      <w:r>
        <w:t>Filler paragraph 5. It’s worth noting that real reports run long, and this one is no exception… we leverage whitespace to span pages, a small but seamless way to prove multi-page handling.</w:t>
      </w:r>
    </w:p>
    <w:p>
      <w:r>
        <w:t>Filler paragraph 6. It’s worth noting that real reports run long, and this one is no exception… we leverage whitespace to span pages, a small but seamless way to prove multi-page handling.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Engineering Report (Confidential)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design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