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Fidelity Torture Test</w:t>
      </w:r>
    </w:p>
    <w:p>
      <w:r>
        <w:t>This document deliberately stacks formatting features against fingerprints so the tool can prove it cleans prose without corrupting structure.</w:t>
      </w:r>
    </w:p>
    <w:p>
      <w:pPr>
        <w:pStyle w:val="Heading1"/>
      </w:pPr>
      <w:r>
        <w:t>Mixed Runs</w:t>
      </w:r>
    </w:p>
    <w:p>
      <w:r>
        <w:rPr>
          <w:sz w:val="40"/>
        </w:rPr>
        <w:t xml:space="preserve">Big </w:t>
      </w:r>
      <w:r>
        <w:rPr>
          <w:sz w:val="16"/>
        </w:rPr>
        <w:t xml:space="preserve">small </w:t>
      </w:r>
      <w:r>
        <w:rPr>
          <w:color w:val="008000"/>
        </w:rPr>
        <w:t xml:space="preserve">green </w:t>
      </w:r>
      <w:r>
        <w:rPr>
          <w:rFonts w:ascii="Courier New" w:hAnsi="Courier New"/>
        </w:rPr>
        <w:t xml:space="preserve">Courier </w:t>
      </w:r>
      <w:r>
        <w:rPr>
          <w:vertAlign w:val="superscript"/>
        </w:rPr>
        <w:t>super</w:t>
      </w:r>
      <w:r>
        <w:t xml:space="preserve"> and </w:t>
      </w:r>
      <w:r>
        <w:rPr>
          <w:vertAlign w:val="subscript"/>
        </w:rPr>
        <w:t>sub</w:t>
      </w:r>
      <w:r>
        <w:t>. It’s worth noting that the em dash—and the ellipsis…thread through these runs.</w:t>
      </w:r>
    </w:p>
    <w:p>
      <w:pPr>
        <w:pStyle w:val="Heading1"/>
      </w:pPr>
      <w:r>
        <w:t>Nested Lists</w:t>
      </w:r>
    </w:p>
    <w:p>
      <w:pPr>
        <w:pStyle w:val="ListBullet"/>
      </w:pPr>
      <w:r>
        <w:t>Top level one—delve here.</w:t>
      </w:r>
    </w:p>
    <w:p>
      <w:pPr>
        <w:pStyle w:val="ListBullet2"/>
      </w:pPr>
      <w:r>
        <w:t>Nested under one.</w:t>
      </w:r>
    </w:p>
    <w:p>
      <w:pPr>
        <w:pStyle w:val="ListBullet3"/>
      </w:pPr>
      <w:r>
        <w:t>Deeper still…</w:t>
      </w:r>
    </w:p>
    <w:p>
      <w:pPr>
        <w:pStyle w:val="ListBullet"/>
      </w:pPr>
      <w:r>
        <w:t>Top level two.</w:t>
      </w:r>
    </w:p>
    <w:p>
      <w:pPr>
        <w:pStyle w:val="ListNumber2"/>
      </w:pPr>
      <w:r>
        <w:t>Numbered child a.</w:t>
      </w:r>
    </w:p>
    <w:p>
      <w:pPr>
        <w:pStyle w:val="ListNumber2"/>
      </w:pPr>
      <w:r>
        <w:t>Numbered child b—leverage this.</w:t>
      </w:r>
    </w:p>
    <w:p>
      <w:pPr>
        <w:pBdr>
          <w:bottom w:val="single" w:sz="12" w:space="1" w:color="999999"/>
        </w:pBdr>
      </w:pPr>
    </w:p>
    <w:p>
      <w:pPr>
        <w:pStyle w:val="Heading1"/>
      </w:pPr>
      <w:r>
        <w:t>Table With Bold Cell + Hyperlink</w:t>
      </w:r>
    </w:p>
    <w:tbl>
      <w:tblPr>
        <w:tblStyle w:val="TableGrid"/>
        <w:tblW w:type="auto" w:w="0"/>
        <w:tblLook w:firstColumn="1" w:firstRow="1" w:lastColumn="0" w:lastRow="0" w:noHBand="0" w:noVBand="1" w:val="04A0"/>
      </w:tblPr>
      <w:tblGrid>
        <w:gridCol w:w="4320"/>
        <w:gridCol w:w="4320"/>
      </w:tblGrid>
      <w:tr>
        <w:tc>
          <w:tcPr>
            <w:tcW w:type="dxa" w:w="4320"/>
          </w:tcPr>
          <w:p>
            <w:r>
              <w:rPr>
                <w:b/>
              </w:rPr>
              <w:t>Bold header</w:t>
            </w:r>
          </w:p>
        </w:tc>
        <w:tc>
          <w:tcPr>
            <w:tcW w:type="dxa" w:w="4320"/>
          </w:tcPr>
          <w:p>
            <w:r>
              <w:t>Plain header</w:t>
            </w:r>
          </w:p>
        </w:tc>
      </w:tr>
      <w:tr>
        <w:tc>
          <w:tcPr>
            <w:tcW w:type="dxa" w:w="4320"/>
          </w:tcPr>
          <w:p>
            <w:r>
              <w:t>Cell with “curly quotes” and delve</w:t>
            </w:r>
          </w:p>
        </w:tc>
        <w:tc>
          <w:tcPr>
            <w:tcW w:type="dxa" w:w="4320"/>
          </w:tcPr>
          <w:p>
            <w:hyperlink r:id="rId9">
              <w:r>
                <w:rPr>
                  <w:color w:val="0563C1"/>
                  <w:u w:val="single"/>
                </w:rPr>
                <w:t>in-cell link</w:t>
              </w:r>
            </w:hyperlink>
          </w:p>
        </w:tc>
      </w:tr>
      <w:tr>
        <w:tc>
          <w:tcPr>
            <w:tcW w:type="dxa" w:w="4320"/>
          </w:tcPr>
          <w:p>
            <w:r>
              <w:t>Em dash in a cell—right here.</w:t>
            </w:r>
          </w:p>
        </w:tc>
        <w:tc>
          <w:tcPr>
            <w:tcW w:type="dxa" w:w="4320"/>
          </w:tcPr>
          <w:p>
            <w:r>
              <w:t>It’s worth noting that cells carry fingerprints too…</w:t>
            </w:r>
          </w:p>
        </w:tc>
      </w:tr>
    </w:tbl>
    <w:p>
      <w:pPr>
        <w:pStyle w:val="Heading1"/>
      </w:pPr>
      <w:r>
        <w:t>Two Images</w:t>
      </w:r>
    </w:p>
    <w:p>
      <w:r>
        <w:drawing>
          <wp:inline xmlns:a="http://schemas.openxmlformats.org/drawingml/2006/main" xmlns:pic="http://schemas.openxmlformats.org/drawingml/2006/picture">
            <wp:extent cx="2011680" cy="1341120"/>
            <wp:docPr id="1" name="Picture 1"/>
            <wp:cNvGraphicFramePr>
              <a:graphicFrameLocks noChangeAspect="1"/>
            </wp:cNvGraphicFramePr>
            <a:graphic>
              <a:graphicData uri="http://schemas.openxmlformats.org/drawingml/2006/picture">
                <pic:pic>
                  <pic:nvPicPr>
                    <pic:cNvPr id="0" name="fiximg_a.png"/>
                    <pic:cNvPicPr/>
                  </pic:nvPicPr>
                  <pic:blipFill>
                    <a:blip r:embed="rId10"/>
                    <a:stretch>
                      <a:fillRect/>
                    </a:stretch>
                  </pic:blipFill>
                  <pic:spPr>
                    <a:xfrm>
                      <a:off x="0" y="0"/>
                      <a:ext cx="2011680" cy="1341120"/>
                    </a:xfrm>
                    <a:prstGeom prst="rect"/>
                  </pic:spPr>
                </pic:pic>
              </a:graphicData>
            </a:graphic>
          </wp:inline>
        </w:drawing>
      </w:r>
    </w:p>
    <w:p>
      <w:r>
        <w:t>Image one above—a colored placeholder.</w:t>
      </w:r>
    </w:p>
    <w:p>
      <w:r>
        <w:drawing>
          <wp:inline xmlns:a="http://schemas.openxmlformats.org/drawingml/2006/main" xmlns:pic="http://schemas.openxmlformats.org/drawingml/2006/picture">
            <wp:extent cx="2011680" cy="1341120"/>
            <wp:docPr id="2" name="Picture 2"/>
            <wp:cNvGraphicFramePr>
              <a:graphicFrameLocks noChangeAspect="1"/>
            </wp:cNvGraphicFramePr>
            <a:graphic>
              <a:graphicData uri="http://schemas.openxmlformats.org/drawingml/2006/picture">
                <pic:pic>
                  <pic:nvPicPr>
                    <pic:cNvPr id="0" name="fiximg_c.png"/>
                    <pic:cNvPicPr/>
                  </pic:nvPicPr>
                  <pic:blipFill>
                    <a:blip r:embed="rId11"/>
                    <a:stretch>
                      <a:fillRect/>
                    </a:stretch>
                  </pic:blipFill>
                  <pic:spPr>
                    <a:xfrm>
                      <a:off x="0" y="0"/>
                      <a:ext cx="2011680" cy="1341120"/>
                    </a:xfrm>
                    <a:prstGeom prst="rect"/>
                  </pic:spPr>
                </pic:pic>
              </a:graphicData>
            </a:graphic>
          </wp:inline>
        </w:drawing>
      </w:r>
    </w:p>
    <w:p>
      <w:r>
        <w:t>Image two above… also a placeholder.</w:t>
      </w:r>
    </w:p>
    <w:p>
      <w:r>
        <w:br w:type="page"/>
      </w:r>
    </w:p>
    <w:p>
      <w:pPr>
        <w:pStyle w:val="Heading1"/>
      </w:pPr>
      <w:r>
        <w:t>Shapes With Fingerprint Text</w:t>
      </w:r>
    </w:p>
    <w:p>
      <w:r>
        <w:pict>
          <v:rect id="vml_rect_1" style="width:260pt;height:60pt" fillcolor="#eef3ff" strokecolor="#2b5fb5" strokeweight="1pt">
            <v:textbox inset="4pt,2pt,4pt,2pt">
              <w:txbxContent>
                <w:p>
                  <w:r>
                    <w:t xml:space="preserve">VML shape text: delve into a “robust” tapestry—it’s worth noting that this lives inside a drawing. Moreover, an RLO override‮and a narrow space and a tag char󠁁 hide in this shape. As an AI language model, I smuggled them here.</w:t>
                  </w:r>
                </w:p>
              </w:txbxContent>
            </v:textbox>
          </v:rect>
        </w:pict>
      </w:r>
    </w:p>
    <w:p>
      <w:r>
        <w:t>(Above: a VML &lt;v:rect&gt; text box.)</w:t>
      </w:r>
    </w:p>
    <w:p>
      <w:r xmlns:a="http://schemas.openxmlformats.org/drawingml/2006/main">
        <w:drawing>
          <wp:inline distT="0" distB="0" distL="0" distR="0">
            <wp:extent cx="3000000" cy="800000"/>
            <wp:docPr id="100" name="TextBox 1"/>
            <a:graphic>
              <a:graphicData uri="http://schemas.microsoft.com/office/word/2010/wordprocessingShape">
                <wps:wsp>
                  <wps:spPr>
                    <a:prstGeom prst="rect">
                      <a:avLst/>
                    </a:prstGeom>
                    <a:solidFill>
                      <a:srgbClr val="FFF6E5"/>
                    </a:solidFill>
                    <a:ln w="12700">
                      <a:solidFill>
                        <a:srgbClr val="C08A1E"/>
                      </a:solidFill>
                    </a:ln>
                  </wps:spPr>
                  <wps:txbx>
                    <w:txbxContent>
                      <w:p>
                        <w:r>
                          <w:t xml:space="preserve">DrawingML box text: leverage seamless synergy… curly “quotes” and an em dash—delve. A smuggled selectora︀︁️ and a word⁠joiner and a zero​width space also ride inside this drawing.</w:t>
                        </w:r>
                      </w:p>
                    </w:txbxContent>
                  </wps:txbx>
                  <wps:bodyPr/>
                </wps:wsp>
              </a:graphicData>
            </a:graphic>
          </wp:inline>
        </w:drawing>
      </w:r>
    </w:p>
    <w:p>
      <w:r>
        <w:t>(Above: a DrawingML &lt;wps:wsp&gt; text box.)</w:t>
      </w:r>
    </w:p>
    <w:p>
      <w:r>
        <w:br w:type="page"/>
      </w:r>
    </w:p>
    <w:p>
      <w:pPr>
        <w:pStyle w:val="Heading1"/>
      </w:pPr>
      <w:r>
        <w:t>Fingerprint-Dense Paragraph</w:t>
      </w:r>
    </w:p>
    <w:p>
      <w:r>
        <w:t>It’s worth noting that, in today’s fast-paced world, this paragraph is a testament to excess: we delve into a tapestry of robust, seamless solutions and leverage every cliche—fast, reliable, and scalable—while “smart quotes” and an apostrophe in it’s and an ellipsis… pile up. Numeric range 2019–2024 should keep its en dash. A non-breaking space and a zero-width​space hide in here. It’s not just verbose—it’s a stress test.</w:t>
      </w:r>
    </w:p>
    <w:p>
      <w:r>
        <w:t>Padding 1—we delve a little more so the document comfortably spans three pages…</w:t>
      </w:r>
    </w:p>
    <w:p>
      <w:r>
        <w:t>Padding 2—we delve a little more so the document comfortably spans three pages…</w:t>
      </w:r>
    </w:p>
    <w:p>
      <w:r>
        <w:t>Padding 3—we delve a little more so the document comfortably spans three pages…</w:t>
      </w:r>
    </w:p>
    <w:p>
      <w:r>
        <w:t>Padding 4—we delve a little more so the document comfortably spans three pages…</w:t>
      </w:r>
    </w:p>
    <w:p>
      <w:r>
        <w:t>Padding 5—we delve a little more so the document comfortably spans three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com/in-cell" TargetMode="Externa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