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楷体" w:eastAsia="楷体"/>
          <w:sz w:val="24"/>
        </w:rPr>
        <w:id w:val="-280345123"/>
      </w:sdtPr>
      <w:sdtEndPr>
        <w:rPr>
          <w:lang w:val="zh-CN"/>
        </w:rPr>
      </w:sdtEndPr>
      <w:sdtContent>
        <w:p w14:paraId="337919EB" w14:textId="77777777" w:rsidR="00F029CD" w:rsidRDefault="00C21B83" w:rsidP="00A16714">
          <w:pPr>
            <w:pStyle w:val="aa"/>
            <w:spacing w:beforeLines="50" w:before="163" w:afterLines="50" w:after="163"/>
            <w:rPr>
              <w:rFonts w:eastAsia="楷体"/>
              <w:lang w:val="zh-CN"/>
            </w:rPr>
            <w:sectPr w:rsidR="00F029CD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0"/>
              <w:cols w:space="425"/>
              <w:docGrid w:type="lines" w:linePitch="326"/>
            </w:sectPr>
          </w:pPr>
          <w:r>
            <w:rPr>
              <w:rFonts w:eastAsia="楷体" w:hint="eastAsia"/>
              <w:noProof/>
              <w:lang w:val="zh-CN"/>
            </w:rPr>
            <w:drawing>
              <wp:anchor distT="0" distB="0" distL="114300" distR="114300" simplePos="0" relativeHeight="251658240" behindDoc="1" locked="0" layoutInCell="1" allowOverlap="1" wp14:anchorId="036BF333" wp14:editId="5F5DA7FE">
                <wp:simplePos x="0" y="0"/>
                <wp:positionH relativeFrom="page">
                  <wp:align>left</wp:align>
                </wp:positionH>
                <wp:positionV relativeFrom="paragraph">
                  <wp:posOffset>-913765</wp:posOffset>
                </wp:positionV>
                <wp:extent cx="7555865" cy="10688955"/>
                <wp:effectExtent l="0" t="0" r="6985" b="0"/>
                <wp:wrapNone/>
                <wp:docPr id="2" name="图片 2" descr="封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封面"/>
                        <pic:cNvPicPr>
                          <a:picLocks noChangeAspect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5865" cy="106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7E422EA" w14:textId="77777777" w:rsidR="00F029CD" w:rsidRDefault="00111B6B" w:rsidP="00A16714">
          <w:pPr>
            <w:widowControl/>
            <w:spacing w:before="163" w:after="163"/>
            <w:jc w:val="left"/>
            <w:rPr>
              <w:lang w:val="zh-CN"/>
            </w:rPr>
          </w:pPr>
        </w:p>
      </w:sdtContent>
    </w:sdt>
    <w:sdt>
      <w:sdtPr>
        <w:rPr>
          <w:rFonts w:ascii="楷体" w:eastAsia="楷体" w:hAnsiTheme="minorHAnsi" w:cstheme="minorBidi"/>
          <w:color w:val="auto"/>
          <w:kern w:val="2"/>
          <w:sz w:val="24"/>
          <w:szCs w:val="22"/>
          <w:lang w:val="zh-CN"/>
        </w:rPr>
        <w:id w:val="-1572040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1C3CFB" w14:textId="77777777" w:rsidR="00F029CD" w:rsidRDefault="00C21B83" w:rsidP="00A16714">
          <w:pPr>
            <w:pStyle w:val="TOC10"/>
            <w:spacing w:before="163" w:after="163" w:line="240" w:lineRule="auto"/>
            <w:rPr>
              <w:rFonts w:ascii="楷体" w:eastAsia="楷体" w:hAnsi="楷体"/>
            </w:rPr>
          </w:pPr>
          <w:r>
            <w:rPr>
              <w:rFonts w:ascii="楷体" w:eastAsia="楷体" w:hAnsi="楷体"/>
              <w:lang w:val="zh-CN"/>
            </w:rPr>
            <w:t>目录</w:t>
          </w:r>
        </w:p>
        <w:p w14:paraId="545C3815" w14:textId="742FF8A8" w:rsidR="00B61C8B" w:rsidRDefault="00C21B83">
          <w:pPr>
            <w:pStyle w:val="TOC1"/>
            <w:tabs>
              <w:tab w:val="left" w:pos="630"/>
              <w:tab w:val="right" w:leader="dot" w:pos="9061"/>
            </w:tabs>
            <w:spacing w:before="163" w:after="163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41788" w:history="1">
            <w:r w:rsidR="00B61C8B" w:rsidRPr="00557782">
              <w:rPr>
                <w:rStyle w:val="a9"/>
                <w:noProof/>
              </w:rPr>
              <w:t>1.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前言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_Toc27941788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2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70E061BB" w14:textId="42E96590" w:rsidR="00B61C8B" w:rsidRDefault="00111B6B">
          <w:pPr>
            <w:pStyle w:val="TOC2"/>
            <w:tabs>
              <w:tab w:val="left" w:pos="1260"/>
              <w:tab w:val="right" w:leader="dot" w:pos="9061"/>
            </w:tabs>
            <w:spacing w:before="163" w:after="163"/>
            <w:ind w:left="480"/>
            <w:rPr>
              <w:rFonts w:asciiTheme="minorHAnsi" w:eastAsiaTheme="minorEastAsia"/>
              <w:noProof/>
              <w:sz w:val="21"/>
            </w:rPr>
          </w:pPr>
          <w:hyperlink w:anchor="_Toc27941789" w:history="1">
            <w:r w:rsidR="00B61C8B" w:rsidRPr="00557782">
              <w:rPr>
                <w:rStyle w:val="a9"/>
                <w:noProof/>
              </w:rPr>
              <w:t>1.1.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背景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_Toc27941789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2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6B12368C" w14:textId="451BFF76" w:rsidR="00B61C8B" w:rsidRDefault="00111B6B">
          <w:pPr>
            <w:pStyle w:val="TOC2"/>
            <w:tabs>
              <w:tab w:val="left" w:pos="1260"/>
              <w:tab w:val="right" w:leader="dot" w:pos="9061"/>
            </w:tabs>
            <w:spacing w:before="163" w:after="163"/>
            <w:ind w:left="480"/>
            <w:rPr>
              <w:rFonts w:asciiTheme="minorHAnsi" w:eastAsiaTheme="minorEastAsia"/>
              <w:noProof/>
              <w:sz w:val="21"/>
            </w:rPr>
          </w:pPr>
          <w:hyperlink w:anchor="_Toc27941790" w:history="1">
            <w:r w:rsidR="00B61C8B" w:rsidRPr="00557782">
              <w:rPr>
                <w:rStyle w:val="a9"/>
                <w:noProof/>
              </w:rPr>
              <w:t>1.2.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目标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_Toc27941790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2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34C37D30" w14:textId="2F4E322A" w:rsidR="00B61C8B" w:rsidRDefault="00111B6B">
          <w:pPr>
            <w:pStyle w:val="TOC2"/>
            <w:tabs>
              <w:tab w:val="left" w:pos="1260"/>
              <w:tab w:val="right" w:leader="dot" w:pos="9061"/>
            </w:tabs>
            <w:spacing w:before="163" w:after="163"/>
            <w:ind w:left="480"/>
            <w:rPr>
              <w:rFonts w:asciiTheme="minorHAnsi" w:eastAsiaTheme="minorEastAsia"/>
              <w:noProof/>
              <w:sz w:val="21"/>
            </w:rPr>
          </w:pPr>
          <w:hyperlink w:anchor="_Toc27941791" w:history="1">
            <w:r w:rsidR="00B61C8B" w:rsidRPr="00557782">
              <w:rPr>
                <w:rStyle w:val="a9"/>
                <w:noProof/>
              </w:rPr>
              <w:t>1.3.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应用对象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_Toc27941791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2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4AA67CAB" w14:textId="74F7CD94" w:rsidR="00B61C8B" w:rsidRDefault="00111B6B">
          <w:pPr>
            <w:pStyle w:val="TOC2"/>
            <w:tabs>
              <w:tab w:val="left" w:pos="1260"/>
              <w:tab w:val="right" w:leader="dot" w:pos="9061"/>
            </w:tabs>
            <w:spacing w:before="163" w:after="163"/>
            <w:ind w:left="480"/>
            <w:rPr>
              <w:rFonts w:asciiTheme="minorHAnsi" w:eastAsiaTheme="minorEastAsia"/>
              <w:noProof/>
              <w:sz w:val="21"/>
            </w:rPr>
          </w:pPr>
          <w:hyperlink w:anchor="_Toc27941792" w:history="1">
            <w:r w:rsidR="00B61C8B" w:rsidRPr="00557782">
              <w:rPr>
                <w:rStyle w:val="a9"/>
                <w:noProof/>
              </w:rPr>
              <w:t>1.4.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应用环境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_Toc27941792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3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70098AFA" w14:textId="6C707FC0" w:rsidR="00B61C8B" w:rsidRDefault="00111B6B">
          <w:pPr>
            <w:pStyle w:val="TOC1"/>
            <w:tabs>
              <w:tab w:val="left" w:pos="630"/>
              <w:tab w:val="right" w:leader="dot" w:pos="9061"/>
            </w:tabs>
            <w:spacing w:before="163" w:after="163"/>
            <w:rPr>
              <w:rFonts w:asciiTheme="minorHAnsi" w:eastAsiaTheme="minorEastAsia"/>
              <w:noProof/>
              <w:sz w:val="21"/>
            </w:rPr>
          </w:pPr>
          <w:hyperlink w:anchor="_Toc27941793" w:history="1">
            <w:r w:rsidR="00B61C8B" w:rsidRPr="00557782">
              <w:rPr>
                <w:rStyle w:val="a9"/>
                <w:noProof/>
              </w:rPr>
              <w:t>2.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解决思路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_Toc27941793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3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39259760" w14:textId="1E7F1827" w:rsidR="00B61C8B" w:rsidRDefault="00111B6B">
          <w:pPr>
            <w:pStyle w:val="TOC2"/>
            <w:tabs>
              <w:tab w:val="left" w:pos="1260"/>
              <w:tab w:val="right" w:leader="dot" w:pos="9061"/>
            </w:tabs>
            <w:spacing w:before="163" w:after="163"/>
            <w:ind w:left="480"/>
            <w:rPr>
              <w:rFonts w:asciiTheme="minorHAnsi" w:eastAsiaTheme="minorEastAsia"/>
              <w:noProof/>
              <w:sz w:val="21"/>
            </w:rPr>
          </w:pPr>
          <w:hyperlink w:anchor="_Toc27941794" w:history="1">
            <w:r w:rsidR="00B61C8B" w:rsidRPr="00557782">
              <w:rPr>
                <w:rStyle w:val="a9"/>
                <w:noProof/>
              </w:rPr>
              <w:t>2.1.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开发思路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_Toc27941794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3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722D0FC5" w14:textId="62CBE2AB" w:rsidR="00B61C8B" w:rsidRDefault="00111B6B">
          <w:pPr>
            <w:pStyle w:val="TOC2"/>
            <w:tabs>
              <w:tab w:val="left" w:pos="1260"/>
              <w:tab w:val="right" w:leader="dot" w:pos="9061"/>
            </w:tabs>
            <w:spacing w:before="163" w:after="163"/>
            <w:ind w:left="480"/>
            <w:rPr>
              <w:rFonts w:asciiTheme="minorHAnsi" w:eastAsiaTheme="minorEastAsia"/>
              <w:noProof/>
              <w:sz w:val="21"/>
            </w:rPr>
          </w:pPr>
          <w:hyperlink w:anchor="_Toc27941795" w:history="1">
            <w:r w:rsidR="00B61C8B" w:rsidRPr="00557782">
              <w:rPr>
                <w:rStyle w:val="a9"/>
                <w:noProof/>
              </w:rPr>
              <w:t>2.2.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功能简介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_Toc27941795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4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45C2E6DC" w14:textId="66ADD7E7" w:rsidR="00B61C8B" w:rsidRDefault="00111B6B">
          <w:pPr>
            <w:pStyle w:val="TOC1"/>
            <w:tabs>
              <w:tab w:val="left" w:pos="630"/>
              <w:tab w:val="right" w:leader="dot" w:pos="9061"/>
            </w:tabs>
            <w:spacing w:before="163" w:after="163"/>
            <w:rPr>
              <w:rFonts w:asciiTheme="minorHAnsi" w:eastAsiaTheme="minorEastAsia"/>
              <w:noProof/>
              <w:sz w:val="21"/>
            </w:rPr>
          </w:pPr>
          <w:hyperlink w:anchor="_Toc27941796" w:history="1">
            <w:r w:rsidR="00B61C8B" w:rsidRPr="00557782">
              <w:rPr>
                <w:rStyle w:val="a9"/>
                <w:noProof/>
              </w:rPr>
              <w:t>3.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特色综述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_Toc27941796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5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611F6E25" w14:textId="6BCE4EA6" w:rsidR="00B61C8B" w:rsidRDefault="00111B6B">
          <w:pPr>
            <w:pStyle w:val="TOC1"/>
            <w:tabs>
              <w:tab w:val="left" w:pos="630"/>
              <w:tab w:val="right" w:leader="dot" w:pos="9061"/>
            </w:tabs>
            <w:spacing w:before="163" w:after="163"/>
            <w:rPr>
              <w:rFonts w:asciiTheme="minorHAnsi" w:eastAsiaTheme="minorEastAsia"/>
              <w:noProof/>
              <w:sz w:val="21"/>
            </w:rPr>
          </w:pPr>
          <w:hyperlink w:anchor="_Toc27941797" w:history="1">
            <w:r w:rsidR="00B61C8B" w:rsidRPr="00557782">
              <w:rPr>
                <w:rStyle w:val="a9"/>
                <w:noProof/>
              </w:rPr>
              <w:t>4.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具体做法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_Toc27941797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6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0DD174AF" w14:textId="395B7CF3" w:rsidR="00B61C8B" w:rsidRDefault="00111B6B">
          <w:pPr>
            <w:pStyle w:val="TOC2"/>
            <w:tabs>
              <w:tab w:val="left" w:pos="1260"/>
              <w:tab w:val="right" w:leader="dot" w:pos="9061"/>
            </w:tabs>
            <w:spacing w:before="163" w:after="163"/>
            <w:ind w:left="480"/>
            <w:rPr>
              <w:rFonts w:asciiTheme="minorHAnsi" w:eastAsiaTheme="minorEastAsia"/>
              <w:noProof/>
              <w:sz w:val="21"/>
            </w:rPr>
          </w:pPr>
          <w:hyperlink w:anchor="_Toc27941798" w:history="1">
            <w:r w:rsidR="00B61C8B" w:rsidRPr="00557782">
              <w:rPr>
                <w:rStyle w:val="a9"/>
                <w:noProof/>
              </w:rPr>
              <w:t>4.1.</w:t>
            </w:r>
            <w:r w:rsidR="00B61C8B">
              <w:rPr>
                <w:rFonts w:asciiTheme="minorHAnsi" w:eastAsiaTheme="minorEastAsia"/>
                <w:noProof/>
                <w:sz w:val="21"/>
              </w:rPr>
              <w:tab/>
            </w:r>
            <w:r w:rsidR="00B61C8B" w:rsidRPr="00557782">
              <w:rPr>
                <w:rStyle w:val="a9"/>
                <w:noProof/>
              </w:rPr>
              <w:t>开发工具与技术</w:t>
            </w:r>
            <w:r w:rsidR="00B61C8B">
              <w:rPr>
                <w:noProof/>
                <w:webHidden/>
              </w:rPr>
              <w:tab/>
            </w:r>
            <w:r w:rsidR="00B61C8B">
              <w:rPr>
                <w:noProof/>
                <w:webHidden/>
              </w:rPr>
              <w:fldChar w:fldCharType="begin"/>
            </w:r>
            <w:r w:rsidR="00B61C8B">
              <w:rPr>
                <w:noProof/>
                <w:webHidden/>
              </w:rPr>
              <w:instrText xml:space="preserve"> PAGEREF _Toc27941798 \h </w:instrText>
            </w:r>
            <w:r w:rsidR="00B61C8B">
              <w:rPr>
                <w:noProof/>
                <w:webHidden/>
              </w:rPr>
            </w:r>
            <w:r w:rsidR="00B61C8B">
              <w:rPr>
                <w:noProof/>
                <w:webHidden/>
              </w:rPr>
              <w:fldChar w:fldCharType="separate"/>
            </w:r>
            <w:r w:rsidR="007A6814">
              <w:rPr>
                <w:noProof/>
                <w:webHidden/>
              </w:rPr>
              <w:t>6</w:t>
            </w:r>
            <w:r w:rsidR="00B61C8B">
              <w:rPr>
                <w:noProof/>
                <w:webHidden/>
              </w:rPr>
              <w:fldChar w:fldCharType="end"/>
            </w:r>
          </w:hyperlink>
        </w:p>
        <w:p w14:paraId="37761EFD" w14:textId="77777777" w:rsidR="00F029CD" w:rsidRDefault="00C21B83" w:rsidP="00A16714">
          <w:pPr>
            <w:spacing w:before="163" w:after="163"/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498F9957" w14:textId="60738C5B" w:rsidR="00F029CD" w:rsidRDefault="00C21B83" w:rsidP="00A16714">
      <w:pPr>
        <w:pStyle w:val="a3"/>
        <w:keepNext/>
        <w:spacing w:before="163" w:after="163"/>
        <w:jc w:val="center"/>
      </w:pPr>
      <w:r>
        <w:t>表</w:t>
      </w:r>
      <w:r>
        <w:t xml:space="preserve"> </w:t>
      </w:r>
      <w:fldSimple w:instr=" STYLEREF 1 \s ">
        <w:r w:rsidR="007A6814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7A681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文档信息</w:t>
      </w:r>
    </w:p>
    <w:tbl>
      <w:tblPr>
        <w:tblStyle w:val="a8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9CD" w14:paraId="1990EFF2" w14:textId="77777777" w:rsidTr="00F0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  <w:vAlign w:val="center"/>
          </w:tcPr>
          <w:p w14:paraId="24FA78BF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文档名称</w:t>
            </w:r>
          </w:p>
        </w:tc>
        <w:tc>
          <w:tcPr>
            <w:tcW w:w="622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F6FE92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  <w:shd w:val="clear" w:color="auto" w:fill="FFFFFF" w:themeFill="background1"/>
              </w:rPr>
              <w:t>S</w:t>
            </w:r>
            <w:r>
              <w:rPr>
                <w:rFonts w:hAnsi="楷体"/>
                <w:szCs w:val="24"/>
                <w:shd w:val="clear" w:color="auto" w:fill="FFFFFF" w:themeFill="background1"/>
              </w:rPr>
              <w:t>1</w:t>
            </w:r>
            <w:r>
              <w:rPr>
                <w:rFonts w:hAnsi="楷体" w:hint="eastAsia"/>
                <w:szCs w:val="24"/>
                <w:shd w:val="clear" w:color="auto" w:fill="FFFFFF" w:themeFill="background1"/>
              </w:rPr>
              <w:t>方案概要</w:t>
            </w:r>
          </w:p>
        </w:tc>
      </w:tr>
      <w:tr w:rsidR="00F029CD" w14:paraId="54E5F086" w14:textId="77777777" w:rsidTr="00F029CD"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  <w:vAlign w:val="center"/>
          </w:tcPr>
          <w:p w14:paraId="6851E6A3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负责人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09DF3F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郭岳（PM）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  <w:vAlign w:val="center"/>
          </w:tcPr>
          <w:p w14:paraId="7AC63A2B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文档版本编号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B26C00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0.2.0</w:t>
            </w:r>
          </w:p>
        </w:tc>
      </w:tr>
      <w:tr w:rsidR="00F029CD" w14:paraId="069BE9A5" w14:textId="77777777" w:rsidTr="00F029CD"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  <w:vAlign w:val="center"/>
          </w:tcPr>
          <w:p w14:paraId="14492B2F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项目阶段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0A7022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启动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  <w:vAlign w:val="center"/>
          </w:tcPr>
          <w:p w14:paraId="697C9BD2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文档版本日期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72AE77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2</w:t>
            </w:r>
            <w:r>
              <w:rPr>
                <w:rFonts w:hAnsi="楷体"/>
                <w:szCs w:val="24"/>
              </w:rPr>
              <w:t>019/</w:t>
            </w:r>
            <w:r>
              <w:rPr>
                <w:rFonts w:hAnsi="楷体" w:hint="eastAsia"/>
                <w:szCs w:val="24"/>
              </w:rPr>
              <w:t>12</w:t>
            </w:r>
            <w:r>
              <w:rPr>
                <w:rFonts w:hAnsi="楷体"/>
                <w:szCs w:val="24"/>
              </w:rPr>
              <w:t>/</w:t>
            </w:r>
            <w:r>
              <w:rPr>
                <w:rFonts w:hAnsi="楷体" w:hint="eastAsia"/>
                <w:szCs w:val="24"/>
              </w:rPr>
              <w:t>21</w:t>
            </w:r>
          </w:p>
        </w:tc>
      </w:tr>
      <w:tr w:rsidR="00F029CD" w14:paraId="7C822FF5" w14:textId="77777777" w:rsidTr="00F029CD"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  <w:vAlign w:val="center"/>
          </w:tcPr>
          <w:p w14:paraId="265F0D53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起草人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8EED57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全体成员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  <w:vAlign w:val="center"/>
          </w:tcPr>
          <w:p w14:paraId="3133E152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起草日期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57E1E7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2</w:t>
            </w:r>
            <w:r>
              <w:rPr>
                <w:rFonts w:hAnsi="楷体"/>
                <w:szCs w:val="24"/>
              </w:rPr>
              <w:t>019/</w:t>
            </w:r>
            <w:r>
              <w:rPr>
                <w:rFonts w:hAnsi="楷体" w:hint="eastAsia"/>
                <w:szCs w:val="24"/>
              </w:rPr>
              <w:t>12</w:t>
            </w:r>
            <w:r>
              <w:rPr>
                <w:rFonts w:hAnsi="楷体"/>
                <w:szCs w:val="24"/>
              </w:rPr>
              <w:t>/</w:t>
            </w:r>
            <w:r>
              <w:rPr>
                <w:rFonts w:hAnsi="楷体" w:hint="eastAsia"/>
                <w:szCs w:val="24"/>
              </w:rPr>
              <w:t>16</w:t>
            </w:r>
          </w:p>
        </w:tc>
      </w:tr>
    </w:tbl>
    <w:p w14:paraId="2976D06D" w14:textId="77777777" w:rsidR="00F029CD" w:rsidRDefault="00F029CD" w:rsidP="00A16714">
      <w:pPr>
        <w:widowControl/>
        <w:spacing w:before="163" w:after="163"/>
        <w:jc w:val="left"/>
      </w:pPr>
    </w:p>
    <w:p w14:paraId="4E26BA57" w14:textId="0DDD83A1" w:rsidR="00F029CD" w:rsidRDefault="00C21B83" w:rsidP="00A16714">
      <w:pPr>
        <w:pStyle w:val="a3"/>
        <w:keepNext/>
        <w:spacing w:before="163" w:after="163"/>
        <w:jc w:val="center"/>
      </w:pPr>
      <w:r>
        <w:t>表</w:t>
      </w:r>
      <w:r>
        <w:t xml:space="preserve"> </w:t>
      </w:r>
      <w:fldSimple w:instr=" STYLEREF 1 \s ">
        <w:r w:rsidR="007A6814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7A681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修改历史纪录</w:t>
      </w:r>
    </w:p>
    <w:tbl>
      <w:tblPr>
        <w:tblStyle w:val="a8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9CD" w14:paraId="7EC7AA0D" w14:textId="77777777" w:rsidTr="00F0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EC78627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color w:val="000000" w:themeColor="text1"/>
                <w:szCs w:val="24"/>
              </w:rPr>
            </w:pPr>
            <w:r>
              <w:rPr>
                <w:rFonts w:hAnsi="楷体" w:hint="eastAsia"/>
                <w:color w:val="000000" w:themeColor="text1"/>
                <w:szCs w:val="24"/>
              </w:rPr>
              <w:t>日期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7726B40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color w:val="000000" w:themeColor="text1"/>
                <w:szCs w:val="24"/>
              </w:rPr>
            </w:pPr>
            <w:r>
              <w:rPr>
                <w:rFonts w:hAnsi="楷体" w:hint="eastAsia"/>
                <w:color w:val="000000" w:themeColor="text1"/>
                <w:szCs w:val="24"/>
              </w:rPr>
              <w:t>版本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B892B00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color w:val="000000" w:themeColor="text1"/>
                <w:szCs w:val="24"/>
              </w:rPr>
            </w:pPr>
            <w:r>
              <w:rPr>
                <w:rFonts w:hAnsi="楷体" w:hint="eastAsia"/>
                <w:color w:val="000000" w:themeColor="text1"/>
                <w:szCs w:val="24"/>
              </w:rPr>
              <w:t>变更说明</w:t>
            </w:r>
          </w:p>
        </w:tc>
        <w:tc>
          <w:tcPr>
            <w:tcW w:w="2074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843740B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color w:val="000000" w:themeColor="text1"/>
                <w:szCs w:val="24"/>
              </w:rPr>
            </w:pPr>
            <w:r>
              <w:rPr>
                <w:rFonts w:hAnsi="楷体" w:hint="eastAsia"/>
                <w:color w:val="000000" w:themeColor="text1"/>
                <w:szCs w:val="24"/>
              </w:rPr>
              <w:t>作者</w:t>
            </w:r>
          </w:p>
        </w:tc>
      </w:tr>
      <w:tr w:rsidR="00F029CD" w14:paraId="0667CBA3" w14:textId="77777777" w:rsidTr="00F029CD">
        <w:tc>
          <w:tcPr>
            <w:tcW w:w="2074" w:type="dxa"/>
            <w:tcBorders>
              <w:tl2br w:val="nil"/>
              <w:tr2bl w:val="nil"/>
            </w:tcBorders>
          </w:tcPr>
          <w:p w14:paraId="4CD3AFAE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2</w:t>
            </w:r>
            <w:r>
              <w:rPr>
                <w:rFonts w:hAnsi="楷体"/>
                <w:szCs w:val="24"/>
              </w:rPr>
              <w:t>019/</w:t>
            </w:r>
            <w:r>
              <w:rPr>
                <w:rFonts w:hAnsi="楷体" w:hint="eastAsia"/>
                <w:szCs w:val="24"/>
              </w:rPr>
              <w:t>12</w:t>
            </w:r>
            <w:r>
              <w:rPr>
                <w:rFonts w:hAnsi="楷体"/>
                <w:szCs w:val="24"/>
              </w:rPr>
              <w:t>/</w:t>
            </w:r>
            <w:r>
              <w:rPr>
                <w:rFonts w:hAnsi="楷体" w:hint="eastAsia"/>
                <w:szCs w:val="24"/>
              </w:rPr>
              <w:t>1</w:t>
            </w:r>
            <w:r>
              <w:rPr>
                <w:rFonts w:hAnsi="楷体"/>
                <w:szCs w:val="24"/>
              </w:rPr>
              <w:t>6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700782E5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0</w:t>
            </w:r>
            <w:r>
              <w:rPr>
                <w:rFonts w:hAnsi="楷体"/>
                <w:szCs w:val="24"/>
              </w:rPr>
              <w:t>.</w:t>
            </w:r>
            <w:r>
              <w:rPr>
                <w:rFonts w:hAnsi="楷体" w:hint="eastAsia"/>
                <w:szCs w:val="24"/>
              </w:rPr>
              <w:t>1.0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6B357F7A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启动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7E6867EC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郭岳(PM）/周南/李骏/</w:t>
            </w:r>
            <w:proofErr w:type="gramStart"/>
            <w:r>
              <w:rPr>
                <w:rFonts w:hAnsi="楷体" w:hint="eastAsia"/>
                <w:szCs w:val="24"/>
              </w:rPr>
              <w:t>黄寅佐</w:t>
            </w:r>
            <w:proofErr w:type="gramEnd"/>
          </w:p>
        </w:tc>
      </w:tr>
      <w:tr w:rsidR="00F029CD" w14:paraId="3B237B32" w14:textId="77777777" w:rsidTr="00F029CD">
        <w:tc>
          <w:tcPr>
            <w:tcW w:w="2074" w:type="dxa"/>
            <w:tcBorders>
              <w:tl2br w:val="nil"/>
              <w:tr2bl w:val="nil"/>
            </w:tcBorders>
          </w:tcPr>
          <w:p w14:paraId="56FBEC47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2</w:t>
            </w:r>
            <w:r>
              <w:rPr>
                <w:rFonts w:hAnsi="楷体"/>
                <w:szCs w:val="24"/>
              </w:rPr>
              <w:t>019/</w:t>
            </w:r>
            <w:r>
              <w:rPr>
                <w:rFonts w:hAnsi="楷体" w:hint="eastAsia"/>
                <w:szCs w:val="24"/>
              </w:rPr>
              <w:t>12</w:t>
            </w:r>
            <w:r>
              <w:rPr>
                <w:rFonts w:hAnsi="楷体"/>
                <w:szCs w:val="24"/>
              </w:rPr>
              <w:t>/</w:t>
            </w:r>
            <w:r>
              <w:rPr>
                <w:rFonts w:hAnsi="楷体" w:hint="eastAsia"/>
                <w:szCs w:val="24"/>
              </w:rPr>
              <w:t>1</w:t>
            </w:r>
            <w:r>
              <w:rPr>
                <w:rFonts w:hAnsi="楷体"/>
                <w:szCs w:val="24"/>
              </w:rPr>
              <w:t>6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19A44540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0</w:t>
            </w:r>
            <w:r>
              <w:rPr>
                <w:rFonts w:hAnsi="楷体"/>
                <w:szCs w:val="24"/>
              </w:rPr>
              <w:t>.</w:t>
            </w:r>
            <w:r>
              <w:rPr>
                <w:rFonts w:hAnsi="楷体" w:hint="eastAsia"/>
                <w:szCs w:val="24"/>
              </w:rPr>
              <w:t>2</w:t>
            </w:r>
            <w:r>
              <w:rPr>
                <w:rFonts w:hAnsi="楷体"/>
                <w:szCs w:val="24"/>
              </w:rPr>
              <w:t>.0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4E01597A" w14:textId="77777777" w:rsidR="00F029CD" w:rsidRDefault="00C21B83" w:rsidP="00A16714">
            <w:pPr>
              <w:spacing w:before="163" w:after="163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t>目录变更，内容添</w:t>
            </w:r>
            <w:r>
              <w:rPr>
                <w:rFonts w:hAnsi="楷体" w:hint="eastAsia"/>
                <w:szCs w:val="24"/>
              </w:rPr>
              <w:lastRenderedPageBreak/>
              <w:t>加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24D28420" w14:textId="77777777" w:rsidR="00F029CD" w:rsidRDefault="00C21B83" w:rsidP="00A16714">
            <w:pPr>
              <w:spacing w:before="163" w:after="163"/>
              <w:jc w:val="center"/>
              <w:rPr>
                <w:rFonts w:hAnsi="楷体"/>
                <w:szCs w:val="24"/>
              </w:rPr>
            </w:pPr>
            <w:r>
              <w:rPr>
                <w:rFonts w:hAnsi="楷体" w:hint="eastAsia"/>
                <w:szCs w:val="24"/>
              </w:rPr>
              <w:lastRenderedPageBreak/>
              <w:t>郭岳(PM）/周南/</w:t>
            </w:r>
            <w:r>
              <w:rPr>
                <w:rFonts w:hAnsi="楷体" w:hint="eastAsia"/>
                <w:szCs w:val="24"/>
              </w:rPr>
              <w:lastRenderedPageBreak/>
              <w:t>李骏/</w:t>
            </w:r>
            <w:proofErr w:type="gramStart"/>
            <w:r>
              <w:rPr>
                <w:rFonts w:hAnsi="楷体" w:hint="eastAsia"/>
                <w:szCs w:val="24"/>
              </w:rPr>
              <w:t>黄寅佐</w:t>
            </w:r>
            <w:proofErr w:type="gramEnd"/>
          </w:p>
        </w:tc>
      </w:tr>
    </w:tbl>
    <w:p w14:paraId="5B39F026" w14:textId="77777777" w:rsidR="00F029CD" w:rsidRDefault="00F029CD" w:rsidP="00A16714">
      <w:pPr>
        <w:widowControl/>
        <w:spacing w:before="163" w:after="163"/>
        <w:jc w:val="left"/>
      </w:pPr>
    </w:p>
    <w:p w14:paraId="58BECA7A" w14:textId="77777777" w:rsidR="00F029CD" w:rsidRDefault="00C21B83" w:rsidP="00A16714">
      <w:pPr>
        <w:widowControl/>
        <w:spacing w:before="163" w:after="163"/>
        <w:jc w:val="left"/>
      </w:pPr>
      <w:r>
        <w:br w:type="page"/>
      </w:r>
    </w:p>
    <w:p w14:paraId="2A6AA102" w14:textId="77777777" w:rsidR="00F029CD" w:rsidRDefault="00C21B83" w:rsidP="00A16714">
      <w:pPr>
        <w:pStyle w:val="1"/>
        <w:spacing w:before="163" w:after="163" w:line="240" w:lineRule="auto"/>
      </w:pPr>
      <w:bookmarkStart w:id="1" w:name="_Toc27941788"/>
      <w:r>
        <w:rPr>
          <w:rFonts w:hint="eastAsia"/>
        </w:rPr>
        <w:lastRenderedPageBreak/>
        <w:t>前言</w:t>
      </w:r>
      <w:bookmarkEnd w:id="1"/>
    </w:p>
    <w:p w14:paraId="57AF98C6" w14:textId="77777777" w:rsidR="00F029CD" w:rsidRDefault="00C21B83" w:rsidP="00A16714">
      <w:pPr>
        <w:pStyle w:val="2"/>
        <w:spacing w:before="163" w:after="163" w:line="240" w:lineRule="auto"/>
      </w:pPr>
      <w:bookmarkStart w:id="2" w:name="_Toc27941789"/>
      <w:r>
        <w:rPr>
          <w:rFonts w:hint="eastAsia"/>
        </w:rPr>
        <w:t>背景</w:t>
      </w:r>
      <w:bookmarkEnd w:id="2"/>
    </w:p>
    <w:p w14:paraId="0684D5F9" w14:textId="77777777" w:rsidR="00F029CD" w:rsidRDefault="00C21B83" w:rsidP="00A16714">
      <w:pPr>
        <w:spacing w:before="163" w:after="163"/>
      </w:pPr>
      <w:r>
        <w:rPr>
          <w:rFonts w:hint="eastAsia"/>
        </w:rPr>
        <w:t xml:space="preserve">    </w:t>
      </w:r>
      <w:r>
        <w:t xml:space="preserve">绿色生活、绿色出行已成为社会共识，地铁、公交等能够有效减少碳排放的 </w:t>
      </w:r>
    </w:p>
    <w:p w14:paraId="31117678" w14:textId="77777777" w:rsidR="00F029CD" w:rsidRDefault="00C21B83" w:rsidP="00A16714">
      <w:pPr>
        <w:spacing w:before="163" w:after="163"/>
      </w:pPr>
      <w:r>
        <w:rPr>
          <w:rFonts w:hint="eastAsia"/>
        </w:rPr>
        <w:t>公共交通方式已成为百姓出行首选。碳积分</w:t>
      </w:r>
      <w:r>
        <w:t>(Carbon Credits)</w:t>
      </w:r>
      <w:r>
        <w:rPr>
          <w:rFonts w:hint="eastAsia"/>
        </w:rPr>
        <w:t xml:space="preserve">指二氧化碳排放配额， 企业或个人可通过购买碳积分消除碳足迹。它是基于消费者在出行、住宿、购物 等消费过程中，通过采取有效措施，降低碳排放所形成的减排量。 </w:t>
      </w:r>
    </w:p>
    <w:p w14:paraId="05FA983D" w14:textId="77777777" w:rsidR="00F029CD" w:rsidRDefault="00C21B83" w:rsidP="00A16714">
      <w:pPr>
        <w:spacing w:before="163" w:after="163"/>
        <w:ind w:firstLineChars="200" w:firstLine="480"/>
      </w:pPr>
      <w:r>
        <w:rPr>
          <w:rFonts w:hint="eastAsia"/>
        </w:rPr>
        <w:t xml:space="preserve">城市私家车是个人碳排放的主要来源，而鼓励人们使用公共交通出行可以极 </w:t>
      </w:r>
    </w:p>
    <w:p w14:paraId="79AF09F0" w14:textId="77777777" w:rsidR="00F029CD" w:rsidRDefault="00C21B83" w:rsidP="00A16714">
      <w:pPr>
        <w:spacing w:before="163" w:after="163"/>
      </w:pPr>
      <w:r>
        <w:rPr>
          <w:rFonts w:hint="eastAsia"/>
        </w:rPr>
        <w:t xml:space="preserve">大地促进个人碳排放的降低。因此，如何设计一套完整的运营系统，对个人乘坐 </w:t>
      </w:r>
    </w:p>
    <w:p w14:paraId="4B1D3BB7" w14:textId="77777777" w:rsidR="00F029CD" w:rsidRDefault="00C21B83" w:rsidP="00A16714">
      <w:pPr>
        <w:spacing w:before="163" w:after="163"/>
      </w:pPr>
      <w:r>
        <w:rPr>
          <w:rFonts w:hint="eastAsia"/>
        </w:rPr>
        <w:t xml:space="preserve">公共交通减少的碳排放进行认证、交易，通过物资及经济激励促进城市人群更多 </w:t>
      </w:r>
    </w:p>
    <w:p w14:paraId="3B88BB50" w14:textId="77777777" w:rsidR="00F029CD" w:rsidRDefault="00C21B83" w:rsidP="00A16714">
      <w:pPr>
        <w:spacing w:before="163" w:after="163"/>
      </w:pPr>
      <w:r>
        <w:rPr>
          <w:rFonts w:hint="eastAsia"/>
        </w:rPr>
        <w:t xml:space="preserve">地使用公共交通出行，已成为一个具有巨大社会效益和经济效益的课题。 </w:t>
      </w:r>
    </w:p>
    <w:p w14:paraId="0786D21E" w14:textId="77777777" w:rsidR="00F029CD" w:rsidRDefault="00C21B83" w:rsidP="00A16714">
      <w:pPr>
        <w:spacing w:before="163" w:after="163"/>
        <w:ind w:firstLineChars="200" w:firstLine="480"/>
      </w:pPr>
      <w:r>
        <w:t>八维通科技有限公司是中国中车与中国银联合资成立的轨道交通+</w:t>
      </w:r>
      <w:r>
        <w:rPr>
          <w:rFonts w:hint="eastAsia"/>
        </w:rPr>
        <w:t xml:space="preserve">互联网行 </w:t>
      </w:r>
    </w:p>
    <w:p w14:paraId="5A378B82" w14:textId="77777777" w:rsidR="00F029CD" w:rsidRDefault="00C21B83" w:rsidP="00A16714">
      <w:pPr>
        <w:spacing w:before="163" w:after="163"/>
      </w:pPr>
      <w:r>
        <w:rPr>
          <w:rFonts w:hint="eastAsia"/>
        </w:rPr>
        <w:t xml:space="preserve">业领先企业。在全国 </w:t>
      </w:r>
      <w:r>
        <w:t xml:space="preserve">20 </w:t>
      </w:r>
      <w:r>
        <w:rPr>
          <w:rFonts w:hint="eastAsia"/>
        </w:rPr>
        <w:t xml:space="preserve">多个城市落地了地铁、公交等交通出行互联网 </w:t>
      </w:r>
      <w:proofErr w:type="spellStart"/>
      <w:r>
        <w:t>MaaS</w:t>
      </w:r>
      <w:proofErr w:type="spellEnd"/>
      <w:r>
        <w:t>(</w:t>
      </w:r>
      <w:r>
        <w:rPr>
          <w:rFonts w:hint="eastAsia"/>
        </w:rPr>
        <w:t>出</w:t>
      </w:r>
    </w:p>
    <w:p w14:paraId="1FEFE66D" w14:textId="77777777" w:rsidR="00F029CD" w:rsidRDefault="00C21B83" w:rsidP="00A16714">
      <w:pPr>
        <w:spacing w:before="163" w:after="163"/>
      </w:pPr>
      <w:r>
        <w:t>行即服务)</w:t>
      </w:r>
      <w:r>
        <w:rPr>
          <w:rFonts w:hint="eastAsia"/>
        </w:rPr>
        <w:t xml:space="preserve">平台。利用八维通既有的交通出行平台，搭建一套公共出行个人碳排 </w:t>
      </w:r>
    </w:p>
    <w:p w14:paraId="5167A229" w14:textId="77777777" w:rsidR="00F029CD" w:rsidRDefault="00C21B83" w:rsidP="00A16714">
      <w:pPr>
        <w:spacing w:before="163" w:after="163"/>
      </w:pPr>
      <w:r>
        <w:rPr>
          <w:rFonts w:hint="eastAsia"/>
        </w:rPr>
        <w:t xml:space="preserve">放积分系统，以促进八维通平台用户的活跃，为用户创造新的价值，同时为节能 </w:t>
      </w:r>
    </w:p>
    <w:p w14:paraId="0FC4F270" w14:textId="77777777" w:rsidR="00F029CD" w:rsidRDefault="00C21B83" w:rsidP="00A16714">
      <w:pPr>
        <w:spacing w:before="163" w:after="163"/>
        <w:rPr>
          <w:rFonts w:ascii="仿宋" w:eastAsia="仿宋" w:hAnsi="仿宋" w:cs="仿宋"/>
          <w:color w:val="000000"/>
          <w:kern w:val="0"/>
          <w:szCs w:val="24"/>
          <w:lang w:bidi="ar"/>
        </w:rPr>
      </w:pPr>
      <w:r>
        <w:rPr>
          <w:rFonts w:hint="eastAsia"/>
        </w:rPr>
        <w:t>减</w:t>
      </w:r>
      <w:proofErr w:type="gramStart"/>
      <w:r>
        <w:rPr>
          <w:rFonts w:hint="eastAsia"/>
        </w:rPr>
        <w:t>排贡献</w:t>
      </w:r>
      <w:proofErr w:type="gramEnd"/>
      <w:r>
        <w:rPr>
          <w:rFonts w:hint="eastAsia"/>
        </w:rPr>
        <w:t>力量，是本次命题的初心。</w:t>
      </w:r>
    </w:p>
    <w:p w14:paraId="1195699D" w14:textId="77777777" w:rsidR="00F029CD" w:rsidRDefault="00C21B83" w:rsidP="00A16714">
      <w:pPr>
        <w:pStyle w:val="2"/>
        <w:spacing w:before="163" w:after="163" w:line="240" w:lineRule="auto"/>
      </w:pPr>
      <w:bookmarkStart w:id="3" w:name="_Toc27941790"/>
      <w:r>
        <w:rPr>
          <w:rFonts w:hint="eastAsia"/>
        </w:rPr>
        <w:t>目标</w:t>
      </w:r>
      <w:bookmarkEnd w:id="3"/>
    </w:p>
    <w:p w14:paraId="2C0164FB" w14:textId="77777777" w:rsidR="00F029CD" w:rsidRDefault="00C21B83" w:rsidP="00A16714">
      <w:pPr>
        <w:spacing w:before="163" w:after="163"/>
      </w:pPr>
      <w:r>
        <w:rPr>
          <w:rFonts w:hint="eastAsia"/>
        </w:rPr>
        <w:t>系统旨在达到以下目标：</w:t>
      </w:r>
    </w:p>
    <w:p w14:paraId="4C8BCCD2" w14:textId="77777777" w:rsidR="00F029CD" w:rsidRDefault="00C21B83" w:rsidP="00A16714">
      <w:pPr>
        <w:numPr>
          <w:ilvl w:val="0"/>
          <w:numId w:val="2"/>
        </w:numPr>
        <w:spacing w:before="163" w:after="163"/>
      </w:pPr>
      <w:r>
        <w:t>利用碳积分有效量化用户绿色出行贡</w:t>
      </w:r>
      <w:r>
        <w:rPr>
          <w:rFonts w:hint="eastAsia"/>
        </w:rPr>
        <w:t>献，转换为用户实际收益</w:t>
      </w:r>
    </w:p>
    <w:p w14:paraId="2A3D73C0" w14:textId="77777777" w:rsidR="00F029CD" w:rsidRDefault="00C21B83" w:rsidP="00A16714">
      <w:pPr>
        <w:numPr>
          <w:ilvl w:val="0"/>
          <w:numId w:val="2"/>
        </w:numPr>
        <w:spacing w:before="163" w:after="163"/>
      </w:pPr>
      <w:r>
        <w:t>提高用户环保参与感及</w:t>
      </w:r>
      <w:r>
        <w:rPr>
          <w:rFonts w:hint="eastAsia"/>
        </w:rPr>
        <w:t>实际收益，提高用户粘性</w:t>
      </w:r>
    </w:p>
    <w:p w14:paraId="128E4FF7" w14:textId="77777777" w:rsidR="00F029CD" w:rsidRDefault="00C21B83" w:rsidP="00A16714">
      <w:pPr>
        <w:numPr>
          <w:ilvl w:val="0"/>
          <w:numId w:val="2"/>
        </w:numPr>
        <w:spacing w:before="163" w:after="163"/>
      </w:pPr>
      <w:r>
        <w:t>通过环保主题，提升百姓环保</w:t>
      </w:r>
      <w:r>
        <w:rPr>
          <w:rFonts w:hint="eastAsia"/>
        </w:rPr>
        <w:t>意识，展现创业团队的社会责任担当</w:t>
      </w:r>
    </w:p>
    <w:p w14:paraId="789E6795" w14:textId="77777777" w:rsidR="00F029CD" w:rsidRDefault="00C21B83" w:rsidP="00A16714">
      <w:pPr>
        <w:numPr>
          <w:ilvl w:val="0"/>
          <w:numId w:val="2"/>
        </w:numPr>
        <w:spacing w:before="163" w:after="163"/>
      </w:pPr>
      <w:r>
        <w:t>迎合生态</w:t>
      </w:r>
      <w:r>
        <w:rPr>
          <w:rFonts w:hint="eastAsia"/>
        </w:rPr>
        <w:t>文明建设大方向、环保出行大共识、并承载着一定社会责任</w:t>
      </w:r>
    </w:p>
    <w:p w14:paraId="6FF8A973" w14:textId="77777777" w:rsidR="00F029CD" w:rsidRDefault="00C21B83" w:rsidP="00A16714">
      <w:pPr>
        <w:pStyle w:val="2"/>
        <w:spacing w:before="163" w:after="163" w:line="240" w:lineRule="auto"/>
      </w:pPr>
      <w:bookmarkStart w:id="4" w:name="_Toc27941791"/>
      <w:r>
        <w:rPr>
          <w:rFonts w:hint="eastAsia"/>
        </w:rPr>
        <w:t>应用对象</w:t>
      </w:r>
      <w:bookmarkEnd w:id="4"/>
    </w:p>
    <w:p w14:paraId="31899764" w14:textId="77777777" w:rsidR="00F029CD" w:rsidRDefault="00C21B83" w:rsidP="00A16714">
      <w:pPr>
        <w:spacing w:before="163" w:after="163"/>
        <w:ind w:firstLineChars="200" w:firstLine="480"/>
      </w:pPr>
      <w:r>
        <w:rPr>
          <w:rFonts w:hint="eastAsia"/>
        </w:rPr>
        <w:t>本系统旨在为八维通使用用户提供积分获取、使用服务，预期的应用对象包含</w:t>
      </w:r>
      <w:proofErr w:type="gramStart"/>
      <w:r>
        <w:rPr>
          <w:rFonts w:hint="eastAsia"/>
        </w:rPr>
        <w:t>使用八</w:t>
      </w:r>
      <w:proofErr w:type="gramEnd"/>
      <w:r>
        <w:rPr>
          <w:rFonts w:hint="eastAsia"/>
        </w:rPr>
        <w:t>维通app搭乘公共交通工具的使用用户，基本对象单位为个人，无明确的年龄段限制。</w:t>
      </w:r>
    </w:p>
    <w:p w14:paraId="06819F7D" w14:textId="77777777" w:rsidR="00F029CD" w:rsidRDefault="00C21B83" w:rsidP="00A16714">
      <w:pPr>
        <w:pStyle w:val="2"/>
        <w:spacing w:before="163" w:after="163" w:line="240" w:lineRule="auto"/>
      </w:pPr>
      <w:bookmarkStart w:id="5" w:name="_Toc27941792"/>
      <w:r>
        <w:rPr>
          <w:rFonts w:hint="eastAsia"/>
        </w:rPr>
        <w:lastRenderedPageBreak/>
        <w:t>应用环境</w:t>
      </w:r>
      <w:bookmarkEnd w:id="5"/>
    </w:p>
    <w:p w14:paraId="35D02ED1" w14:textId="77777777" w:rsidR="00F029CD" w:rsidRDefault="00C21B83" w:rsidP="00A16714">
      <w:pPr>
        <w:spacing w:before="163" w:after="163"/>
        <w:ind w:firstLineChars="200" w:firstLine="480"/>
      </w:pPr>
      <w:r>
        <w:rPr>
          <w:rFonts w:hint="eastAsia"/>
        </w:rPr>
        <w:t>本系统应用于八维通app使用用户的终端，该积分系统植根于八维通app，为八维通app系统的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个子模块，进行积分的输入、输出处理。</w:t>
      </w:r>
    </w:p>
    <w:p w14:paraId="0EA0C871" w14:textId="77777777" w:rsidR="00F029CD" w:rsidRDefault="00C21B83" w:rsidP="00A16714">
      <w:pPr>
        <w:pStyle w:val="1"/>
        <w:spacing w:before="163" w:after="163" w:line="240" w:lineRule="auto"/>
      </w:pPr>
      <w:bookmarkStart w:id="6" w:name="_Toc27941793"/>
      <w:r>
        <w:rPr>
          <w:rFonts w:hint="eastAsia"/>
        </w:rPr>
        <w:t>解决</w:t>
      </w:r>
      <w:r>
        <w:t>思路</w:t>
      </w:r>
      <w:bookmarkEnd w:id="6"/>
    </w:p>
    <w:p w14:paraId="49365996" w14:textId="77777777" w:rsidR="00F029CD" w:rsidRDefault="00C21B83" w:rsidP="00A16714">
      <w:pPr>
        <w:pStyle w:val="2"/>
        <w:spacing w:before="163" w:after="163" w:line="240" w:lineRule="auto"/>
      </w:pPr>
      <w:bookmarkStart w:id="7" w:name="_Toc27941794"/>
      <w:r>
        <w:t>开发思路</w:t>
      </w:r>
      <w:bookmarkEnd w:id="7"/>
    </w:p>
    <w:p w14:paraId="4517B4B8" w14:textId="77777777" w:rsidR="00F029CD" w:rsidRDefault="00C21B83" w:rsidP="00A16714">
      <w:pPr>
        <w:spacing w:before="163" w:after="163"/>
        <w:ind w:firstLineChars="200" w:firstLine="480"/>
      </w:pPr>
      <w:r>
        <w:rPr>
          <w:rFonts w:hint="eastAsia"/>
        </w:rPr>
        <w:t>对于</w:t>
      </w:r>
      <w:r>
        <w:t>基于绿色出行场景个人碳排放积分系统</w:t>
      </w:r>
      <w:r>
        <w:rPr>
          <w:rFonts w:hint="eastAsia"/>
        </w:rPr>
        <w:t>开发与运营，我们根据软件项目管理定义的五个阶段寻求解决方案：</w:t>
      </w:r>
    </w:p>
    <w:p w14:paraId="397CDFE5" w14:textId="77777777" w:rsidR="00F029CD" w:rsidRDefault="00C21B83" w:rsidP="00A16714">
      <w:pPr>
        <w:numPr>
          <w:ilvl w:val="0"/>
          <w:numId w:val="3"/>
        </w:numPr>
        <w:spacing w:before="163" w:after="163"/>
      </w:pPr>
      <w:r>
        <w:rPr>
          <w:rFonts w:hint="eastAsia"/>
        </w:rPr>
        <w:t>启动阶段：组建项目团队，明确各团队成员责任范围。整理赛题相关资料，对服务外包业务展开学习，识别项目干系人。</w:t>
      </w:r>
    </w:p>
    <w:p w14:paraId="06A620FF" w14:textId="77777777" w:rsidR="00F029CD" w:rsidRDefault="00C21B83" w:rsidP="00A16714">
      <w:pPr>
        <w:numPr>
          <w:ilvl w:val="0"/>
          <w:numId w:val="3"/>
        </w:numPr>
        <w:spacing w:before="163" w:after="163"/>
      </w:pPr>
      <w:r>
        <w:rPr>
          <w:rFonts w:hint="eastAsia"/>
        </w:rPr>
        <w:t>计划阶段：</w:t>
      </w:r>
      <w:proofErr w:type="gramStart"/>
      <w:r>
        <w:rPr>
          <w:rFonts w:hint="eastAsia"/>
        </w:rPr>
        <w:t>项目愿景与</w:t>
      </w:r>
      <w:proofErr w:type="gramEnd"/>
      <w:r>
        <w:rPr>
          <w:rFonts w:hint="eastAsia"/>
        </w:rPr>
        <w:t>范围定义，制定时间、成本、质量、人力资源、沟通、风险、采购、干系人管理计划。</w:t>
      </w:r>
    </w:p>
    <w:p w14:paraId="2E4C9115" w14:textId="77777777" w:rsidR="00F029CD" w:rsidRDefault="00C21B83" w:rsidP="00A16714">
      <w:pPr>
        <w:numPr>
          <w:ilvl w:val="0"/>
          <w:numId w:val="3"/>
        </w:numPr>
        <w:spacing w:before="163" w:after="163"/>
      </w:pPr>
      <w:r>
        <w:rPr>
          <w:rFonts w:hint="eastAsia"/>
        </w:rPr>
        <w:t>执行阶段：获取需求（包括非功能需求），分析需求；制作界面原型，保持与客户、用户沟通，明确需求；针对需求，提出可行的技术路线、系统架构；开始并完成编码，设计测试用例，对系统进行测试，发布初始版本。</w:t>
      </w:r>
    </w:p>
    <w:p w14:paraId="4A66A02E" w14:textId="77777777" w:rsidR="00F029CD" w:rsidRDefault="00C21B83" w:rsidP="00A16714">
      <w:pPr>
        <w:numPr>
          <w:ilvl w:val="0"/>
          <w:numId w:val="3"/>
        </w:numPr>
        <w:spacing w:before="163" w:after="163"/>
      </w:pPr>
      <w:r>
        <w:rPr>
          <w:rFonts w:hint="eastAsia"/>
        </w:rPr>
        <w:t>控制阶段：整理用户的需求变更，迭代相关文档以及程序。</w:t>
      </w:r>
    </w:p>
    <w:p w14:paraId="5E1BDE79" w14:textId="77777777" w:rsidR="00F029CD" w:rsidRDefault="00C21B83" w:rsidP="00A16714">
      <w:pPr>
        <w:numPr>
          <w:ilvl w:val="0"/>
          <w:numId w:val="3"/>
        </w:numPr>
        <w:spacing w:before="163" w:after="163"/>
      </w:pPr>
      <w:r>
        <w:rPr>
          <w:rFonts w:hint="eastAsia"/>
        </w:rPr>
        <w:t>收尾阶段：制作用户手册，项目总结，整理相关文档，完成赛题答辩。</w:t>
      </w:r>
    </w:p>
    <w:p w14:paraId="6E32B905" w14:textId="77777777" w:rsidR="00F029CD" w:rsidRDefault="00C21B83" w:rsidP="00A16714">
      <w:pPr>
        <w:pStyle w:val="2"/>
        <w:spacing w:before="163" w:after="163" w:line="240" w:lineRule="auto"/>
      </w:pPr>
      <w:bookmarkStart w:id="8" w:name="_Toc27941795"/>
      <w:r>
        <w:rPr>
          <w:rFonts w:hint="eastAsia"/>
        </w:rPr>
        <w:lastRenderedPageBreak/>
        <w:t>功能简介</w:t>
      </w:r>
      <w:bookmarkEnd w:id="8"/>
    </w:p>
    <w:p w14:paraId="2AF0F8B1" w14:textId="77777777" w:rsidR="00F029CD" w:rsidRDefault="00C21B83" w:rsidP="00A16714">
      <w:pPr>
        <w:spacing w:before="163" w:after="163"/>
      </w:pPr>
      <w:r>
        <w:object w:dxaOrig="8301" w:dyaOrig="6078" w14:anchorId="2702A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4.5pt" o:ole="">
            <v:imagedata r:id="rId17" o:title=""/>
            <o:lock v:ext="edit" aspectratio="f"/>
          </v:shape>
          <o:OLEObject Type="Embed" ProgID="Visio.Drawing.15" ShapeID="_x0000_i1025" DrawAspect="Content" ObjectID="_1638554829" r:id="rId18"/>
        </w:object>
      </w:r>
    </w:p>
    <w:p w14:paraId="79816C26" w14:textId="77777777" w:rsidR="00F029CD" w:rsidRDefault="00F029CD" w:rsidP="00A16714">
      <w:pPr>
        <w:spacing w:before="163" w:after="163"/>
      </w:pPr>
    </w:p>
    <w:tbl>
      <w:tblPr>
        <w:tblStyle w:val="a8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29CD" w14:paraId="18E6F8B4" w14:textId="77777777" w:rsidTr="00F0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51EE370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D0846C9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19053AE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说明</w:t>
            </w:r>
          </w:p>
        </w:tc>
      </w:tr>
      <w:tr w:rsidR="00F029CD" w14:paraId="5A13C4DA" w14:textId="77777777" w:rsidTr="00F029CD">
        <w:tc>
          <w:tcPr>
            <w:tcW w:w="2765" w:type="dxa"/>
            <w:vMerge w:val="restart"/>
            <w:tcBorders>
              <w:tl2br w:val="nil"/>
              <w:tr2bl w:val="nil"/>
            </w:tcBorders>
          </w:tcPr>
          <w:p w14:paraId="6FDFD799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获取</w:t>
            </w: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795EF57D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奇遇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4AFCAA08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在乘坐公共交通工具的途中会随机获得物品</w:t>
            </w:r>
          </w:p>
        </w:tc>
      </w:tr>
      <w:tr w:rsidR="00F029CD" w14:paraId="571FE4EC" w14:textId="77777777" w:rsidTr="00F029CD">
        <w:tc>
          <w:tcPr>
            <w:tcW w:w="2765" w:type="dxa"/>
            <w:vMerge/>
            <w:tcBorders>
              <w:tl2br w:val="nil"/>
              <w:tr2bl w:val="nil"/>
            </w:tcBorders>
          </w:tcPr>
          <w:p w14:paraId="4373D821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4E374A45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固定获取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3A292291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乘坐公共交通的公里数按一定系数转换为积分</w:t>
            </w:r>
          </w:p>
        </w:tc>
      </w:tr>
    </w:tbl>
    <w:p w14:paraId="7D9E202D" w14:textId="77777777" w:rsidR="00F029CD" w:rsidRDefault="00F029CD" w:rsidP="00A16714">
      <w:pPr>
        <w:spacing w:before="163" w:after="163"/>
      </w:pPr>
    </w:p>
    <w:p w14:paraId="36455483" w14:textId="77777777" w:rsidR="00F029CD" w:rsidRDefault="00F029CD" w:rsidP="00A16714">
      <w:pPr>
        <w:spacing w:before="163" w:after="163"/>
      </w:pPr>
    </w:p>
    <w:tbl>
      <w:tblPr>
        <w:tblStyle w:val="a8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29CD" w14:paraId="333CCF92" w14:textId="77777777" w:rsidTr="00F0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CC7EA4D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C74551A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5F1AB13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说明</w:t>
            </w:r>
          </w:p>
        </w:tc>
      </w:tr>
      <w:tr w:rsidR="00F029CD" w14:paraId="13E6971E" w14:textId="77777777" w:rsidTr="00F029CD">
        <w:tc>
          <w:tcPr>
            <w:tcW w:w="2765" w:type="dxa"/>
            <w:vMerge w:val="restart"/>
            <w:tcBorders>
              <w:tl2br w:val="nil"/>
              <w:tr2bl w:val="nil"/>
            </w:tcBorders>
          </w:tcPr>
          <w:p w14:paraId="3EF3DB72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流通</w:t>
            </w: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2C36823A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积分商城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422EAE6E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用户使用积分兑换平台提供的商品的场所</w:t>
            </w:r>
          </w:p>
        </w:tc>
      </w:tr>
      <w:tr w:rsidR="00F029CD" w14:paraId="22CAF4C8" w14:textId="77777777" w:rsidTr="00F029CD">
        <w:tc>
          <w:tcPr>
            <w:tcW w:w="2765" w:type="dxa"/>
            <w:vMerge/>
            <w:tcBorders>
              <w:tl2br w:val="nil"/>
              <w:tr2bl w:val="nil"/>
            </w:tcBorders>
          </w:tcPr>
          <w:p w14:paraId="1040159F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058A1F53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聚宝盆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1EE06D39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用户使用积分通过获得稀有商品的场所</w:t>
            </w:r>
          </w:p>
        </w:tc>
      </w:tr>
      <w:tr w:rsidR="00F029CD" w14:paraId="440E33D3" w14:textId="77777777" w:rsidTr="00F029CD">
        <w:tc>
          <w:tcPr>
            <w:tcW w:w="2765" w:type="dxa"/>
            <w:vMerge/>
            <w:tcBorders>
              <w:tl2br w:val="nil"/>
              <w:tr2bl w:val="nil"/>
            </w:tcBorders>
          </w:tcPr>
          <w:p w14:paraId="5F1D64A9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05AB9698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藏宝阁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22BCE79D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用户可进行交易，获取积分或商品的场所</w:t>
            </w:r>
          </w:p>
        </w:tc>
      </w:tr>
    </w:tbl>
    <w:p w14:paraId="6FE6EB8F" w14:textId="77777777" w:rsidR="00F029CD" w:rsidRDefault="00F029CD" w:rsidP="00A16714">
      <w:pPr>
        <w:spacing w:before="163" w:after="163"/>
      </w:pPr>
    </w:p>
    <w:tbl>
      <w:tblPr>
        <w:tblStyle w:val="a8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29CD" w14:paraId="0856CE6A" w14:textId="77777777" w:rsidTr="00F0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8E7B8DA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CAB25E3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CD95321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说明</w:t>
            </w:r>
          </w:p>
        </w:tc>
      </w:tr>
      <w:tr w:rsidR="00F029CD" w14:paraId="7A2AFC71" w14:textId="77777777" w:rsidTr="00F029CD">
        <w:tc>
          <w:tcPr>
            <w:tcW w:w="2765" w:type="dxa"/>
            <w:vMerge w:val="restart"/>
            <w:tcBorders>
              <w:tl2br w:val="nil"/>
              <w:tr2bl w:val="nil"/>
            </w:tcBorders>
          </w:tcPr>
          <w:p w14:paraId="05397F8B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聚宝盆</w:t>
            </w: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09DEB278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升级模块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3F715732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用户消耗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定积分升级聚宝盆的等级</w:t>
            </w:r>
          </w:p>
        </w:tc>
      </w:tr>
      <w:tr w:rsidR="00F029CD" w14:paraId="60F41A02" w14:textId="77777777" w:rsidTr="00F029CD">
        <w:tc>
          <w:tcPr>
            <w:tcW w:w="2765" w:type="dxa"/>
            <w:vMerge/>
            <w:tcBorders>
              <w:tl2br w:val="nil"/>
              <w:tr2bl w:val="nil"/>
            </w:tcBorders>
          </w:tcPr>
          <w:p w14:paraId="5E236EBD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105C33E3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抽奖模块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3C3F3C2B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根据聚宝盆的等级，用户消耗积分随机获得不同品质的稀有物品</w:t>
            </w:r>
          </w:p>
        </w:tc>
      </w:tr>
    </w:tbl>
    <w:p w14:paraId="0F969725" w14:textId="77777777" w:rsidR="00F029CD" w:rsidRDefault="00F029CD" w:rsidP="00A16714">
      <w:pPr>
        <w:spacing w:before="163" w:after="163"/>
      </w:pP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29CD" w14:paraId="66593810" w14:textId="77777777" w:rsidTr="00F0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F3126CF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BAA87CD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8288A95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说明</w:t>
            </w:r>
          </w:p>
        </w:tc>
      </w:tr>
      <w:tr w:rsidR="00F029CD" w14:paraId="16FF0176" w14:textId="77777777" w:rsidTr="00F029CD">
        <w:tc>
          <w:tcPr>
            <w:tcW w:w="2765" w:type="dxa"/>
            <w:vMerge w:val="restart"/>
            <w:tcBorders>
              <w:tl2br w:val="nil"/>
              <w:tr2bl w:val="nil"/>
            </w:tcBorders>
          </w:tcPr>
          <w:p w14:paraId="07C8B806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藏宝阁</w:t>
            </w: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3A487B79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出售模块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09B59AC4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用户出售在平台中获得的商品</w:t>
            </w:r>
          </w:p>
        </w:tc>
      </w:tr>
      <w:tr w:rsidR="00F029CD" w14:paraId="2124F5E3" w14:textId="77777777" w:rsidTr="00F029CD">
        <w:tc>
          <w:tcPr>
            <w:tcW w:w="2765" w:type="dxa"/>
            <w:vMerge/>
            <w:tcBorders>
              <w:tl2br w:val="nil"/>
              <w:tr2bl w:val="nil"/>
            </w:tcBorders>
          </w:tcPr>
          <w:p w14:paraId="4FE7BE71" w14:textId="77777777" w:rsidR="00F029CD" w:rsidRDefault="00F029CD" w:rsidP="00A16714">
            <w:pPr>
              <w:spacing w:before="163" w:after="163"/>
            </w:pPr>
          </w:p>
        </w:tc>
        <w:tc>
          <w:tcPr>
            <w:tcW w:w="2765" w:type="dxa"/>
            <w:tcBorders>
              <w:tl2br w:val="nil"/>
              <w:tr2bl w:val="nil"/>
            </w:tcBorders>
          </w:tcPr>
          <w:p w14:paraId="0881E632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购买模块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 w14:paraId="7A68CA47" w14:textId="77777777" w:rsidR="00F029CD" w:rsidRDefault="00C21B83" w:rsidP="00A16714">
            <w:pPr>
              <w:spacing w:before="163" w:after="163"/>
            </w:pPr>
            <w:r>
              <w:rPr>
                <w:rFonts w:hint="eastAsia"/>
              </w:rPr>
              <w:t>用户消耗积分购买其他用户出售的商品</w:t>
            </w:r>
          </w:p>
        </w:tc>
      </w:tr>
    </w:tbl>
    <w:p w14:paraId="21F9D51E" w14:textId="77777777" w:rsidR="00F029CD" w:rsidRDefault="00F029CD" w:rsidP="00A16714">
      <w:pPr>
        <w:spacing w:before="163" w:after="163"/>
      </w:pPr>
    </w:p>
    <w:p w14:paraId="0871969A" w14:textId="77777777" w:rsidR="00F029CD" w:rsidRDefault="00C21B83" w:rsidP="00A16714">
      <w:pPr>
        <w:pStyle w:val="1"/>
        <w:spacing w:before="163" w:after="163" w:line="240" w:lineRule="auto"/>
      </w:pPr>
      <w:bookmarkStart w:id="9" w:name="_Toc27941796"/>
      <w:r>
        <w:rPr>
          <w:rFonts w:hint="eastAsia"/>
        </w:rPr>
        <w:t>特色综述</w:t>
      </w:r>
      <w:bookmarkEnd w:id="9"/>
    </w:p>
    <w:p w14:paraId="08AB35FD" w14:textId="77777777" w:rsidR="00F029CD" w:rsidRDefault="00C21B83" w:rsidP="00A16714">
      <w:pPr>
        <w:numPr>
          <w:ilvl w:val="0"/>
          <w:numId w:val="4"/>
        </w:numPr>
        <w:spacing w:before="163" w:after="163"/>
      </w:pPr>
      <w:r>
        <w:rPr>
          <w:rFonts w:hint="eastAsia"/>
        </w:rPr>
        <w:t>积分获取不局限于单一的根据里程数获取，还可通过“以物换分”的交易形式获取积分</w:t>
      </w:r>
    </w:p>
    <w:p w14:paraId="2B42EC8D" w14:textId="77777777" w:rsidR="00F029CD" w:rsidRDefault="00C21B83" w:rsidP="00A16714">
      <w:pPr>
        <w:numPr>
          <w:ilvl w:val="0"/>
          <w:numId w:val="4"/>
        </w:numPr>
        <w:spacing w:before="163" w:after="163"/>
      </w:pPr>
      <w:r>
        <w:rPr>
          <w:rFonts w:hint="eastAsia"/>
        </w:rPr>
        <w:t>奇遇模块、聚宝盆模块存在的不确定性增添了多样性，维持了用户的新鲜感和满足感，通过激励机制来维持用户的绿色出行行为，实现环保公益可持续发展</w:t>
      </w:r>
    </w:p>
    <w:p w14:paraId="41799532" w14:textId="77777777" w:rsidR="00F029CD" w:rsidRDefault="00C21B83" w:rsidP="00A16714">
      <w:pPr>
        <w:numPr>
          <w:ilvl w:val="0"/>
          <w:numId w:val="4"/>
        </w:numPr>
        <w:spacing w:before="163" w:after="163"/>
      </w:pPr>
      <w:r>
        <w:rPr>
          <w:rFonts w:hint="eastAsia"/>
        </w:rPr>
        <w:t>积分直接兑换模块平台所提供的商品聚集了环保、公益的元素，其中，例如爱心午餐券维持用户的公益行为，出行减免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维持用户的绿色出行习惯，形成地毯环保的行为意识</w:t>
      </w:r>
    </w:p>
    <w:p w14:paraId="705D6CF0" w14:textId="77777777" w:rsidR="00F029CD" w:rsidRDefault="00C21B83" w:rsidP="00A16714">
      <w:pPr>
        <w:numPr>
          <w:ilvl w:val="0"/>
          <w:numId w:val="4"/>
        </w:numPr>
        <w:spacing w:before="163" w:after="163"/>
      </w:pPr>
      <w:r>
        <w:rPr>
          <w:rFonts w:hint="eastAsia"/>
        </w:rPr>
        <w:t>藏宝阁模块实现了“以物换分”、“以分换物”，交易机制反映了娱乐的性质，实</w:t>
      </w:r>
      <w:r>
        <w:rPr>
          <w:rFonts w:hint="eastAsia"/>
        </w:rPr>
        <w:lastRenderedPageBreak/>
        <w:t>现了再分配</w:t>
      </w:r>
    </w:p>
    <w:p w14:paraId="4B2921DB" w14:textId="77777777" w:rsidR="00F029CD" w:rsidRDefault="00F029CD" w:rsidP="00A16714">
      <w:pPr>
        <w:spacing w:before="163" w:after="163"/>
      </w:pPr>
    </w:p>
    <w:p w14:paraId="0404B357" w14:textId="77777777" w:rsidR="00F029CD" w:rsidRDefault="00C21B83" w:rsidP="00A16714">
      <w:pPr>
        <w:pStyle w:val="1"/>
        <w:spacing w:before="163" w:after="163" w:line="240" w:lineRule="auto"/>
      </w:pPr>
      <w:bookmarkStart w:id="10" w:name="_Toc27941797"/>
      <w:r>
        <w:t>具体做法</w:t>
      </w:r>
      <w:bookmarkEnd w:id="10"/>
    </w:p>
    <w:p w14:paraId="4360CFD8" w14:textId="77777777" w:rsidR="00F029CD" w:rsidRDefault="00C21B83" w:rsidP="00A16714">
      <w:pPr>
        <w:pStyle w:val="2"/>
        <w:spacing w:before="163" w:after="163" w:line="240" w:lineRule="auto"/>
      </w:pPr>
      <w:bookmarkStart w:id="11" w:name="_Toc27941798"/>
      <w:r>
        <w:rPr>
          <w:rFonts w:hint="eastAsia"/>
        </w:rPr>
        <w:t>开发工具与技术</w:t>
      </w:r>
      <w:bookmarkEnd w:id="11"/>
    </w:p>
    <w:p w14:paraId="741276FE" w14:textId="77777777" w:rsidR="00F029CD" w:rsidRDefault="00C21B83" w:rsidP="00A16714">
      <w:pPr>
        <w:spacing w:before="163" w:after="163"/>
      </w:pPr>
      <w:r>
        <w:rPr>
          <w:rFonts w:hint="eastAsia"/>
          <w:noProof/>
        </w:rPr>
        <w:drawing>
          <wp:inline distT="0" distB="0" distL="114300" distR="114300" wp14:anchorId="2C7AC48A" wp14:editId="7CD2B6F3">
            <wp:extent cx="5273040" cy="4079875"/>
            <wp:effectExtent l="0" t="0" r="0" b="4445"/>
            <wp:docPr id="3" name="图片 3" descr="efecc8d8e8a7de7ae8d61997865f5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ecc8d8e8a7de7ae8d61997865f53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9CD" w:rsidSect="00B61C8B">
      <w:pgSz w:w="11906" w:h="16838"/>
      <w:pgMar w:top="1134" w:right="1134" w:bottom="1134" w:left="1134" w:header="851" w:footer="992" w:gutter="567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31E69" w14:textId="77777777" w:rsidR="00111B6B" w:rsidRDefault="00111B6B">
      <w:pPr>
        <w:spacing w:before="120" w:after="120"/>
      </w:pPr>
      <w:r>
        <w:separator/>
      </w:r>
    </w:p>
    <w:p w14:paraId="68525CF6" w14:textId="77777777" w:rsidR="00111B6B" w:rsidRDefault="00111B6B">
      <w:pPr>
        <w:spacing w:before="120" w:after="120"/>
      </w:pPr>
    </w:p>
  </w:endnote>
  <w:endnote w:type="continuationSeparator" w:id="0">
    <w:p w14:paraId="3B45B300" w14:textId="77777777" w:rsidR="00111B6B" w:rsidRDefault="00111B6B">
      <w:pPr>
        <w:spacing w:before="120" w:after="120"/>
      </w:pPr>
      <w:r>
        <w:continuationSeparator/>
      </w:r>
    </w:p>
    <w:p w14:paraId="7BF0D393" w14:textId="77777777" w:rsidR="00111B6B" w:rsidRDefault="00111B6B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BF5BE" w14:textId="77777777" w:rsidR="007A6814" w:rsidRDefault="007A6814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308537"/>
    </w:sdtPr>
    <w:sdtEndPr/>
    <w:sdtContent>
      <w:p w14:paraId="5BFE9CC2" w14:textId="77777777" w:rsidR="00F029CD" w:rsidRDefault="00C21B83">
        <w:pPr>
          <w:pStyle w:val="a4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D0B131" w14:textId="77777777" w:rsidR="00F029CD" w:rsidRDefault="00F029CD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8E55" w14:textId="77777777" w:rsidR="007A6814" w:rsidRDefault="007A6814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5E566" w14:textId="77777777" w:rsidR="00111B6B" w:rsidRDefault="00111B6B">
      <w:pPr>
        <w:spacing w:before="120" w:after="120"/>
      </w:pPr>
      <w:r>
        <w:separator/>
      </w:r>
    </w:p>
    <w:p w14:paraId="34CE7756" w14:textId="77777777" w:rsidR="00111B6B" w:rsidRDefault="00111B6B">
      <w:pPr>
        <w:spacing w:before="120" w:after="120"/>
      </w:pPr>
    </w:p>
  </w:footnote>
  <w:footnote w:type="continuationSeparator" w:id="0">
    <w:p w14:paraId="70B922F5" w14:textId="77777777" w:rsidR="00111B6B" w:rsidRDefault="00111B6B">
      <w:pPr>
        <w:spacing w:before="120" w:after="120"/>
      </w:pPr>
      <w:r>
        <w:continuationSeparator/>
      </w:r>
    </w:p>
    <w:p w14:paraId="097EF723" w14:textId="77777777" w:rsidR="00111B6B" w:rsidRDefault="00111B6B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114D" w14:textId="77777777" w:rsidR="007A6814" w:rsidRDefault="007A6814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895A" w14:textId="77777777" w:rsidR="00F029CD" w:rsidRDefault="00C21B83">
    <w:pPr>
      <w:spacing w:before="120" w:after="120"/>
      <w:jc w:val="right"/>
    </w:pPr>
    <w:r>
      <w:rPr>
        <w:noProof/>
        <w:sz w:val="20"/>
        <w:szCs w:val="20"/>
      </w:rPr>
      <w:drawing>
        <wp:inline distT="0" distB="0" distL="114300" distR="114300" wp14:anchorId="68E1ED85" wp14:editId="3E61EC3F">
          <wp:extent cx="2286000" cy="250190"/>
          <wp:effectExtent l="0" t="0" r="0" b="8890"/>
          <wp:docPr id="4" name="图片 4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25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452C" w14:textId="77777777" w:rsidR="00F029CD" w:rsidRDefault="00C21B83">
    <w:pPr>
      <w:pStyle w:val="a6"/>
      <w:spacing w:before="120" w:after="120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114300" distR="114300" wp14:anchorId="4DB0FA10" wp14:editId="1976151A">
          <wp:extent cx="2286000" cy="250190"/>
          <wp:effectExtent l="0" t="0" r="0" b="8890"/>
          <wp:docPr id="5" name="图片 5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25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034C2F"/>
    <w:multiLevelType w:val="singleLevel"/>
    <w:tmpl w:val="B5034C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D2CAB1B"/>
    <w:multiLevelType w:val="singleLevel"/>
    <w:tmpl w:val="DD2CAB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52F2FBC"/>
    <w:multiLevelType w:val="singleLevel"/>
    <w:tmpl w:val="552F2F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AF54A4F"/>
    <w:multiLevelType w:val="multilevel"/>
    <w:tmpl w:val="7AF54A4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36"/>
        <w:szCs w:val="36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56"/>
    <w:rsid w:val="0003655B"/>
    <w:rsid w:val="00043B56"/>
    <w:rsid w:val="0005735C"/>
    <w:rsid w:val="00085967"/>
    <w:rsid w:val="000A7C0D"/>
    <w:rsid w:val="000C1126"/>
    <w:rsid w:val="000C5ABE"/>
    <w:rsid w:val="000E185A"/>
    <w:rsid w:val="001000BB"/>
    <w:rsid w:val="00111B6B"/>
    <w:rsid w:val="001214AE"/>
    <w:rsid w:val="001B6DC2"/>
    <w:rsid w:val="001E7BFF"/>
    <w:rsid w:val="00213707"/>
    <w:rsid w:val="002161BE"/>
    <w:rsid w:val="00233BCB"/>
    <w:rsid w:val="00235570"/>
    <w:rsid w:val="002D1833"/>
    <w:rsid w:val="002D67C5"/>
    <w:rsid w:val="003000DD"/>
    <w:rsid w:val="00303EE3"/>
    <w:rsid w:val="003159DD"/>
    <w:rsid w:val="003521C0"/>
    <w:rsid w:val="003A771F"/>
    <w:rsid w:val="003C57DD"/>
    <w:rsid w:val="003D39DB"/>
    <w:rsid w:val="003E1FEF"/>
    <w:rsid w:val="003F2AEB"/>
    <w:rsid w:val="003F484E"/>
    <w:rsid w:val="00407604"/>
    <w:rsid w:val="00462FC6"/>
    <w:rsid w:val="004642FC"/>
    <w:rsid w:val="00475019"/>
    <w:rsid w:val="004806A9"/>
    <w:rsid w:val="00481FE2"/>
    <w:rsid w:val="00491057"/>
    <w:rsid w:val="00505E65"/>
    <w:rsid w:val="005143C3"/>
    <w:rsid w:val="00514C97"/>
    <w:rsid w:val="005267B8"/>
    <w:rsid w:val="00554362"/>
    <w:rsid w:val="00597BED"/>
    <w:rsid w:val="00607145"/>
    <w:rsid w:val="00615B73"/>
    <w:rsid w:val="00627A8C"/>
    <w:rsid w:val="006564B7"/>
    <w:rsid w:val="006661A7"/>
    <w:rsid w:val="006735F8"/>
    <w:rsid w:val="00723D70"/>
    <w:rsid w:val="00746AED"/>
    <w:rsid w:val="00787835"/>
    <w:rsid w:val="007A6814"/>
    <w:rsid w:val="008651AE"/>
    <w:rsid w:val="00892BB0"/>
    <w:rsid w:val="008F6430"/>
    <w:rsid w:val="00917906"/>
    <w:rsid w:val="00920011"/>
    <w:rsid w:val="00942DFB"/>
    <w:rsid w:val="009620D4"/>
    <w:rsid w:val="009A61F1"/>
    <w:rsid w:val="009B4D7E"/>
    <w:rsid w:val="00A16714"/>
    <w:rsid w:val="00A41D35"/>
    <w:rsid w:val="00A43F20"/>
    <w:rsid w:val="00AA7673"/>
    <w:rsid w:val="00AD3B5D"/>
    <w:rsid w:val="00AE6E13"/>
    <w:rsid w:val="00B10D81"/>
    <w:rsid w:val="00B61C8B"/>
    <w:rsid w:val="00BA5FA8"/>
    <w:rsid w:val="00BD189A"/>
    <w:rsid w:val="00BD2D56"/>
    <w:rsid w:val="00C11A48"/>
    <w:rsid w:val="00C13E1A"/>
    <w:rsid w:val="00C21B83"/>
    <w:rsid w:val="00C36BCE"/>
    <w:rsid w:val="00CC515A"/>
    <w:rsid w:val="00CD761D"/>
    <w:rsid w:val="00CE3211"/>
    <w:rsid w:val="00D11E59"/>
    <w:rsid w:val="00D65F19"/>
    <w:rsid w:val="00D676A2"/>
    <w:rsid w:val="00DB6429"/>
    <w:rsid w:val="00DC287D"/>
    <w:rsid w:val="00DC6F94"/>
    <w:rsid w:val="00E475D3"/>
    <w:rsid w:val="00E64612"/>
    <w:rsid w:val="00E739BB"/>
    <w:rsid w:val="00F029CD"/>
    <w:rsid w:val="00F5023D"/>
    <w:rsid w:val="00F73BCC"/>
    <w:rsid w:val="00F77216"/>
    <w:rsid w:val="00F97E88"/>
    <w:rsid w:val="025219C8"/>
    <w:rsid w:val="034F1B26"/>
    <w:rsid w:val="059879DD"/>
    <w:rsid w:val="081C4F52"/>
    <w:rsid w:val="082F1F95"/>
    <w:rsid w:val="0D4A0B8B"/>
    <w:rsid w:val="107C6AC3"/>
    <w:rsid w:val="11590DAF"/>
    <w:rsid w:val="160844C9"/>
    <w:rsid w:val="1A043F21"/>
    <w:rsid w:val="229227BC"/>
    <w:rsid w:val="2293094D"/>
    <w:rsid w:val="24F55C7B"/>
    <w:rsid w:val="265E3053"/>
    <w:rsid w:val="28193F42"/>
    <w:rsid w:val="2AC512DF"/>
    <w:rsid w:val="2C683EB0"/>
    <w:rsid w:val="2E710FB4"/>
    <w:rsid w:val="31B72DAD"/>
    <w:rsid w:val="332D6B7A"/>
    <w:rsid w:val="33530D8E"/>
    <w:rsid w:val="396270D4"/>
    <w:rsid w:val="3AC350AF"/>
    <w:rsid w:val="3FFB69AB"/>
    <w:rsid w:val="40C8425D"/>
    <w:rsid w:val="40DC02D1"/>
    <w:rsid w:val="462123AF"/>
    <w:rsid w:val="517F53C7"/>
    <w:rsid w:val="56D0646D"/>
    <w:rsid w:val="6ADF3C21"/>
    <w:rsid w:val="6B4342FC"/>
    <w:rsid w:val="6EB6171C"/>
    <w:rsid w:val="70735C81"/>
    <w:rsid w:val="75473C10"/>
    <w:rsid w:val="75B6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D0BAF7"/>
  <w15:docId w15:val="{49A92708-D115-4B6A-8081-287BE7EF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714"/>
    <w:pPr>
      <w:widowControl w:val="0"/>
      <w:spacing w:beforeLines="50" w:before="50" w:afterLines="50" w:after="50"/>
      <w:jc w:val="both"/>
    </w:pPr>
    <w:rPr>
      <w:rFonts w:ascii="楷体" w:eastAsia="楷体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120" w:line="415" w:lineRule="auto"/>
      <w:outlineLvl w:val="1"/>
    </w:pPr>
    <w:rPr>
      <w:rFonts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40" w:after="12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  <w:insideH w:val="single" w:sz="4" w:space="0" w:color="00B0F0"/>
        <w:insideV w:val="single" w:sz="4" w:space="0" w:color="00B0F0"/>
      </w:tblBorders>
    </w:tblPr>
    <w:tblStylePr w:type="firstRow">
      <w:tblPr/>
      <w:tcPr>
        <w:shd w:val="clear" w:color="auto" w:fill="CAE5FF"/>
      </w:tcPr>
    </w:tblStyle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楷体"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楷体" w:eastAsia="楷体" w:hAnsiTheme="majorHAnsi" w:cstheme="majorBidi"/>
      <w:b/>
      <w:bCs/>
      <w:sz w:val="36"/>
      <w:szCs w:val="32"/>
    </w:rPr>
  </w:style>
  <w:style w:type="paragraph" w:styleId="aa">
    <w:name w:val="No Spacing"/>
    <w:link w:val="ab"/>
    <w:uiPriority w:val="1"/>
    <w:qFormat/>
    <w:pPr>
      <w:widowControl w:val="0"/>
      <w:jc w:val="both"/>
    </w:pPr>
    <w:rPr>
      <w:rFonts w:asciiTheme="minorHAnsi" w:eastAsia="Consolas" w:hAnsiTheme="minorHAnsi" w:cstheme="minorBidi"/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qFormat/>
    <w:rPr>
      <w:rFonts w:ascii="楷体" w:eastAsia="楷体"/>
      <w:b/>
      <w:bCs/>
      <w:sz w:val="30"/>
      <w:szCs w:val="32"/>
    </w:rPr>
  </w:style>
  <w:style w:type="character" w:customStyle="1" w:styleId="a7">
    <w:name w:val="页眉 字符"/>
    <w:basedOn w:val="a0"/>
    <w:link w:val="a6"/>
    <w:uiPriority w:val="99"/>
    <w:qFormat/>
    <w:rPr>
      <w:rFonts w:eastAsia="宋体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eastAsia="宋体"/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Theme="minorHAnsi"/>
      <w:kern w:val="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b">
    <w:name w:val="无间隔 字符"/>
    <w:basedOn w:val="a0"/>
    <w:link w:val="aa"/>
    <w:uiPriority w:val="1"/>
    <w:qFormat/>
    <w:rPr>
      <w:rFonts w:eastAsia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赛题13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CE20E73-0FAB-4D02-BEE5-0FD34EF5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圆中 应</dc:creator>
  <cp:lastModifiedBy>黄 寅佐</cp:lastModifiedBy>
  <cp:revision>6</cp:revision>
  <cp:lastPrinted>2019-12-22T13:20:00Z</cp:lastPrinted>
  <dcterms:created xsi:type="dcterms:W3CDTF">2019-12-21T12:18:00Z</dcterms:created>
  <dcterms:modified xsi:type="dcterms:W3CDTF">2019-12-22T13:20:00Z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