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048"/>
        <w:gridCol w:w="5048"/>
      </w:tblGrid>
      <w:tr>
        <w:trPr>
          <w:trHeight w:hRule="exact" w:val="840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Код та назва дисципліни українською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мовою/ Назва дисципліни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англійською мовою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44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1-І5-223-8_Догляд за пацієнтом з серцево-судинними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захворюваннями/ Caring for a patient with cardiovascular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disease </w:t>
            </w:r>
          </w:p>
        </w:tc>
      </w:tr>
      <w:tr>
        <w:trPr>
          <w:trHeight w:hRule="exact" w:val="560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Рекомендується для галузі знань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спеціальності, освітньої програми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І5-223 Медсестринство / ОП «Медсестринство» </w:t>
            </w:r>
          </w:p>
        </w:tc>
      </w:tr>
      <w:tr>
        <w:trPr>
          <w:trHeight w:hRule="exact" w:val="288"/>
        </w:trPr>
        <w:tc>
          <w:tcPr>
            <w:tcW w:type="dxa" w:w="4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Кафедра </w:t>
            </w:r>
          </w:p>
        </w:tc>
        <w:tc>
          <w:tcPr>
            <w:tcW w:type="dxa" w:w="59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загальної медицини з курсом фізичної терапії </w:t>
            </w:r>
          </w:p>
        </w:tc>
      </w:tr>
      <w:tr>
        <w:trPr>
          <w:trHeight w:hRule="exact" w:val="282"/>
        </w:trPr>
        <w:tc>
          <w:tcPr>
            <w:tcW w:type="dxa" w:w="41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П.І.П. НПП </w:t>
            </w:r>
          </w:p>
        </w:tc>
        <w:tc>
          <w:tcPr>
            <w:tcW w:type="dxa" w:w="59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доцент Останіна Т.Г. </w:t>
            </w:r>
          </w:p>
        </w:tc>
      </w:tr>
      <w:tr>
        <w:trPr>
          <w:trHeight w:hRule="exact" w:val="290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Рівень ВО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перший (бакалаврський) </w:t>
            </w:r>
          </w:p>
        </w:tc>
      </w:tr>
      <w:tr>
        <w:trPr>
          <w:trHeight w:hRule="exact" w:val="560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КУРС, семестр (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в якому буде 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викладатись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Мова викладання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українська </w:t>
            </w:r>
          </w:p>
        </w:tc>
      </w:tr>
      <w:tr>
        <w:trPr>
          <w:trHeight w:hRule="exact" w:val="840"/>
        </w:trPr>
        <w:tc>
          <w:tcPr>
            <w:tcW w:type="dxa" w:w="4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Пререквізити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(передумови вивчення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дисципліни) </w:t>
            </w:r>
          </w:p>
        </w:tc>
        <w:tc>
          <w:tcPr>
            <w:tcW w:type="dxa" w:w="59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6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Знання з психології спілкування у медичній сфері,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190"/>
              <w:gridCol w:w="1190"/>
              <w:gridCol w:w="1190"/>
              <w:gridCol w:w="1190"/>
              <w:gridCol w:w="1190"/>
            </w:tblGrid>
            <w:tr>
              <w:trPr>
                <w:trHeight w:hRule="exact" w:val="276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анатомії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та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фізіології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людини, 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фармакології,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патофізіології. </w:t>
            </w:r>
          </w:p>
        </w:tc>
      </w:tr>
      <w:tr>
        <w:trPr>
          <w:trHeight w:hRule="exact" w:val="1112"/>
        </w:trPr>
        <w:tc>
          <w:tcPr>
            <w:tcW w:type="dxa" w:w="4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Що буде вивчатися </w:t>
            </w:r>
          </w:p>
        </w:tc>
        <w:tc>
          <w:tcPr>
            <w:tcW w:type="dxa" w:w="59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44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Основні положення про етіологію, патогенез, провідні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клінічні прояви, принципи діагностики, лікування і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профілактики окремих захворювань серцево-судинної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системи </w:t>
            </w:r>
          </w:p>
        </w:tc>
      </w:tr>
      <w:tr>
        <w:trPr>
          <w:trHeight w:hRule="exact" w:val="840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Чому це цікаво/треба вивчати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488"/>
              <w:gridCol w:w="1488"/>
              <w:gridCol w:w="1488"/>
              <w:gridCol w:w="1488"/>
            </w:tblGrid>
            <w:tr>
              <w:trPr>
                <w:trHeight w:hRule="exact" w:val="278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Актуальність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вивчення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дисципліни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обумовлена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високим рівнем захворюваності і смертності від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серцево-судинної патології </w:t>
            </w:r>
          </w:p>
        </w:tc>
      </w:tr>
      <w:tr>
        <w:trPr>
          <w:trHeight w:hRule="exact" w:val="286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Перелік тем з дисципліни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18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28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Як можна користуватися набутими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знаннями і уміннями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компетентність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6"/>
              <w:ind w:left="100" w:right="44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Розпізнавати й інтерпретувати ознаки здоров’я і його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змін, хвороби чи інвалідності при серцево-судинних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захворюваннях; визначати і задовольняти проблеми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пацієнтів/клієнтів; оцінювати функціональний стан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пацієнтів; виявляти зв’язок клінічних проявів з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488"/>
              <w:gridCol w:w="1488"/>
              <w:gridCol w:w="1488"/>
              <w:gridCol w:w="1488"/>
            </w:tblGrid>
            <w:tr>
              <w:trPr>
                <w:trHeight w:hRule="exact" w:val="276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результатами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додаткових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методів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дослідження;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надавати екстрену долікарську медичну допомогу при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гострих станах </w:t>
            </w:r>
          </w:p>
        </w:tc>
      </w:tr>
      <w:tr>
        <w:trPr>
          <w:trHeight w:hRule="exact" w:val="1664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Очікувані результати навчання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4"/>
              <w:ind w:left="100" w:right="44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Діагностувати окремі серцево-судинні захворювання та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їх укладення; планувати медсестринські втручання;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організовувати та здійснювати індивідуалізований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догляд за пацієнтом; проводити навчання пацієнтів та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992"/>
              <w:gridCol w:w="992"/>
              <w:gridCol w:w="992"/>
              <w:gridCol w:w="992"/>
              <w:gridCol w:w="992"/>
              <w:gridCol w:w="992"/>
            </w:tblGrid>
            <w:tr>
              <w:trPr>
                <w:trHeight w:hRule="exact" w:val="276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членів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їхніх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родин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з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питань 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серцево-судинних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захворювань, включаючи профілактику </w:t>
            </w:r>
          </w:p>
        </w:tc>
      </w:tr>
      <w:tr>
        <w:trPr>
          <w:trHeight w:hRule="exact" w:val="288"/>
        </w:trPr>
        <w:tc>
          <w:tcPr>
            <w:tcW w:type="dxa" w:w="41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Інформаційне забезпечення </w:t>
            </w:r>
          </w:p>
        </w:tc>
        <w:tc>
          <w:tcPr>
            <w:tcW w:type="dxa" w:w="59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мультимедійне забезпечення, електронні ресурси </w:t>
            </w:r>
          </w:p>
        </w:tc>
      </w:tr>
      <w:tr>
        <w:trPr>
          <w:trHeight w:hRule="exact" w:val="282"/>
        </w:trPr>
        <w:tc>
          <w:tcPr>
            <w:tcW w:type="dxa" w:w="41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Види навчальних занять </w:t>
            </w:r>
          </w:p>
        </w:tc>
        <w:tc>
          <w:tcPr>
            <w:tcW w:type="dxa" w:w="59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лекції, практичні заняття </w:t>
            </w:r>
          </w:p>
        </w:tc>
      </w:tr>
      <w:tr>
        <w:trPr>
          <w:trHeight w:hRule="exact" w:val="290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Вид семестрового контролю 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диференційований залік </w:t>
            </w:r>
          </w:p>
        </w:tc>
      </w:tr>
      <w:tr>
        <w:trPr>
          <w:trHeight w:hRule="exact" w:val="1112"/>
        </w:trPr>
        <w:tc>
          <w:tcPr>
            <w:tcW w:type="dxa" w:w="41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Максимальна кількість здобувачів на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семестр/ Мінімальна кількість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здобувачів (</w:t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 xml:space="preserve">тільки для мовних,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24"/>
              </w:rPr>
              <w:t>творчих дисциплін, за необхідності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59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необмежена </w:t>
            </w:r>
          </w:p>
        </w:tc>
      </w:tr>
    </w:tbl>
    <w:p>
      <w:pPr>
        <w:autoSpaceDN w:val="0"/>
        <w:autoSpaceDE w:val="0"/>
        <w:widowControl/>
        <w:spacing w:line="308" w:lineRule="exact" w:before="10" w:after="0"/>
        <w:ind w:left="165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Декан факультету</w:t>
      </w:r>
      <w:r>
        <w:rPr>
          <w:rFonts w:ascii="" w:hAnsi="" w:eastAsia=""/>
          <w:b w:val="0"/>
          <w:i/>
          <w:color w:val="000000"/>
          <w:sz w:val="28"/>
        </w:rPr>
        <w:t xml:space="preserve"> ________________     Ольга ВОРОНКОВА </w:t>
      </w:r>
    </w:p>
    <w:sectPr w:rsidR="00FC693F" w:rsidRPr="0006063C" w:rsidSect="00034616">
      <w:pgSz w:w="11904" w:h="16838"/>
      <w:pgMar w:top="424" w:right="964" w:bottom="1440" w:left="8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