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8F5F43"/>
          <w:sz w:val="44"/>
          <w:szCs w:val="44"/>
        </w:rPr>
        <w:t xml:space="preserve">WhiskedAway</w:t>
      </w:r>
    </w:p>
    <w:p>
      <w:pPr>
        <w:spacing w:after="200"/>
        <w:jc w:val="center"/>
      </w:pPr>
      <w:r>
        <w:rPr>
          <w:i/>
          <w:iCs/>
          <w:color w:val="665D55"/>
          <w:sz w:val="22"/>
          <w:szCs w:val="22"/>
        </w:rPr>
        <w:t xml:space="preserve">Business Concept Proposal</w:t>
      </w:r>
    </w:p>
    <w:p>
      <w:pPr>
        <w:pStyle w:val="Heading1"/>
        <w:spacing w:after="80" w:before="200"/>
      </w:pPr>
      <w:r>
        <w:rPr>
          <w:b/>
          <w:bCs/>
          <w:color w:val="8F5F43"/>
          <w:sz w:val="26"/>
          <w:szCs w:val="26"/>
        </w:rPr>
        <w:t xml:space="preserve">Business Name &amp; Purpose</w:t>
      </w:r>
    </w:p>
    <w:p>
      <w:pPr>
        <w:spacing w:after="120"/>
      </w:pPr>
      <w:r>
        <w:rPr>
          <w:sz w:val="21"/>
          <w:szCs w:val="21"/>
        </w:rPr>
        <w:t xml:space="preserve">WhiskedAway is a boutique wedding catering company. The WhiskedAway web application gives engaged couples, wedding planners, and family members a single, polished place to explore catering packages, browse menu photos by category, see transparent per-guest pricing, and submit a request for a quote. The database behind the site also runs WhiskedAway's internal operations: booking events, assigning staff, tracking optional add-on services, and invoicing and collecting payment for each wedding.</w:t>
      </w:r>
    </w:p>
    <w:p>
      <w:pPr>
        <w:pStyle w:val="Heading1"/>
        <w:spacing w:after="80" w:before="200"/>
      </w:pPr>
      <w:r>
        <w:rPr>
          <w:b/>
          <w:bCs/>
          <w:color w:val="8F5F43"/>
          <w:sz w:val="26"/>
          <w:szCs w:val="26"/>
        </w:rPr>
        <w:t xml:space="preserve">Functionality Outline</w:t>
      </w:r>
    </w:p>
    <w:p>
      <w:pPr>
        <w:spacing w:after="120"/>
      </w:pPr>
      <w:r>
        <w:rPr>
          <w:sz w:val="21"/>
          <w:szCs w:val="21"/>
        </w:rPr>
        <w:t xml:space="preserve">The application stores five broad categories of data. Customer &amp; lead data (customers, contact_inquiries) identifies who WhiskedAway is talking to and lets a website inquiry be tracked through to a booked event. Catalog data (menu_categories, menu_items, package_tiers, package_menu_items, add_ons) defines what WhiskedAway sells: reusable dishes organized into categories, pricing tiers built from those dishes, and optional extras. Operational data (venues, events, staff, event_staff_assignments, event_addons) captures each wedding booking itself — where and when it happens, how many guests, which package and add-ons were chosen, and which staff are scheduled to work it. Financial data (invoices, payments) tracks what each event owes and what has been collected, supporting partial/installment payments. Together this data lets the public site render an accurate, filterable menu and live pricing, while giving WhiskedAway staff one system to manage bookings from first inquiry through final payment.</w:t>
      </w:r>
    </w:p>
    <w:p>
      <w:pPr>
        <w:pStyle w:val="Heading1"/>
        <w:spacing w:after="80" w:before="200"/>
      </w:pPr>
      <w:r>
        <w:rPr>
          <w:b/>
          <w:bCs/>
          <w:color w:val="8F5F43"/>
          <w:sz w:val="26"/>
          <w:szCs w:val="26"/>
        </w:rPr>
        <w:t xml:space="preserve">Table Descriptions</w:t>
      </w:r>
    </w:p>
    <w:tbl>
      <w:tblPr>
        <w:tblW w:type="dxa" w:w="9500"/>
        <w:tblBorders>
          <w:top w:val="single" w:color="D8C8BC" w:sz="2"/>
          <w:left w:val="single" w:color="D8C8BC" w:sz="2"/>
          <w:bottom w:val="single" w:color="D8C8BC" w:sz="2"/>
          <w:right w:val="single" w:color="D8C8BC" w:sz="2"/>
          <w:insideH w:val="single" w:color="D8C8BC" w:sz="2"/>
          <w:insideV w:val="single" w:color="D8C8BC" w:sz="2"/>
        </w:tblBorders>
      </w:tblPr>
      <w:tblGrid>
        <w:gridCol w:w="2200"/>
        <w:gridCol w:w="7300"/>
      </w:tblGrid>
      <w:tr>
        <w:trPr>
          <w:tblHeader/>
        </w:trPr>
        <w:tc>
          <w:tcPr>
            <w:tcW w:type="dxa" w:w="2200"/>
            <w:shd w:fill="4A3528" w:val="clear"/>
            <w:tcMar>
              <w:top w:type="dxa" w:w="60"/>
              <w:left w:type="dxa" w:w="100"/>
              <w:bottom w:type="dxa" w:w="60"/>
              <w:right w:type="dxa" w:w="100"/>
            </w:tcMar>
          </w:tcPr>
          <w:p>
            <w:r>
              <w:rPr>
                <w:b/>
                <w:bCs/>
                <w:color w:val="FFFFFF"/>
                <w:sz w:val="19"/>
                <w:szCs w:val="19"/>
              </w:rPr>
              <w:t xml:space="preserve">Table</w:t>
            </w:r>
          </w:p>
        </w:tc>
        <w:tc>
          <w:tcPr>
            <w:tcW w:type="dxa" w:w="7300"/>
            <w:shd w:fill="4A3528" w:val="clear"/>
            <w:tcMar>
              <w:top w:type="dxa" w:w="60"/>
              <w:left w:type="dxa" w:w="100"/>
              <w:bottom w:type="dxa" w:w="60"/>
              <w:right w:type="dxa" w:w="100"/>
            </w:tcMar>
          </w:tcPr>
          <w:p>
            <w:r>
              <w:rPr>
                <w:b/>
                <w:bCs/>
                <w:color w:val="FFFFFF"/>
                <w:sz w:val="19"/>
                <w:szCs w:val="19"/>
              </w:rPr>
              <w:t xml:space="preserve">Purpose</w:t>
            </w:r>
          </w:p>
        </w:tc>
      </w:tr>
      <w:tr>
        <w:tc>
          <w:tcPr>
            <w:tcW w:type="dxa" w:w="2200"/>
            <w:shd w:fill="F2E5DA" w:val="clear"/>
            <w:tcMar>
              <w:top w:type="dxa" w:w="60"/>
              <w:left w:type="dxa" w:w="100"/>
              <w:bottom w:type="dxa" w:w="60"/>
              <w:right w:type="dxa" w:w="100"/>
            </w:tcMar>
          </w:tcPr>
          <w:p>
            <w:r>
              <w:rPr>
                <w:b w:val="false"/>
                <w:bCs w:val="false"/>
                <w:color w:val="1F1B18"/>
                <w:sz w:val="18"/>
                <w:szCs w:val="18"/>
              </w:rPr>
              <w:t xml:space="preserve">customers</w:t>
            </w:r>
          </w:p>
        </w:tc>
        <w:tc>
          <w:tcPr>
            <w:tcW w:type="dxa" w:w="7300"/>
            <w:shd w:fill="F2E5DA" w:val="clear"/>
            <w:tcMar>
              <w:top w:type="dxa" w:w="60"/>
              <w:left w:type="dxa" w:w="100"/>
              <w:bottom w:type="dxa" w:w="60"/>
              <w:right w:type="dxa" w:w="100"/>
            </w:tcMar>
          </w:tcPr>
          <w:p>
            <w:r>
              <w:rPr>
                <w:b w:val="false"/>
                <w:bCs w:val="false"/>
                <w:color w:val="1F1B18"/>
                <w:sz w:val="18"/>
                <w:szCs w:val="18"/>
              </w:rPr>
              <w:t xml:space="preserve">Stores each engaged couple / client's contact profile (name, email, phone) so staff can identify who an event belongs to and reach them about planning details.</w:t>
            </w:r>
          </w:p>
        </w:tc>
      </w:tr>
      <w:tr>
        <w:tc>
          <w:tcPr>
            <w:tcW w:type="dxa" w:w="2200"/>
            <w:tcMar>
              <w:top w:type="dxa" w:w="60"/>
              <w:left w:type="dxa" w:w="100"/>
              <w:bottom w:type="dxa" w:w="60"/>
              <w:right w:type="dxa" w:w="100"/>
            </w:tcMar>
          </w:tcPr>
          <w:p>
            <w:r>
              <w:rPr>
                <w:b w:val="false"/>
                <w:bCs w:val="false"/>
                <w:color w:val="1F1B18"/>
                <w:sz w:val="18"/>
                <w:szCs w:val="18"/>
              </w:rPr>
              <w:t xml:space="preserve">venues</w:t>
            </w:r>
          </w:p>
        </w:tc>
        <w:tc>
          <w:tcPr>
            <w:tcW w:type="dxa" w:w="7300"/>
            <w:tcMar>
              <w:top w:type="dxa" w:w="60"/>
              <w:left w:type="dxa" w:w="100"/>
              <w:bottom w:type="dxa" w:w="60"/>
              <w:right w:type="dxa" w:w="100"/>
            </w:tcMar>
          </w:tcPr>
          <w:p>
            <w:r>
              <w:rPr>
                <w:b w:val="false"/>
                <w:bCs w:val="false"/>
                <w:color w:val="1F1B18"/>
                <w:sz w:val="18"/>
                <w:szCs w:val="18"/>
              </w:rPr>
              <w:t xml:space="preserve">Stores the reception locations WhiskedAway caters at, including address and guest capacity, so events can be matched to a suitable space.</w:t>
            </w:r>
          </w:p>
        </w:tc>
      </w:tr>
      <w:tr>
        <w:tc>
          <w:tcPr>
            <w:tcW w:type="dxa" w:w="2200"/>
            <w:shd w:fill="F2E5DA" w:val="clear"/>
            <w:tcMar>
              <w:top w:type="dxa" w:w="60"/>
              <w:left w:type="dxa" w:w="100"/>
              <w:bottom w:type="dxa" w:w="60"/>
              <w:right w:type="dxa" w:w="100"/>
            </w:tcMar>
          </w:tcPr>
          <w:p>
            <w:r>
              <w:rPr>
                <w:b w:val="false"/>
                <w:bCs w:val="false"/>
                <w:color w:val="1F1B18"/>
                <w:sz w:val="18"/>
                <w:szCs w:val="18"/>
              </w:rPr>
              <w:t xml:space="preserve">menu_categories</w:t>
            </w:r>
          </w:p>
        </w:tc>
        <w:tc>
          <w:tcPr>
            <w:tcW w:type="dxa" w:w="7300"/>
            <w:shd w:fill="F2E5DA" w:val="clear"/>
            <w:tcMar>
              <w:top w:type="dxa" w:w="60"/>
              <w:left w:type="dxa" w:w="100"/>
              <w:bottom w:type="dxa" w:w="60"/>
              <w:right w:type="dxa" w:w="100"/>
            </w:tcMar>
          </w:tcPr>
          <w:p>
            <w:r>
              <w:rPr>
                <w:b w:val="false"/>
                <w:bCs w:val="false"/>
                <w:color w:val="1F1B18"/>
                <w:sz w:val="18"/>
                <w:szCs w:val="18"/>
              </w:rPr>
              <w:t xml:space="preserve">Groups menu items into categories (appetizers, mains, desserts, etc.) to power the filterable food gallery on the website.</w:t>
            </w:r>
          </w:p>
        </w:tc>
      </w:tr>
      <w:tr>
        <w:tc>
          <w:tcPr>
            <w:tcW w:type="dxa" w:w="2200"/>
            <w:tcMar>
              <w:top w:type="dxa" w:w="60"/>
              <w:left w:type="dxa" w:w="100"/>
              <w:bottom w:type="dxa" w:w="60"/>
              <w:right w:type="dxa" w:w="100"/>
            </w:tcMar>
          </w:tcPr>
          <w:p>
            <w:r>
              <w:rPr>
                <w:b w:val="false"/>
                <w:bCs w:val="false"/>
                <w:color w:val="1F1B18"/>
                <w:sz w:val="18"/>
                <w:szCs w:val="18"/>
              </w:rPr>
              <w:t xml:space="preserve">menu_items</w:t>
            </w:r>
          </w:p>
        </w:tc>
        <w:tc>
          <w:tcPr>
            <w:tcW w:type="dxa" w:w="7300"/>
            <w:tcMar>
              <w:top w:type="dxa" w:w="60"/>
              <w:left w:type="dxa" w:w="100"/>
              <w:bottom w:type="dxa" w:w="60"/>
              <w:right w:type="dxa" w:w="100"/>
            </w:tcMar>
          </w:tcPr>
          <w:p>
            <w:r>
              <w:rPr>
                <w:b w:val="false"/>
                <w:bCs w:val="false"/>
                <w:color w:val="1F1B18"/>
                <w:sz w:val="18"/>
                <w:szCs w:val="18"/>
              </w:rPr>
              <w:t xml:space="preserve">Stores individual dishes offered, including cost and dietary flags, so packages can be built from a shared, reusable food catalog.</w:t>
            </w:r>
          </w:p>
        </w:tc>
      </w:tr>
      <w:tr>
        <w:tc>
          <w:tcPr>
            <w:tcW w:type="dxa" w:w="2200"/>
            <w:shd w:fill="F2E5DA" w:val="clear"/>
            <w:tcMar>
              <w:top w:type="dxa" w:w="60"/>
              <w:left w:type="dxa" w:w="100"/>
              <w:bottom w:type="dxa" w:w="60"/>
              <w:right w:type="dxa" w:w="100"/>
            </w:tcMar>
          </w:tcPr>
          <w:p>
            <w:r>
              <w:rPr>
                <w:b w:val="false"/>
                <w:bCs w:val="false"/>
                <w:color w:val="1F1B18"/>
                <w:sz w:val="18"/>
                <w:szCs w:val="18"/>
              </w:rPr>
              <w:t xml:space="preserve">package_tiers</w:t>
            </w:r>
          </w:p>
        </w:tc>
        <w:tc>
          <w:tcPr>
            <w:tcW w:type="dxa" w:w="7300"/>
            <w:shd w:fill="F2E5DA" w:val="clear"/>
            <w:tcMar>
              <w:top w:type="dxa" w:w="60"/>
              <w:left w:type="dxa" w:w="100"/>
              <w:bottom w:type="dxa" w:w="60"/>
              <w:right w:type="dxa" w:w="100"/>
            </w:tcMar>
          </w:tcPr>
          <w:p>
            <w:r>
              <w:rPr>
                <w:b w:val="false"/>
                <w:bCs w:val="false"/>
                <w:color w:val="1F1B18"/>
                <w:sz w:val="18"/>
                <w:szCs w:val="18"/>
              </w:rPr>
              <w:t xml:space="preserve">Stores the catering package levels (e.g., Silver/Gold/Platinum) with per-guest pricing used to generate quotes.</w:t>
            </w:r>
          </w:p>
        </w:tc>
      </w:tr>
      <w:tr>
        <w:tc>
          <w:tcPr>
            <w:tcW w:type="dxa" w:w="2200"/>
            <w:tcMar>
              <w:top w:type="dxa" w:w="60"/>
              <w:left w:type="dxa" w:w="100"/>
              <w:bottom w:type="dxa" w:w="60"/>
              <w:right w:type="dxa" w:w="100"/>
            </w:tcMar>
          </w:tcPr>
          <w:p>
            <w:r>
              <w:rPr>
                <w:b w:val="false"/>
                <w:bCs w:val="false"/>
                <w:color w:val="1F1B18"/>
                <w:sz w:val="18"/>
                <w:szCs w:val="18"/>
              </w:rPr>
              <w:t xml:space="preserve">package_menu_items</w:t>
            </w:r>
          </w:p>
        </w:tc>
        <w:tc>
          <w:tcPr>
            <w:tcW w:type="dxa" w:w="7300"/>
            <w:tcMar>
              <w:top w:type="dxa" w:w="60"/>
              <w:left w:type="dxa" w:w="100"/>
              <w:bottom w:type="dxa" w:w="60"/>
              <w:right w:type="dxa" w:w="100"/>
            </w:tcMar>
          </w:tcPr>
          <w:p>
            <w:r>
              <w:rPr>
                <w:b w:val="false"/>
                <w:bCs w:val="false"/>
                <w:color w:val="1F1B18"/>
                <w:sz w:val="18"/>
                <w:szCs w:val="18"/>
              </w:rPr>
              <w:t xml:space="preserve">Junction table linking package_tiers to menu_items (many-to-many) so each package's included dishes are defined without duplicating menu data.</w:t>
            </w:r>
          </w:p>
        </w:tc>
      </w:tr>
      <w:tr>
        <w:tc>
          <w:tcPr>
            <w:tcW w:type="dxa" w:w="2200"/>
            <w:shd w:fill="F2E5DA" w:val="clear"/>
            <w:tcMar>
              <w:top w:type="dxa" w:w="60"/>
              <w:left w:type="dxa" w:w="100"/>
              <w:bottom w:type="dxa" w:w="60"/>
              <w:right w:type="dxa" w:w="100"/>
            </w:tcMar>
          </w:tcPr>
          <w:p>
            <w:r>
              <w:rPr>
                <w:b w:val="false"/>
                <w:bCs w:val="false"/>
                <w:color w:val="1F1B18"/>
                <w:sz w:val="18"/>
                <w:szCs w:val="18"/>
              </w:rPr>
              <w:t xml:space="preserve">events</w:t>
            </w:r>
          </w:p>
        </w:tc>
        <w:tc>
          <w:tcPr>
            <w:tcW w:type="dxa" w:w="7300"/>
            <w:shd w:fill="F2E5DA" w:val="clear"/>
            <w:tcMar>
              <w:top w:type="dxa" w:w="60"/>
              <w:left w:type="dxa" w:w="100"/>
              <w:bottom w:type="dxa" w:w="60"/>
              <w:right w:type="dxa" w:w="100"/>
            </w:tcMar>
          </w:tcPr>
          <w:p>
            <w:r>
              <w:rPr>
                <w:b w:val="false"/>
                <w:bCs w:val="false"/>
                <w:color w:val="1F1B18"/>
                <w:sz w:val="18"/>
                <w:szCs w:val="18"/>
              </w:rPr>
              <w:t xml:space="preserve">The central table representing one wedding/event booking; links a customer, venue, and package together with the date, guest count, and status.</w:t>
            </w:r>
          </w:p>
        </w:tc>
      </w:tr>
      <w:tr>
        <w:tc>
          <w:tcPr>
            <w:tcW w:type="dxa" w:w="2200"/>
            <w:tcMar>
              <w:top w:type="dxa" w:w="60"/>
              <w:left w:type="dxa" w:w="100"/>
              <w:bottom w:type="dxa" w:w="60"/>
              <w:right w:type="dxa" w:w="100"/>
            </w:tcMar>
          </w:tcPr>
          <w:p>
            <w:r>
              <w:rPr>
                <w:b w:val="false"/>
                <w:bCs w:val="false"/>
                <w:color w:val="1F1B18"/>
                <w:sz w:val="18"/>
                <w:szCs w:val="18"/>
              </w:rPr>
              <w:t xml:space="preserve">add_ons</w:t>
            </w:r>
          </w:p>
        </w:tc>
        <w:tc>
          <w:tcPr>
            <w:tcW w:type="dxa" w:w="7300"/>
            <w:tcMar>
              <w:top w:type="dxa" w:w="60"/>
              <w:left w:type="dxa" w:w="100"/>
              <w:bottom w:type="dxa" w:w="60"/>
              <w:right w:type="dxa" w:w="100"/>
            </w:tcMar>
          </w:tcPr>
          <w:p>
            <w:r>
              <w:rPr>
                <w:b w:val="false"/>
                <w:bCs w:val="false"/>
                <w:color w:val="1F1B18"/>
                <w:sz w:val="18"/>
                <w:szCs w:val="18"/>
              </w:rPr>
              <w:t xml:space="preserve">Stores optional extra services (e.g., late-night snack bar, champagne toast) that customers can attach to an event for an additional fee.</w:t>
            </w:r>
          </w:p>
        </w:tc>
      </w:tr>
      <w:tr>
        <w:tc>
          <w:tcPr>
            <w:tcW w:type="dxa" w:w="2200"/>
            <w:shd w:fill="F2E5DA" w:val="clear"/>
            <w:tcMar>
              <w:top w:type="dxa" w:w="60"/>
              <w:left w:type="dxa" w:w="100"/>
              <w:bottom w:type="dxa" w:w="60"/>
              <w:right w:type="dxa" w:w="100"/>
            </w:tcMar>
          </w:tcPr>
          <w:p>
            <w:r>
              <w:rPr>
                <w:b w:val="false"/>
                <w:bCs w:val="false"/>
                <w:color w:val="1F1B18"/>
                <w:sz w:val="18"/>
                <w:szCs w:val="18"/>
              </w:rPr>
              <w:t xml:space="preserve">event_addons</w:t>
            </w:r>
          </w:p>
        </w:tc>
        <w:tc>
          <w:tcPr>
            <w:tcW w:type="dxa" w:w="7300"/>
            <w:shd w:fill="F2E5DA" w:val="clear"/>
            <w:tcMar>
              <w:top w:type="dxa" w:w="60"/>
              <w:left w:type="dxa" w:w="100"/>
              <w:bottom w:type="dxa" w:w="60"/>
              <w:right w:type="dxa" w:w="100"/>
            </w:tcMar>
          </w:tcPr>
          <w:p>
            <w:r>
              <w:rPr>
                <w:b w:val="false"/>
                <w:bCs w:val="false"/>
                <w:color w:val="1F1B18"/>
                <w:sz w:val="18"/>
                <w:szCs w:val="18"/>
              </w:rPr>
              <w:t xml:space="preserve">Junction table linking events to add_ons (many-to-many) recording which optional services each event selected and in what quantity.</w:t>
            </w:r>
          </w:p>
        </w:tc>
      </w:tr>
      <w:tr>
        <w:tc>
          <w:tcPr>
            <w:tcW w:type="dxa" w:w="2200"/>
            <w:tcMar>
              <w:top w:type="dxa" w:w="60"/>
              <w:left w:type="dxa" w:w="100"/>
              <w:bottom w:type="dxa" w:w="60"/>
              <w:right w:type="dxa" w:w="100"/>
            </w:tcMar>
          </w:tcPr>
          <w:p>
            <w:r>
              <w:rPr>
                <w:b w:val="false"/>
                <w:bCs w:val="false"/>
                <w:color w:val="1F1B18"/>
                <w:sz w:val="18"/>
                <w:szCs w:val="18"/>
              </w:rPr>
              <w:t xml:space="preserve">staff</w:t>
            </w:r>
          </w:p>
        </w:tc>
        <w:tc>
          <w:tcPr>
            <w:tcW w:type="dxa" w:w="7300"/>
            <w:tcMar>
              <w:top w:type="dxa" w:w="60"/>
              <w:left w:type="dxa" w:w="100"/>
              <w:bottom w:type="dxa" w:w="60"/>
              <w:right w:type="dxa" w:w="100"/>
            </w:tcMar>
          </w:tcPr>
          <w:p>
            <w:r>
              <w:rPr>
                <w:b w:val="false"/>
                <w:bCs w:val="false"/>
                <w:color w:val="1F1B18"/>
                <w:sz w:val="18"/>
                <w:szCs w:val="18"/>
              </w:rPr>
              <w:t xml:space="preserve">Stores catering employees (chefs, servers, coordinators) and their role/pay rate so labor can be scheduled and costed per event.</w:t>
            </w:r>
          </w:p>
        </w:tc>
      </w:tr>
      <w:tr>
        <w:tc>
          <w:tcPr>
            <w:tcW w:type="dxa" w:w="2200"/>
            <w:shd w:fill="F2E5DA" w:val="clear"/>
            <w:tcMar>
              <w:top w:type="dxa" w:w="60"/>
              <w:left w:type="dxa" w:w="100"/>
              <w:bottom w:type="dxa" w:w="60"/>
              <w:right w:type="dxa" w:w="100"/>
            </w:tcMar>
          </w:tcPr>
          <w:p>
            <w:r>
              <w:rPr>
                <w:b w:val="false"/>
                <w:bCs w:val="false"/>
                <w:color w:val="1F1B18"/>
                <w:sz w:val="18"/>
                <w:szCs w:val="18"/>
              </w:rPr>
              <w:t xml:space="preserve">event_staff_assignments</w:t>
            </w:r>
          </w:p>
        </w:tc>
        <w:tc>
          <w:tcPr>
            <w:tcW w:type="dxa" w:w="7300"/>
            <w:shd w:fill="F2E5DA" w:val="clear"/>
            <w:tcMar>
              <w:top w:type="dxa" w:w="60"/>
              <w:left w:type="dxa" w:w="100"/>
              <w:bottom w:type="dxa" w:w="60"/>
              <w:right w:type="dxa" w:w="100"/>
            </w:tcMar>
          </w:tcPr>
          <w:p>
            <w:r>
              <w:rPr>
                <w:b w:val="false"/>
                <w:bCs w:val="false"/>
                <w:color w:val="1F1B18"/>
                <w:sz w:val="18"/>
                <w:szCs w:val="18"/>
              </w:rPr>
              <w:t xml:space="preserve">Junction table linking events to staff (many-to-many) to schedule which employees are working a given event and their hours.</w:t>
            </w:r>
          </w:p>
        </w:tc>
      </w:tr>
      <w:tr>
        <w:tc>
          <w:tcPr>
            <w:tcW w:type="dxa" w:w="2200"/>
            <w:tcMar>
              <w:top w:type="dxa" w:w="60"/>
              <w:left w:type="dxa" w:w="100"/>
              <w:bottom w:type="dxa" w:w="60"/>
              <w:right w:type="dxa" w:w="100"/>
            </w:tcMar>
          </w:tcPr>
          <w:p>
            <w:r>
              <w:rPr>
                <w:b w:val="false"/>
                <w:bCs w:val="false"/>
                <w:color w:val="1F1B18"/>
                <w:sz w:val="18"/>
                <w:szCs w:val="18"/>
              </w:rPr>
              <w:t xml:space="preserve">invoices</w:t>
            </w:r>
          </w:p>
        </w:tc>
        <w:tc>
          <w:tcPr>
            <w:tcW w:type="dxa" w:w="7300"/>
            <w:tcMar>
              <w:top w:type="dxa" w:w="60"/>
              <w:left w:type="dxa" w:w="100"/>
              <w:bottom w:type="dxa" w:w="60"/>
              <w:right w:type="dxa" w:w="100"/>
            </w:tcMar>
          </w:tcPr>
          <w:p>
            <w:r>
              <w:rPr>
                <w:b w:val="false"/>
                <w:bCs w:val="false"/>
                <w:color w:val="1F1B18"/>
                <w:sz w:val="18"/>
                <w:szCs w:val="18"/>
              </w:rPr>
              <w:t xml:space="preserve">Stores one billing record per event, tracking the amount owed, due date, and payment status.</w:t>
            </w:r>
          </w:p>
        </w:tc>
      </w:tr>
      <w:tr>
        <w:tc>
          <w:tcPr>
            <w:tcW w:type="dxa" w:w="2200"/>
            <w:shd w:fill="F2E5DA" w:val="clear"/>
            <w:tcMar>
              <w:top w:type="dxa" w:w="60"/>
              <w:left w:type="dxa" w:w="100"/>
              <w:bottom w:type="dxa" w:w="60"/>
              <w:right w:type="dxa" w:w="100"/>
            </w:tcMar>
          </w:tcPr>
          <w:p>
            <w:r>
              <w:rPr>
                <w:b w:val="false"/>
                <w:bCs w:val="false"/>
                <w:color w:val="1F1B18"/>
                <w:sz w:val="18"/>
                <w:szCs w:val="18"/>
              </w:rPr>
              <w:t xml:space="preserve">payments</w:t>
            </w:r>
          </w:p>
        </w:tc>
        <w:tc>
          <w:tcPr>
            <w:tcW w:type="dxa" w:w="7300"/>
            <w:shd w:fill="F2E5DA" w:val="clear"/>
            <w:tcMar>
              <w:top w:type="dxa" w:w="60"/>
              <w:left w:type="dxa" w:w="100"/>
              <w:bottom w:type="dxa" w:w="60"/>
              <w:right w:type="dxa" w:w="100"/>
            </w:tcMar>
          </w:tcPr>
          <w:p>
            <w:r>
              <w:rPr>
                <w:b w:val="false"/>
                <w:bCs w:val="false"/>
                <w:color w:val="1F1B18"/>
                <w:sz w:val="18"/>
                <w:szCs w:val="18"/>
              </w:rPr>
              <w:t xml:space="preserve">Stores individual payments applied against an invoice, supporting partial/installment payments toward a wedding balance.</w:t>
            </w:r>
          </w:p>
        </w:tc>
      </w:tr>
      <w:tr>
        <w:tc>
          <w:tcPr>
            <w:tcW w:type="dxa" w:w="2200"/>
            <w:tcMar>
              <w:top w:type="dxa" w:w="60"/>
              <w:left w:type="dxa" w:w="100"/>
              <w:bottom w:type="dxa" w:w="60"/>
              <w:right w:type="dxa" w:w="100"/>
            </w:tcMar>
          </w:tcPr>
          <w:p>
            <w:r>
              <w:rPr>
                <w:b w:val="false"/>
                <w:bCs w:val="false"/>
                <w:color w:val="1F1B18"/>
                <w:sz w:val="18"/>
                <w:szCs w:val="18"/>
              </w:rPr>
              <w:t xml:space="preserve">contact_inquiries</w:t>
            </w:r>
          </w:p>
        </w:tc>
        <w:tc>
          <w:tcPr>
            <w:tcW w:type="dxa" w:w="7300"/>
            <w:tcMar>
              <w:top w:type="dxa" w:w="60"/>
              <w:left w:type="dxa" w:w="100"/>
              <w:bottom w:type="dxa" w:w="60"/>
              <w:right w:type="dxa" w:w="100"/>
            </w:tcMar>
          </w:tcPr>
          <w:p>
            <w:r>
              <w:rPr>
                <w:b w:val="false"/>
                <w:bCs w:val="false"/>
                <w:color w:val="1F1B18"/>
                <w:sz w:val="18"/>
                <w:szCs w:val="18"/>
              </w:rPr>
              <w:t xml:space="preserve">Stores messages submitted through the website's contact form, optionally linked to an event once the lead converts to a booking.</w:t>
            </w:r>
          </w:p>
        </w:tc>
      </w:tr>
    </w:tbl>
    <w:p>
      <w:pPr>
        <w:spacing w:before="200"/>
      </w:pPr>
      <w:r>
        <w:br/>
        <w:t xml:space="preserve"/>
      </w:r>
    </w:p>
    <w:p>
      <w:pPr>
        <w:pStyle w:val="Heading1"/>
        <w:spacing w:after="80" w:before="200"/>
      </w:pPr>
      <w:r>
        <w:rPr>
          <w:b/>
          <w:bCs/>
          <w:color w:val="8F5F43"/>
          <w:sz w:val="26"/>
          <w:szCs w:val="26"/>
        </w:rPr>
        <w:t xml:space="preserve">Entity Relationship Diagram</w:t>
      </w:r>
    </w:p>
    <w:p>
      <w:pPr>
        <w:spacing w:before="100"/>
        <w:jc w:val="center"/>
      </w:pPr>
      <w:r>
        <w:drawing>
          <wp:inline distT="0" distB="0" distL="0" distR="0">
            <wp:extent cx="6096000" cy="3779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779520"/>
                    </a:xfrm>
                    <a:prstGeom prst="rect">
                      <a:avLst/>
                    </a:prstGeom>
                  </pic:spPr>
                </pic:pic>
              </a:graphicData>
            </a:graphic>
          </wp:inline>
        </w:drawing>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282ae951b99e4ebcec506948208dfb8c2905c0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2026-07-17T02:53:08.082Z</dcterms:created>
  <dcterms:modified xsi:type="dcterms:W3CDTF">2026-07-17T02:53:08.095Z</dcterms:modified>
</cp:coreProperties>
</file>

<file path=docProps/custom.xml><?xml version="1.0" encoding="utf-8"?>
<Properties xmlns="http://schemas.openxmlformats.org/officeDocument/2006/custom-properties" xmlns:vt="http://schemas.openxmlformats.org/officeDocument/2006/docPropsVTypes"/>
</file>