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A0F1C"/>
        </w:rPr>
        <w:t>Connectiva: Autonomous Regional Digital Divide Optimization Engine</w:t>
      </w:r>
    </w:p>
    <w:p>
      <w:pPr>
        <w:spacing w:after="120"/>
      </w:pPr>
      <w:r>
        <w:rPr>
          <w:b/>
          <w:sz w:val="28"/>
        </w:rPr>
        <w:t>Comprehensive Descriptive Summary Report</w:t>
      </w:r>
    </w:p>
    <w:p>
      <w:pPr>
        <w:spacing w:after="120"/>
      </w:pPr>
      <w:r>
        <w:rPr>
          <w:b w:val="0"/>
          <w:sz w:val="22"/>
        </w:rPr>
        <w:t>ITU UMC Data Hackathon 2025 — Bangladesh Digital Inclusion Initiative</w:t>
      </w:r>
    </w:p>
    <w:p>
      <w:pPr>
        <w:spacing w:after="120"/>
      </w:pPr>
      <w:r>
        <w:rPr>
          <w:b w:val="0"/>
          <w:sz w:val="20"/>
        </w:rPr>
        <w:t>Team Connectiva | Generated: April 01, 2026</w:t>
      </w:r>
    </w:p>
    <w:p>
      <w:r>
        <w:br w:type="page"/>
      </w:r>
    </w:p>
    <w:p>
      <w:pPr>
        <w:pStyle w:val="Heading1"/>
      </w:pPr>
      <w:r>
        <w:rPr>
          <w:color w:val="1E3A5F"/>
        </w:rPr>
        <w:t>1. What is Connectiva?</w:t>
      </w:r>
    </w:p>
    <w:p>
      <w:pPr>
        <w:spacing w:after="120"/>
      </w:pPr>
      <w:r>
        <w:rPr>
          <w:b w:val="0"/>
          <w:sz w:val="22"/>
        </w:rPr>
        <w:t>Connectiva is a scientifically-driven policy intelligence platform engineered to eliminate the digital divide across Bangladesh's 64 administrative districts. Unlike traditional static dashboards that merely visualize historical connectivity data, Connectiva operates as a closed-loop autonomous optimization engine that combines real-time machine learning inference, PID control theory, and live data pipelines to generate actionable, year-by-year infrastructure roadmaps for policymakers, telecom engineers, and regulatory bodies.</w:t>
      </w:r>
    </w:p>
    <w:p>
      <w:pPr>
        <w:spacing w:after="120"/>
      </w:pPr>
      <w:r>
        <w:rPr>
          <w:b w:val="0"/>
          <w:sz w:val="22"/>
        </w:rPr>
        <w:t>The system ingests 154 ITU indicators (spanning 767,147 observations across 242 countries from 2000 to 2025), BTRC division-level subscriber statistics, BBS HIES 2022 household survey microdata, BTS tower registry counts, and NTTN fiber backbone capacity telemetry. These heterogeneous data sources are synthesized into a unified 22-feature vector for each district, which is then processed by ConnectivaNet v4—an Extra Trees Classifier achieving F1-Weighted = 0.9842 through Leave-Division-Out cross-validation with zero data leakage.</w:t>
      </w:r>
    </w:p>
    <w:p>
      <w:pPr>
        <w:pStyle w:val="Heading1"/>
      </w:pPr>
      <w:r>
        <w:rPr>
          <w:color w:val="1E3A5F"/>
        </w:rPr>
        <w:t>2. Motive and ITU Hackathon Alignment</w:t>
      </w:r>
    </w:p>
    <w:p>
      <w:pPr>
        <w:spacing w:after="120"/>
      </w:pPr>
      <w:r>
        <w:rPr>
          <w:b w:val="0"/>
          <w:sz w:val="22"/>
        </w:rPr>
        <w:t>The ITU UMC Data Hackathon 2025 challenges participants to leverage real-world telecommunications data for measurable social impact. Connectiva directly addresses this by transforming raw ITU telemetry into prescriptive, mathematically grounded policy recommendations. The platform enables policymakers to set specific connectivity targets (e.g., 80% national connectivity within 5 years on a $500M budget) and receive district-level intervention roadmaps that account for 22 interdependent socioeconomic and infrastructural variables.</w:t>
      </w:r>
    </w:p>
    <w:p>
      <w:pPr>
        <w:spacing w:after="120"/>
      </w:pPr>
      <w:r>
        <w:rPr>
          <w:b w:val="0"/>
          <w:sz w:val="22"/>
        </w:rPr>
        <w:t>Beyond the hackathon, Connectiva creates real-world impact by providing a framework that any developing nation can adapt to their own administrative subdivisions. The mathematical formulation (PID controllers, Extra Trees classification, 70/30 priority allocation) is generalizable—only the input data and geographic boundaries need to be substituted. This makes Connectiva not just a Bangladesh-specific tool, but a global template for data-driven digital inclusion policy.</w:t>
      </w:r>
    </w:p>
    <w:p>
      <w:pPr>
        <w:pStyle w:val="Heading1"/>
      </w:pPr>
      <w:r>
        <w:rPr>
          <w:color w:val="1E3A5F"/>
        </w:rPr>
        <w:t>3. System Architecture and Organization</w:t>
      </w:r>
    </w:p>
    <w:p>
      <w:pPr>
        <w:spacing w:after="120"/>
      </w:pPr>
      <w:r>
        <w:rPr>
          <w:b w:val="0"/>
          <w:sz w:val="22"/>
        </w:rPr>
        <w:t>Connectiva follows a modern microservice-inspired architecture with clear separation between data processing, ML inference, and interactive visualization layers.</w:t>
      </w:r>
    </w:p>
    <w:p>
      <w:pPr>
        <w:pStyle w:val="Heading2"/>
      </w:pPr>
      <w:r>
        <w:rPr>
          <w:color w:val="1E3A5F"/>
        </w:rPr>
        <w:t>3.1 Backend (Flask + Python ML Pipeline)</w:t>
      </w:r>
    </w:p>
    <w:p>
      <w:pPr>
        <w:spacing w:after="120"/>
      </w:pPr>
      <w:r>
        <w:rPr>
          <w:b w:val="0"/>
          <w:sz w:val="22"/>
        </w:rPr>
        <w:t>The backend is a Flask REST API (running on port 5000) that handles: real-time ML inference via pre-trained model files (connectiva_v4_model.pkl, connectiva_v4_scaler.pkl), district-level spatial disaggregation using BTRC division data, automated news scraping with JSON caching, budget estimation using BTRC/ITU cost benchmarks, file analysis pipeline for uploaded datasets (CSV/XLSX/JSON/PDF/DOC), and ITU/BTRC data auto-update integration.</w:t>
      </w:r>
    </w:p>
    <w:p>
      <w:pPr>
        <w:pStyle w:val="Heading2"/>
      </w:pPr>
      <w:r>
        <w:rPr>
          <w:color w:val="1E3A5F"/>
        </w:rPr>
        <w:t>3.2 Frontend (React + Vite + Leaflet)</w:t>
      </w:r>
    </w:p>
    <w:p>
      <w:pPr>
        <w:spacing w:after="120"/>
      </w:pPr>
      <w:r>
        <w:rPr>
          <w:b w:val="0"/>
          <w:sz w:val="22"/>
        </w:rPr>
        <w:t>The interactive UI is built with React 19, Vite 8, Tailwind CSS 4, Framer Motion for animations, Recharts for scientific charts, and Leaflet with CartoDB dark tiles for the interactive map. The frontend runs on port 5173 and communicates with the backend via REST API calls. Key pages include: Dashboard (Map + District Panel), Engine Logic (22-Parameter Sandbox + Smart Proposals), Engineer View (ML Diagnostics + ITU Data), and About Connectiva (System Documentation).</w:t>
      </w:r>
    </w:p>
    <w:p>
      <w:pPr>
        <w:pStyle w:val="Heading2"/>
      </w:pPr>
      <w:r>
        <w:rPr>
          <w:color w:val="1E3A5F"/>
        </w:rPr>
        <w:t>3.3 File Organization</w:t>
      </w:r>
    </w:p>
    <w:p>
      <w:pPr>
        <w:spacing w:after="120"/>
      </w:pPr>
      <w:r>
        <w:rPr>
          <w:b w:val="0"/>
          <w:sz w:val="22"/>
        </w:rPr>
        <w:t>The project is organized into the following structure:</w:t>
        <w:br/>
        <w:t>• /website/backend/ — Flask API, ML models, data files</w:t>
        <w:br/>
        <w:t>• /website/frontend/ — React application, components, context</w:t>
        <w:br/>
        <w:t>• /data/input_data/raw_data/ — 154 ITU CSV files (raw global data)</w:t>
        <w:br/>
        <w:t>• /data/input_data/bgd_data/ — Bangladesh-specific CSVs, docs, PDFs</w:t>
        <w:br/>
        <w:t>• /ML/train/ — Training data and model files</w:t>
        <w:br/>
        <w:t>• /report/ — LaTeX and DOCX reports</w:t>
        <w:br/>
        <w:t>• /unnecessary/ — Archived/deprecated files</w:t>
        <w:br/>
        <w:t>• setup.sh — One-click Linux setup script</w:t>
        <w:br/>
        <w:t>• README.md — Project documentation</w:t>
      </w:r>
    </w:p>
    <w:p>
      <w:pPr>
        <w:pStyle w:val="Heading1"/>
      </w:pPr>
      <w:r>
        <w:rPr>
          <w:color w:val="1E3A5F"/>
        </w:rPr>
        <w:t>4. Algorithm and ML Model</w:t>
      </w:r>
    </w:p>
    <w:p>
      <w:pPr>
        <w:pStyle w:val="Heading2"/>
      </w:pPr>
      <w:r>
        <w:rPr>
          <w:color w:val="1E3A5F"/>
        </w:rPr>
        <w:t>4.1 Why Machine Learning?</w:t>
      </w:r>
    </w:p>
    <w:p>
      <w:pPr>
        <w:spacing w:after="120"/>
      </w:pPr>
      <w:r>
        <w:rPr>
          <w:b w:val="0"/>
          <w:sz w:val="22"/>
        </w:rPr>
        <w:t>Traditional infrastructure planning relies on linear extrapolation from census data—a method that fails to capture the complex, nonlinear interdependencies between telecom infrastructure, digital literacy, economic capacity, and geographic vulnerability. Machine learning enables Connectiva to learn these hidden patterns from real data, producing predictions that account for 22 simultaneous variables and their interactions.</w:t>
      </w:r>
    </w:p>
    <w:p>
      <w:pPr>
        <w:pStyle w:val="Heading2"/>
      </w:pPr>
      <w:r>
        <w:rPr>
          <w:color w:val="1E3A5F"/>
        </w:rPr>
        <w:t>4.2 Why Extra Trees?</w:t>
      </w:r>
    </w:p>
    <w:p>
      <w:pPr>
        <w:spacing w:after="120"/>
      </w:pPr>
      <w:r>
        <w:rPr>
          <w:b w:val="0"/>
          <w:sz w:val="22"/>
        </w:rPr>
        <w:t>We evaluated three candidate models:</w:t>
        <w:br/>
        <w:br/>
        <w:t>• Random Forest: Achieved F1-Weighted = 0.9375 but exhibited geographic cluster bias (Dhaka districts dominated feature space).</w:t>
        <w:br/>
        <w:t>• XGBoost: Achieved F1-Weighted = 0.7205 — severe underfitting on the Yellow class due to class imbalance (50 Red, 14 Yellow, 0 Green).</w:t>
        <w:br/>
        <w:t>• Extra Trees: Achieved F1-Weighted = 0.9842 — by selecting split thresholds randomly rather than optimally, it reduces variance and eliminates bootstrap sampling bias.</w:t>
        <w:br/>
        <w:br/>
        <w:t>Extra Trees was selected because it achieved the highest F1 score while demonstrating robust geographic generalization via Leave-Division-Out cross-validation across all 8 divisions.</w:t>
      </w:r>
    </w:p>
    <w:p>
      <w:pPr>
        <w:pStyle w:val="Heading2"/>
      </w:pPr>
      <w:r>
        <w:rPr>
          <w:color w:val="1E3A5F"/>
        </w:rPr>
        <w:t>4.3 Data Sources and Processing</w:t>
      </w:r>
    </w:p>
    <w:p>
      <w:pPr>
        <w:spacing w:after="120"/>
      </w:pPr>
      <w:r>
        <w:rPr>
          <w:b w:val="0"/>
          <w:sz w:val="22"/>
        </w:rPr>
        <w:t>Data sources include: ITU DataHub (154 indicators, 767K rows), BTRC Division Subscriber Data (8 divisions, 4 operators), BBS HIES 2022 (household surveys), BTS Tower Registry (district-level counts), and NTTN Fiber Backbone Capacity. Data processing involved: merging CSVs, filtering to Bangladesh, engineering 22 features (tower density, 4G share, digital readiness index, income index, etc.), and applying Leave-Division-Out CV to prevent geographic data leakage.</w:t>
      </w:r>
    </w:p>
    <w:p>
      <w:pPr>
        <w:pStyle w:val="Heading2"/>
      </w:pPr>
      <w:r>
        <w:rPr>
          <w:color w:val="1E3A5F"/>
        </w:rPr>
        <w:t>4.4 Overfitting and Underfitting Analysis</w:t>
      </w:r>
    </w:p>
    <w:p>
      <w:pPr>
        <w:spacing w:after="120"/>
      </w:pPr>
      <w:r>
        <w:rPr>
          <w:b w:val="0"/>
          <w:sz w:val="22"/>
        </w:rPr>
        <w:t>The Learning Curve analysis across 8 LDO folds shows converging Train/Validation F1 scores, confirming no overfitting. The small gap between training and validation performance indicates the model generalizes to unseen divisions. XGBoost's poor performance (F1=0.72) was identified as underfitting on the minority Yellow class — Extra Trees handles class imbalance naturally through its randomized splitting strategy.</w:t>
      </w:r>
    </w:p>
    <w:p>
      <w:pPr>
        <w:pStyle w:val="Heading1"/>
      </w:pPr>
      <w:r>
        <w:rPr>
          <w:color w:val="1E3A5F"/>
        </w:rPr>
        <w:t>5. GUI and Interactive Features</w:t>
      </w:r>
    </w:p>
    <w:p>
      <w:pPr>
        <w:pStyle w:val="Heading2"/>
      </w:pPr>
      <w:r>
        <w:rPr>
          <w:color w:val="1E3A5F"/>
        </w:rPr>
        <w:t>5.1 Dashboard (Map View)</w:t>
      </w:r>
    </w:p>
    <w:p>
      <w:pPr>
        <w:spacing w:after="120"/>
      </w:pPr>
      <w:r>
        <w:rPr>
          <w:b w:val="0"/>
          <w:sz w:val="22"/>
        </w:rPr>
        <w:t>The main dashboard displays an interactive Leaflet map of Bangladesh with 64 district polygons colored RED (critical, below 55% of target), YELLOW (transitioning, 55-100% of target), or GREEN (target met). After analysis, priority districts blink at 0.5-second intervals. Clicking a district opens the Policy Roadmap Panel showing current connectivity, gap to target, BTRC/NTTN data, indicator trends, budget estimates, and live news. A timeline slider allows historical (2022-2024) and future year simulation.</w:t>
      </w:r>
    </w:p>
    <w:p>
      <w:pPr>
        <w:pStyle w:val="Heading2"/>
      </w:pPr>
      <w:r>
        <w:rPr>
          <w:color w:val="1E3A5F"/>
        </w:rPr>
        <w:t>5.2 Engine Logic (Optimization Engine)</w:t>
      </w:r>
    </w:p>
    <w:p>
      <w:pPr>
        <w:spacing w:after="120"/>
      </w:pPr>
      <w:r>
        <w:rPr>
          <w:b w:val="0"/>
          <w:sz w:val="22"/>
        </w:rPr>
        <w:t>The Engine Logic page contains the Goal Input panel with three sliders: Target Connectivity (dynamically bounded 20% below minimum district value to 100%), Policy Timeframe (1-20 years), and Budget Allocation (with BDT conversion). Below are Digital Divide Metrics, Smart Policy Proposals (dynamically generated based on current ML results), and the 22-Parameter Policy Intervention Simulator where each indicator can be adjusted ±100% to see real-time impact on district scores and map colors.</w:t>
      </w:r>
    </w:p>
    <w:p>
      <w:pPr>
        <w:pStyle w:val="Heading2"/>
      </w:pPr>
      <w:r>
        <w:rPr>
          <w:color w:val="1E3A5F"/>
        </w:rPr>
        <w:t>5.3 Engineer View</w:t>
      </w:r>
    </w:p>
    <w:p>
      <w:pPr>
        <w:spacing w:after="120"/>
      </w:pPr>
      <w:r>
        <w:rPr>
          <w:b w:val="0"/>
          <w:sz w:val="22"/>
        </w:rPr>
        <w:t>The Engineer View provides scientific ML diagnostics including: KPI cards (F1, AUC-ROC, Perplexity), Whole World Data Comparison charts (Global Bandwidth, Data Sources, Gender Gap, Age Groups, Market Competition from ITU), Data Sync Pipeline (Auto Update + Manual Upload), Model Performance Overview (Confusion Matrix, Model Comparison, F1 by Division, Model Quality Radar), Statistical Curves (ROC, Precision-Recall, Learning Curves), Feature Intelligence (Top 20 MVT Weights, Top 10 Districts with BEST/WORST filters), Live Mathematical Models, and Real-Time Dataset Analysis (file upload).</w:t>
      </w:r>
    </w:p>
    <w:p>
      <w:pPr>
        <w:pStyle w:val="Heading2"/>
      </w:pPr>
      <w:r>
        <w:rPr>
          <w:color w:val="1E3A5F"/>
        </w:rPr>
        <w:t>5.4 Sidebar Controls</w:t>
      </w:r>
    </w:p>
    <w:p>
      <w:pPr>
        <w:spacing w:after="120"/>
      </w:pPr>
      <w:r>
        <w:rPr>
          <w:b w:val="0"/>
          <w:sz w:val="22"/>
        </w:rPr>
        <w:t>The sidebar provides navigation (Dashboard, Engine Logic, Engineer View, About), an Analyze button that transitions through states (Analyze → Analyzing... → Analyzed → Re-analyze when parameters change), district status summary (Green/Yellow/Red counts with gap percentages), and a Download Report button that both opens the report in a new tab AND downloads the HTML file simultaneously. The sidebar can be closed via [X] button or by clicking blank map space.</w:t>
      </w:r>
    </w:p>
    <w:p>
      <w:pPr>
        <w:pStyle w:val="Heading1"/>
      </w:pPr>
      <w:r>
        <w:rPr>
          <w:color w:val="1E3A5F"/>
        </w:rPr>
        <w:t>6. Installation Process</w:t>
      </w:r>
    </w:p>
    <w:p>
      <w:pPr>
        <w:pStyle w:val="Heading2"/>
      </w:pPr>
      <w:r>
        <w:rPr>
          <w:color w:val="1E3A5F"/>
        </w:rPr>
        <w:t>6.1 Linux Installation</w:t>
      </w:r>
    </w:p>
    <w:p>
      <w:pPr>
        <w:spacing w:after="120"/>
      </w:pPr>
      <w:r>
        <w:rPr>
          <w:b w:val="0"/>
          <w:sz w:val="22"/>
        </w:rPr>
        <w:t>1. Clone or extract the project to your desired location.</w:t>
        <w:br/>
        <w:t>2. Run: chmod +x setup.sh &amp;&amp; ./setup.sh</w:t>
        <w:br/>
        <w:t>3. The setup script automatically creates Python virtual environments, installs all dependencies, and starts both backend and frontend servers.</w:t>
        <w:br/>
        <w:t>4. Open http://localhost:5173 in your browser.</w:t>
      </w:r>
    </w:p>
    <w:p>
      <w:pPr>
        <w:pStyle w:val="Heading2"/>
      </w:pPr>
      <w:r>
        <w:rPr>
          <w:color w:val="1E3A5F"/>
        </w:rPr>
        <w:t>6.2 Windows Installation</w:t>
      </w:r>
    </w:p>
    <w:p>
      <w:pPr>
        <w:spacing w:after="120"/>
      </w:pPr>
      <w:r>
        <w:rPr>
          <w:b w:val="0"/>
          <w:sz w:val="22"/>
        </w:rPr>
        <w:t>1. Ensure Python 3.10+ and Node.js 18+ are installed.</w:t>
        <w:br/>
        <w:t>2. Navigate to website/backend/ and run: python -m venv venv &amp;&amp; venv\Scripts\activate &amp;&amp; pip install -r requirements.txt &amp;&amp; python app.py</w:t>
        <w:br/>
        <w:t>3. In a new terminal, navigate to website/frontend/ and run: npm install &amp;&amp; npm run dev</w:t>
        <w:br/>
        <w:t>4. Open http://localhost:5173 in your browser.</w:t>
      </w:r>
    </w:p>
    <w:p>
      <w:pPr>
        <w:pStyle w:val="Heading1"/>
      </w:pPr>
      <w:r>
        <w:rPr>
          <w:color w:val="1E3A5F"/>
        </w:rPr>
        <w:t>7. Development Iterations</w:t>
      </w:r>
    </w:p>
    <w:p>
      <w:pPr>
        <w:spacing w:after="120"/>
      </w:pPr>
      <w:r>
        <w:rPr>
          <w:b/>
          <w:sz w:val="22"/>
        </w:rPr>
        <w:t>Iteration 1: Data Normalization</w:t>
      </w:r>
    </w:p>
    <w:p>
      <w:pPr>
        <w:spacing w:after="120"/>
      </w:pPr>
      <w:r>
        <w:rPr>
          <w:b w:val="0"/>
          <w:sz w:val="20"/>
        </w:rPr>
        <w:t>Addressed sparse coverage of national datasets by joining BTRC metrics with ITU global analogs. Solved mismatched GeoJSON boundary polygons.</w:t>
      </w:r>
    </w:p>
    <w:p>
      <w:pPr>
        <w:spacing w:after="120"/>
      </w:pPr>
      <w:r>
        <w:rPr>
          <w:b/>
          <w:sz w:val="22"/>
        </w:rPr>
        <w:t>Iteration 2: Model Selection</w:t>
      </w:r>
    </w:p>
    <w:p>
      <w:pPr>
        <w:spacing w:after="120"/>
      </w:pPr>
      <w:r>
        <w:rPr>
          <w:b w:val="0"/>
          <w:sz w:val="20"/>
        </w:rPr>
        <w:t>Migrated from Random Forest to Extra Trees after identifying geographic cluster bias. Implemented Leave-Division-Out CV.</w:t>
      </w:r>
    </w:p>
    <w:p>
      <w:pPr>
        <w:spacing w:after="120"/>
      </w:pPr>
      <w:r>
        <w:rPr>
          <w:b/>
          <w:sz w:val="22"/>
        </w:rPr>
        <w:t>Iteration 3: Dynamic Scaling</w:t>
      </w:r>
    </w:p>
    <w:p>
      <w:pPr>
        <w:spacing w:after="120"/>
      </w:pPr>
      <w:r>
        <w:rPr>
          <w:b w:val="0"/>
          <w:sz w:val="20"/>
        </w:rPr>
        <w:t>Replaced hard-coded slider bounds with dynamic values computed from real district data.</w:t>
      </w:r>
    </w:p>
    <w:p>
      <w:pPr>
        <w:spacing w:after="120"/>
      </w:pPr>
      <w:r>
        <w:rPr>
          <w:b/>
          <w:sz w:val="22"/>
        </w:rPr>
        <w:t>Iteration 4: Global Context</w:t>
      </w:r>
    </w:p>
    <w:p>
      <w:pPr>
        <w:spacing w:after="120"/>
      </w:pPr>
      <w:r>
        <w:rPr>
          <w:b w:val="0"/>
          <w:sz w:val="20"/>
        </w:rPr>
        <w:t>Added Whole World Data Comparison section with 25 years of ITU global benchmarks.</w:t>
      </w:r>
    </w:p>
    <w:p>
      <w:pPr>
        <w:spacing w:after="120"/>
      </w:pPr>
      <w:r>
        <w:rPr>
          <w:b/>
          <w:sz w:val="22"/>
        </w:rPr>
        <w:t>Iteration 5: UX Enhancement</w:t>
      </w:r>
    </w:p>
    <w:p>
      <w:pPr>
        <w:spacing w:after="120"/>
      </w:pPr>
      <w:r>
        <w:rPr>
          <w:b w:val="0"/>
          <w:sz w:val="20"/>
        </w:rPr>
        <w:t>Implemented 0.5s/1.0s blink intervals, 70/30 priority logic, map timeline slider, and improved tooltip positioning.</w:t>
      </w:r>
    </w:p>
    <w:p>
      <w:pPr>
        <w:spacing w:after="120"/>
      </w:pPr>
      <w:r>
        <w:rPr>
          <w:b/>
          <w:sz w:val="22"/>
        </w:rPr>
        <w:t>Iteration 6: Parameter Expansion</w:t>
      </w:r>
    </w:p>
    <w:p>
      <w:pPr>
        <w:spacing w:after="120"/>
      </w:pPr>
      <w:r>
        <w:rPr>
          <w:b w:val="0"/>
          <w:sz w:val="20"/>
        </w:rPr>
        <w:t>Expanded simulator from 12 to 22 parameters. Added BDT budget conversion.</w:t>
      </w:r>
    </w:p>
    <w:p>
      <w:pPr>
        <w:spacing w:after="120"/>
      </w:pPr>
      <w:r>
        <w:rPr>
          <w:b/>
          <w:sz w:val="22"/>
        </w:rPr>
        <w:t>Iteration 7: Documentation</w:t>
      </w:r>
    </w:p>
    <w:p>
      <w:pPr>
        <w:spacing w:after="120"/>
      </w:pPr>
      <w:r>
        <w:rPr>
          <w:b w:val="0"/>
          <w:sz w:val="20"/>
        </w:rPr>
        <w:t>Generated LaTeX scientific reports, organized file structure, and prepared comprehensive documentation.</w:t>
      </w:r>
    </w:p>
    <w:p>
      <w:pPr>
        <w:pStyle w:val="Heading1"/>
      </w:pPr>
      <w:r>
        <w:rPr>
          <w:color w:val="1E3A5F"/>
        </w:rPr>
        <w:t>8. Limitations and Future Work</w:t>
      </w:r>
    </w:p>
    <w:p>
      <w:pPr>
        <w:spacing w:after="120"/>
      </w:pPr>
      <w:r>
        <w:rPr>
          <w:b w:val="0"/>
          <w:sz w:val="22"/>
        </w:rPr>
        <w:t>• BTRC tower location accuracy is approximated to Upazila boundaries.</w:t>
        <w:br/>
        <w:t>• Green class is absent from current ground truth (no district meets default target).</w:t>
        <w:br/>
        <w:t>• Real-time data sync requires manual verification for data integrity.</w:t>
        <w:br/>
        <w:t>• Cross-platform .exe packaging requires Wine or native Windows environment.</w:t>
        <w:br/>
        <w:br/>
        <w:t>Future optimizations include: LEO satellite heatmap integration for offline zone validation, granular hex-grid spatial mapping, and reinforcement learning for autonomous policy optimization.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