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olor w:val="2563EB"/>
          <w:sz w:val="72"/>
          <w:szCs w:val="72"/>
        </w:rPr>
        <w:t>CONNECTIVA</w:t>
      </w:r>
    </w:p>
    <w:p>
      <w:pPr>
        <w:pStyle w:val="Normal"/>
        <w:spacing w:before="0" w:after="160"/>
        <w:jc w:val="center"/>
        <w:rPr/>
      </w:pPr>
      <w:r>
        <w:rPr>
          <w:rFonts w:eastAsia="Arial" w:cs="Arial"/>
          <w:color w:val="64748B"/>
          <w:sz w:val="32"/>
          <w:szCs w:val="32"/>
        </w:rPr>
        <w:t>Autonomous Regional Digital Divide Optimization Engine</w:t>
      </w:r>
    </w:p>
    <w:p>
      <w:pPr>
        <w:pStyle w:val="Normal"/>
        <w:spacing w:before="0" w:after="480"/>
        <w:jc w:val="center"/>
        <w:rPr/>
      </w:pPr>
      <w:r>
        <w:rPr>
          <w:rFonts w:eastAsia="Arial" w:cs="Arial"/>
          <w:b/>
          <w:bCs/>
          <w:color w:val="1E293B"/>
          <w:sz w:val="28"/>
          <w:szCs w:val="28"/>
        </w:rPr>
        <w:t>Full Technical Report</w:t>
      </w:r>
    </w:p>
    <w:p>
      <w:pPr>
        <w:pStyle w:val="Normal"/>
        <w:spacing w:before="0" w:after="960"/>
        <w:jc w:val="center"/>
        <w:rPr/>
      </w:pPr>
      <w:r>
        <w:rPr>
          <w:rFonts w:eastAsia="Arial" w:cs="Arial"/>
          <w:i/>
          <w:iCs/>
          <w:color w:val="64748B"/>
          <w:sz w:val="22"/>
          <w:szCs w:val="22"/>
        </w:rPr>
        <w:t>ITU UMC Data Hackathon 2025  ·  Bangladesh Digital Inclusion Initiative</w:t>
      </w:r>
    </w:p>
    <w:tbl>
      <w:tblPr>
        <w:tblW w:w="9026" w:type="dxa"/>
        <w:jc w:val="start"/>
        <w:tblInd w:w="0" w:type="dxa"/>
        <w:tblLayout w:type="fixed"/>
        <w:tblCellMar>
          <w:top w:w="100" w:type="dxa"/>
          <w:start w:w="120" w:type="dxa"/>
          <w:bottom w:w="100" w:type="dxa"/>
          <w:end w:w="120" w:type="dxa"/>
        </w:tblCellMar>
      </w:tblPr>
      <w:tblGrid>
        <w:gridCol w:w="4513"/>
        <w:gridCol w:w="4513"/>
      </w:tblGrid>
      <w:tr>
        <w:trPr>
          <w:tblHeader w:val="true"/>
        </w:trPr>
        <w:tc>
          <w:tcPr>
            <w:tcW w:w="4513"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Role</w:t>
            </w:r>
          </w:p>
        </w:tc>
        <w:tc>
          <w:tcPr>
            <w:tcW w:w="4513"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Name</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System Architect</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Mir Oliul Pasha Taj</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Team Lead</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Sumaiya Sifat</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Software Developer (Frontend)</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Tanim Hasan</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Statistician</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Mahmud Refey</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Software Developer (Backend)</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Abdullah Al Mamun</w:t>
            </w:r>
          </w:p>
        </w:tc>
      </w:tr>
    </w:tbl>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1. What is Connectiva?</w:t>
      </w:r>
    </w:p>
    <w:p>
      <w:pPr>
        <w:pStyle w:val="Normal"/>
        <w:spacing w:before="60" w:after="120"/>
        <w:rPr/>
      </w:pPr>
      <w:r>
        <w:rPr>
          <w:rFonts w:eastAsia="Arial" w:cs="Arial"/>
          <w:color w:val="1E293B"/>
          <w:sz w:val="22"/>
          <w:szCs w:val="22"/>
        </w:rPr>
        <w:t>Connectiva is a scientifically-driven policy intelligence platform engineered to eliminate the digital divide across Bangladesh's 64 districts. It is not a static dashboard — it is a live, adaptive system that combines real-time machine learning inference, PID control theory, and automated data pipelines to generate actionable, year-by-year infrastructure roadmaps for policymakers and engineers.</w:t>
      </w:r>
    </w:p>
    <w:p>
      <w:pPr>
        <w:pStyle w:val="Normal"/>
        <w:spacing w:before="60" w:after="120"/>
        <w:rPr/>
      </w:pPr>
      <w:r>
        <w:rPr>
          <w:rFonts w:eastAsia="Arial" w:cs="Arial"/>
          <w:color w:val="1E293B"/>
          <w:sz w:val="22"/>
          <w:szCs w:val="22"/>
        </w:rPr>
        <w:t>The system ingests 154 ITU global telecom indicators (2000–2025), BTRC division-level subscriber data across 4 operators, HIES 2022 household survey statistics from 8 divisions, BTS tower registry counts for all 64 districts, and NTTN fiber backbone capacity data — synthesizing them into a unified scoring framework that dynamically responds to user-defined connectivity targets.</w:t>
      </w:r>
    </w:p>
    <w:p>
      <w:pPr>
        <w:pStyle w:val="Heading2"/>
        <w:spacing w:before="360" w:after="160"/>
        <w:rPr/>
      </w:pPr>
      <w:r>
        <w:rPr>
          <w:rFonts w:eastAsia="Arial" w:cs="Arial" w:ascii="Arial" w:hAnsi="Arial"/>
          <w:b/>
          <w:bCs/>
          <w:color w:val="1E293B"/>
          <w:sz w:val="28"/>
          <w:szCs w:val="28"/>
        </w:rPr>
        <w:t>1.1 Motive &amp; Purpose</w:t>
      </w:r>
    </w:p>
    <w:p>
      <w:pPr>
        <w:pStyle w:val="Normal"/>
        <w:spacing w:before="60" w:after="120"/>
        <w:rPr/>
      </w:pPr>
      <w:r>
        <w:rPr>
          <w:rFonts w:eastAsia="Arial" w:cs="Arial"/>
          <w:color w:val="1E293B"/>
          <w:sz w:val="22"/>
          <w:szCs w:val="22"/>
        </w:rPr>
        <w:t>Bangladesh has made remarkable progress in mobile connectivity but remains severely divided along geographic, economic, and infrastructure lines. Rural districts in Rangpur, Mymensingh, and Sylhet divisions suffer from data affordability stress exceeding 8% of household income, 4G penetration below 25%, and digital literacy rates under 35%.</w:t>
      </w:r>
    </w:p>
    <w:p>
      <w:pPr>
        <w:pStyle w:val="Normal"/>
        <w:spacing w:before="60" w:after="120"/>
        <w:rPr/>
      </w:pPr>
      <w:r>
        <w:rPr>
          <w:rFonts w:eastAsia="Arial" w:cs="Arial"/>
          <w:color w:val="1E293B"/>
          <w:sz w:val="22"/>
          <w:szCs w:val="22"/>
        </w:rPr>
        <w:t>Connectiva was built to answer a specific policy question: Given a connectivity target and a timeframe, which districts need what intervention, in what order, at what cost?</w:t>
      </w:r>
    </w:p>
    <w:p>
      <w:pPr>
        <w:pStyle w:val="Normal"/>
        <w:pBdr>
          <w:left w:val="single" w:sz="12" w:space="8" w:color="2563EB"/>
        </w:pBdr>
        <w:shd w:val="clear" w:fill="EFF6FF"/>
        <w:spacing w:before="80" w:after="80"/>
        <w:ind w:start="240"/>
        <w:rPr/>
      </w:pPr>
      <w:r>
        <w:rPr>
          <w:rFonts w:eastAsia="Arial" w:cs="Arial"/>
          <w:i/>
          <w:iCs/>
          <w:color w:val="1E40AF"/>
          <w:sz w:val="22"/>
          <w:szCs w:val="22"/>
        </w:rPr>
        <w:t>Connectiva translates complex multi-indicator ML analysis into plain-language policy roadmaps that ministers, engineers, and budget planners can act on immediately — without requiring data science expertise.</w:t>
      </w:r>
    </w:p>
    <w:p>
      <w:pPr>
        <w:pStyle w:val="Heading2"/>
        <w:spacing w:before="360" w:after="160"/>
        <w:rPr/>
      </w:pPr>
      <w:r>
        <w:rPr>
          <w:rFonts w:eastAsia="Arial" w:cs="Arial" w:ascii="Arial" w:hAnsi="Arial"/>
          <w:b/>
          <w:bCs/>
          <w:color w:val="1E293B"/>
          <w:sz w:val="28"/>
          <w:szCs w:val="28"/>
        </w:rPr>
        <w:t>1.2 Relevance to ITU Data Hackathon</w:t>
      </w:r>
    </w:p>
    <w:p>
      <w:pPr>
        <w:pStyle w:val="Normal"/>
        <w:spacing w:before="60" w:after="120"/>
        <w:rPr/>
      </w:pPr>
      <w:r>
        <w:rPr>
          <w:rFonts w:eastAsia="Arial" w:cs="Arial"/>
          <w:color w:val="1E293B"/>
          <w:sz w:val="22"/>
          <w:szCs w:val="22"/>
        </w:rPr>
        <w:t>The ITU UMC Hackathon 2025 challenges teams to use ITU's open data to solve real connectivity problems. Connectiva directly addresses this by:</w:t>
      </w:r>
    </w:p>
    <w:p>
      <w:pPr>
        <w:pStyle w:val="ListParagraph"/>
        <w:numPr>
          <w:ilvl w:val="0"/>
          <w:numId w:val="3"/>
        </w:numPr>
        <w:spacing w:before="40" w:after="40"/>
        <w:rPr/>
      </w:pPr>
      <w:r>
        <w:rPr>
          <w:rFonts w:eastAsia="Arial" w:cs="Arial"/>
          <w:color w:val="1E293B"/>
          <w:sz w:val="22"/>
          <w:szCs w:val="22"/>
        </w:rPr>
        <w:t>Using all 154 available ITU Bangladesh indicators as the primary training dataset</w:t>
      </w:r>
    </w:p>
    <w:p>
      <w:pPr>
        <w:pStyle w:val="ListParagraph"/>
        <w:numPr>
          <w:ilvl w:val="0"/>
          <w:numId w:val="1"/>
        </w:numPr>
        <w:spacing w:before="40" w:after="40"/>
        <w:rPr/>
      </w:pPr>
      <w:r>
        <w:rPr>
          <w:rFonts w:eastAsia="Arial" w:cs="Arial"/>
          <w:color w:val="1E293B"/>
          <w:sz w:val="22"/>
          <w:szCs w:val="22"/>
        </w:rPr>
        <w:t>Building a supervised ML model (ConnectivaNet v4) that learns which indicators predict district-level digital divide status</w:t>
      </w:r>
    </w:p>
    <w:p>
      <w:pPr>
        <w:pStyle w:val="ListParagraph"/>
        <w:numPr>
          <w:ilvl w:val="0"/>
          <w:numId w:val="1"/>
        </w:numPr>
        <w:spacing w:before="40" w:after="40"/>
        <w:rPr/>
      </w:pPr>
      <w:r>
        <w:rPr>
          <w:rFonts w:eastAsia="Arial" w:cs="Arial"/>
          <w:color w:val="1E293B"/>
          <w:sz w:val="22"/>
          <w:szCs w:val="22"/>
        </w:rPr>
        <w:t>Generating actionable, quantitative policy proposals grounded in ITU data — not generic recommendations</w:t>
      </w:r>
    </w:p>
    <w:p>
      <w:pPr>
        <w:pStyle w:val="ListParagraph"/>
        <w:numPr>
          <w:ilvl w:val="0"/>
          <w:numId w:val="1"/>
        </w:numPr>
        <w:spacing w:before="40" w:after="40"/>
        <w:rPr/>
      </w:pPr>
      <w:r>
        <w:rPr>
          <w:rFonts w:eastAsia="Arial" w:cs="Arial"/>
          <w:color w:val="1E293B"/>
          <w:sz w:val="22"/>
          <w:szCs w:val="22"/>
        </w:rPr>
        <w:t>Providing a live web interface that any ITU member state could adapt for their own national digital divide analysis</w:t>
      </w:r>
    </w:p>
    <w:p>
      <w:pPr>
        <w:pStyle w:val="Heading2"/>
        <w:spacing w:before="360" w:after="160"/>
        <w:rPr/>
      </w:pPr>
      <w:r>
        <w:rPr>
          <w:rFonts w:eastAsia="Arial" w:cs="Arial" w:ascii="Arial" w:hAnsi="Arial"/>
          <w:b/>
          <w:bCs/>
          <w:color w:val="1E293B"/>
          <w:sz w:val="28"/>
          <w:szCs w:val="28"/>
        </w:rPr>
        <w:t>1.3 Real-World Impact Potential</w:t>
      </w:r>
    </w:p>
    <w:p>
      <w:pPr>
        <w:pStyle w:val="Normal"/>
        <w:spacing w:before="60" w:after="120"/>
        <w:rPr/>
      </w:pPr>
      <w:r>
        <w:rPr>
          <w:rFonts w:eastAsia="Arial" w:cs="Arial"/>
          <w:color w:val="1E293B"/>
          <w:sz w:val="22"/>
          <w:szCs w:val="22"/>
        </w:rPr>
        <w:t>Beyond the competition, Connectiva demonstrates a replicable methodology for any developing nation to:</w:t>
      </w:r>
    </w:p>
    <w:p>
      <w:pPr>
        <w:pStyle w:val="ListParagraph"/>
        <w:numPr>
          <w:ilvl w:val="0"/>
          <w:numId w:val="1"/>
        </w:numPr>
        <w:spacing w:before="40" w:after="40"/>
        <w:rPr/>
      </w:pPr>
      <w:r>
        <w:rPr>
          <w:rFonts w:eastAsia="Arial" w:cs="Arial"/>
          <w:color w:val="1E293B"/>
          <w:sz w:val="22"/>
          <w:szCs w:val="22"/>
        </w:rPr>
        <w:t>Prioritize infrastructure investment using ML-ranked district scores</w:t>
      </w:r>
    </w:p>
    <w:p>
      <w:pPr>
        <w:pStyle w:val="ListParagraph"/>
        <w:numPr>
          <w:ilvl w:val="0"/>
          <w:numId w:val="1"/>
        </w:numPr>
        <w:spacing w:before="40" w:after="40"/>
        <w:rPr/>
      </w:pPr>
      <w:r>
        <w:rPr>
          <w:rFonts w:eastAsia="Arial" w:cs="Arial"/>
          <w:color w:val="1E293B"/>
          <w:sz w:val="22"/>
          <w:szCs w:val="22"/>
        </w:rPr>
        <w:t>Estimate budget requirements per district using BTRC/ITU cost benchmarks</w:t>
      </w:r>
    </w:p>
    <w:p>
      <w:pPr>
        <w:pStyle w:val="ListParagraph"/>
        <w:numPr>
          <w:ilvl w:val="0"/>
          <w:numId w:val="1"/>
        </w:numPr>
        <w:spacing w:before="40" w:after="40"/>
        <w:rPr/>
      </w:pPr>
      <w:r>
        <w:rPr>
          <w:rFonts w:eastAsia="Arial" w:cs="Arial"/>
          <w:color w:val="1E293B"/>
          <w:sz w:val="22"/>
          <w:szCs w:val="22"/>
        </w:rPr>
        <w:t>Track progress annually as new ITU and BTRC data is published</w:t>
      </w:r>
    </w:p>
    <w:p>
      <w:pPr>
        <w:pStyle w:val="ListParagraph"/>
        <w:numPr>
          <w:ilvl w:val="0"/>
          <w:numId w:val="1"/>
        </w:numPr>
        <w:spacing w:before="40" w:after="40"/>
        <w:rPr/>
      </w:pPr>
      <w:r>
        <w:rPr>
          <w:rFonts w:eastAsia="Arial" w:cs="Arial"/>
          <w:color w:val="1E293B"/>
          <w:sz w:val="22"/>
          <w:szCs w:val="22"/>
        </w:rPr>
        <w:t>Generate regulatory policy proposals backed by statistical evidence</w:t>
      </w:r>
    </w:p>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2. System Architecture</w:t>
      </w:r>
    </w:p>
    <w:p>
      <w:pPr>
        <w:pStyle w:val="Normal"/>
        <w:spacing w:before="60" w:after="120"/>
        <w:rPr/>
      </w:pPr>
      <w:r>
        <w:rPr>
          <w:rFonts w:eastAsia="Arial" w:cs="Arial"/>
          <w:color w:val="1E293B"/>
          <w:sz w:val="22"/>
          <w:szCs w:val="22"/>
        </w:rPr>
        <w:t>Connectiva is structured as a three-layer system: a Python Flask backend (API + ML), a React/Vite frontend (UI + map), and a standalone ML training pipeline.</w:t>
      </w:r>
    </w:p>
    <w:p>
      <w:pPr>
        <w:pStyle w:val="Heading2"/>
        <w:spacing w:before="360" w:after="160"/>
        <w:rPr/>
      </w:pPr>
      <w:r>
        <w:rPr>
          <w:rFonts w:eastAsia="Arial" w:cs="Arial" w:ascii="Arial" w:hAnsi="Arial"/>
          <w:b/>
          <w:bCs/>
          <w:color w:val="1E293B"/>
          <w:sz w:val="28"/>
          <w:szCs w:val="28"/>
        </w:rPr>
        <w:t>2.1 File Organization</w:t>
      </w:r>
    </w:p>
    <w:tbl>
      <w:tblPr>
        <w:tblW w:w="9026" w:type="dxa"/>
        <w:jc w:val="start"/>
        <w:tblInd w:w="0" w:type="dxa"/>
        <w:tblLayout w:type="fixed"/>
        <w:tblCellMar>
          <w:top w:w="100" w:type="dxa"/>
          <w:start w:w="120" w:type="dxa"/>
          <w:bottom w:w="100" w:type="dxa"/>
          <w:end w:w="120" w:type="dxa"/>
        </w:tblCellMar>
      </w:tblPr>
      <w:tblGrid>
        <w:gridCol w:w="4513"/>
        <w:gridCol w:w="4513"/>
      </w:tblGrid>
      <w:tr>
        <w:trPr>
          <w:tblHeader w:val="true"/>
        </w:trPr>
        <w:tc>
          <w:tcPr>
            <w:tcW w:w="4513"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Path</w:t>
            </w:r>
          </w:p>
        </w:tc>
        <w:tc>
          <w:tcPr>
            <w:tcW w:w="4513"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Purpose</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Root project directory</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connectiva/start.sh</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Master startup script — rebuilds venv if broken, launches frontend + backend</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connectiva/ML/</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ML training pipeline — all scripts and raw data</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connectiva/ML/raw_data/</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154 ITU CSV indicator files (one per indicator)</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connectiva/ML/files/</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Processed district/division datasets</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connectiva/ML/model_output_v4/</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Trained model artifacts (.pkl files) and metrics</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connectiva/ML/train_connectiva_v3.py</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Stacked ensemble trainer (v3 — augmented data)</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connectiva/ML/train_connectiva_v4.py</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Leave-Division-Out trainer (v4 — production model)</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connectiva/ML/ml_env/</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Python virtual environment for ML (DO NOT copy — recreate with start.sh)</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connectiva/website/frontend/</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React application (Vite + Tailwind)</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connectiva/website/frontend/src/</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React source code</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connectiva/website/frontend/src/components/</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UI components (MapView, EngineerView, Sidebar, etc.)</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connectiva/website/frontend/src/context/EngineContext.jsx</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Global state management — all data flows through here</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connectiva/website/frontend/src/utils/engine.js</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Core math: 45% gap rule, PID controller, district scoring</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connectiva/website/frontend/public/data/</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Static data files served to browser (GeoJSON, CSV)</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connectiva/website/backend/</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Flask API server</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connectiva/website/backend/app.py</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Main API — news scraping, ML scoring, report generation</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connectiva/website/backend/venv/</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Python venv for backend (DO NOT copy — recreate with start.sh)</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connectiva/files/</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Intermediate processed datasets (division, district features)</w:t>
            </w:r>
          </w:p>
        </w:tc>
      </w:tr>
    </w:tbl>
    <w:p>
      <w:pPr>
        <w:pStyle w:val="Heading2"/>
        <w:spacing w:before="360" w:after="160"/>
        <w:rPr/>
      </w:pPr>
      <w:r>
        <w:rPr>
          <w:rFonts w:eastAsia="Arial" w:cs="Arial" w:ascii="Arial" w:hAnsi="Arial"/>
          <w:b/>
          <w:bCs/>
          <w:color w:val="1E293B"/>
          <w:sz w:val="28"/>
          <w:szCs w:val="28"/>
        </w:rPr>
        <w:t>2.2 Robustness &amp; Scalability</w:t>
      </w:r>
    </w:p>
    <w:p>
      <w:pPr>
        <w:pStyle w:val="ListParagraph"/>
        <w:numPr>
          <w:ilvl w:val="0"/>
          <w:numId w:val="1"/>
        </w:numPr>
        <w:spacing w:before="40" w:after="40"/>
        <w:rPr/>
      </w:pPr>
      <w:r>
        <w:rPr>
          <w:rFonts w:eastAsia="Arial" w:cs="Arial"/>
          <w:color w:val="1E293B"/>
          <w:sz w:val="22"/>
          <w:szCs w:val="22"/>
        </w:rPr>
        <w:t>start.sh auto-detects venv corruption after folder copy and rebuilds automatically</w:t>
      </w:r>
    </w:p>
    <w:p>
      <w:pPr>
        <w:pStyle w:val="ListParagraph"/>
        <w:numPr>
          <w:ilvl w:val="0"/>
          <w:numId w:val="1"/>
        </w:numPr>
        <w:spacing w:before="40" w:after="40"/>
        <w:rPr/>
      </w:pPr>
      <w:r>
        <w:rPr>
          <w:rFonts w:eastAsia="Arial" w:cs="Arial"/>
          <w:color w:val="1E293B"/>
          <w:sz w:val="22"/>
          <w:szCs w:val="22"/>
        </w:rPr>
        <w:t>Backend API uses fallback local data if ML model files are unavailable</w:t>
      </w:r>
    </w:p>
    <w:p>
      <w:pPr>
        <w:pStyle w:val="ListParagraph"/>
        <w:numPr>
          <w:ilvl w:val="0"/>
          <w:numId w:val="1"/>
        </w:numPr>
        <w:spacing w:before="40" w:after="40"/>
        <w:rPr/>
      </w:pPr>
      <w:r>
        <w:rPr>
          <w:rFonts w:eastAsia="Arial" w:cs="Arial"/>
          <w:color w:val="1E293B"/>
          <w:sz w:val="22"/>
          <w:szCs w:val="22"/>
        </w:rPr>
        <w:t>Frontend works offline (uses local CSV/GeoJSON) even without backend running</w:t>
      </w:r>
    </w:p>
    <w:p>
      <w:pPr>
        <w:pStyle w:val="ListParagraph"/>
        <w:numPr>
          <w:ilvl w:val="0"/>
          <w:numId w:val="1"/>
        </w:numPr>
        <w:spacing w:before="40" w:after="40"/>
        <w:rPr/>
      </w:pPr>
      <w:r>
        <w:rPr>
          <w:rFonts w:eastAsia="Arial" w:cs="Arial"/>
          <w:color w:val="1E293B"/>
          <w:sz w:val="22"/>
          <w:szCs w:val="22"/>
        </w:rPr>
        <w:t>45% Gap Rule is parameterized — changing the multiplier in engine.js updates the entire system</w:t>
      </w:r>
    </w:p>
    <w:p>
      <w:pPr>
        <w:pStyle w:val="ListParagraph"/>
        <w:numPr>
          <w:ilvl w:val="0"/>
          <w:numId w:val="1"/>
        </w:numPr>
        <w:spacing w:before="40" w:after="40"/>
        <w:rPr/>
      </w:pPr>
      <w:r>
        <w:rPr>
          <w:rFonts w:eastAsia="Arial" w:cs="Arial"/>
          <w:color w:val="1E293B"/>
          <w:sz w:val="22"/>
          <w:szCs w:val="22"/>
        </w:rPr>
        <w:t>Adding new districts: update DIVISION_DISTRICTS in app.py and add district polygon to GeoJSON</w:t>
      </w:r>
    </w:p>
    <w:p>
      <w:pPr>
        <w:pStyle w:val="ListParagraph"/>
        <w:numPr>
          <w:ilvl w:val="0"/>
          <w:numId w:val="1"/>
        </w:numPr>
        <w:spacing w:before="40" w:after="40"/>
        <w:rPr/>
      </w:pPr>
      <w:r>
        <w:rPr>
          <w:rFonts w:eastAsia="Arial" w:cs="Arial"/>
          <w:color w:val="1E293B"/>
          <w:sz w:val="22"/>
          <w:szCs w:val="22"/>
        </w:rPr>
        <w:t>Adding new indicators: run train_connectiva_v4.py with updated files/ datasets</w:t>
      </w:r>
    </w:p>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3. Installation &amp; Operation</w:t>
      </w:r>
    </w:p>
    <w:p>
      <w:pPr>
        <w:pStyle w:val="Heading2"/>
        <w:spacing w:before="360" w:after="160"/>
        <w:rPr/>
      </w:pPr>
      <w:r>
        <w:rPr>
          <w:rFonts w:eastAsia="Arial" w:cs="Arial" w:ascii="Arial" w:hAnsi="Arial"/>
          <w:b/>
          <w:bCs/>
          <w:color w:val="1E293B"/>
          <w:sz w:val="28"/>
          <w:szCs w:val="28"/>
        </w:rPr>
        <w:t>3.1 Prerequisites</w:t>
      </w:r>
    </w:p>
    <w:tbl>
      <w:tblPr>
        <w:tblW w:w="9026" w:type="dxa"/>
        <w:jc w:val="start"/>
        <w:tblInd w:w="0" w:type="dxa"/>
        <w:tblLayout w:type="fixed"/>
        <w:tblCellMar>
          <w:top w:w="100" w:type="dxa"/>
          <w:start w:w="120" w:type="dxa"/>
          <w:bottom w:w="100" w:type="dxa"/>
          <w:end w:w="120" w:type="dxa"/>
        </w:tblCellMar>
      </w:tblPr>
      <w:tblGrid>
        <w:gridCol w:w="3008"/>
        <w:gridCol w:w="3009"/>
        <w:gridCol w:w="3009"/>
      </w:tblGrid>
      <w:tr>
        <w:trPr>
          <w:tblHeader w:val="true"/>
        </w:trPr>
        <w:tc>
          <w:tcPr>
            <w:tcW w:w="3008"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Requirement</w:t>
            </w:r>
          </w:p>
        </w:tc>
        <w:tc>
          <w:tcPr>
            <w:tcW w:w="3009"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Minimum Version</w:t>
            </w:r>
          </w:p>
        </w:tc>
        <w:tc>
          <w:tcPr>
            <w:tcW w:w="3009"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Purpose</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Python</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3.10+</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Backend Flask API + ML training</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Node.js</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v20+</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React/Vite frontend</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npm</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9+</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Frontend package manager</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4GB RAM</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ML model training (v4)</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2GB disk</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Raw data + node_modules + venv</w:t>
            </w:r>
          </w:p>
        </w:tc>
      </w:tr>
    </w:tbl>
    <w:p>
      <w:pPr>
        <w:pStyle w:val="Heading2"/>
        <w:spacing w:before="360" w:after="160"/>
        <w:rPr/>
      </w:pPr>
      <w:r>
        <w:rPr>
          <w:rFonts w:eastAsia="Arial" w:cs="Arial" w:ascii="Arial" w:hAnsi="Arial"/>
          <w:b/>
          <w:bCs/>
          <w:color w:val="1E293B"/>
          <w:sz w:val="28"/>
          <w:szCs w:val="28"/>
        </w:rPr>
        <w:t>3.2 Linux Installation (Recommended)</w:t>
      </w:r>
    </w:p>
    <w:p>
      <w:pPr>
        <w:pStyle w:val="Normal"/>
        <w:spacing w:before="60" w:after="120"/>
        <w:rPr/>
      </w:pPr>
      <w:r>
        <w:rPr>
          <w:rFonts w:eastAsia="Arial" w:cs="Arial"/>
          <w:color w:val="1E293B"/>
          <w:sz w:val="22"/>
          <w:szCs w:val="22"/>
        </w:rPr>
        <w:t>Step 1 — Clone or copy the project folder to your machine.</w:t>
      </w:r>
    </w:p>
    <w:p>
      <w:pPr>
        <w:pStyle w:val="Normal"/>
        <w:spacing w:before="60" w:after="120"/>
        <w:rPr/>
      </w:pPr>
      <w:r>
        <w:rPr>
          <w:rFonts w:eastAsia="Arial" w:cs="Arial"/>
          <w:color w:val="1E293B"/>
          <w:sz w:val="22"/>
          <w:szCs w:val="22"/>
        </w:rPr>
        <w:t>Step 2 — Navigate to the project root and run the startup script:</w:t>
      </w:r>
    </w:p>
    <w:p>
      <w:pPr>
        <w:pStyle w:val="Normal"/>
        <w:pBdr>
          <w:left w:val="single" w:sz="12" w:space="8" w:color="2563EB"/>
        </w:pBdr>
        <w:shd w:val="clear" w:fill="EFF6FF"/>
        <w:spacing w:before="80" w:after="80"/>
        <w:ind w:start="240"/>
        <w:rPr/>
      </w:pPr>
      <w:r>
        <w:rPr>
          <w:rFonts w:eastAsia="Arial" w:cs="Arial"/>
          <w:i/>
          <w:iCs/>
          <w:color w:val="1E40AF"/>
          <w:sz w:val="22"/>
          <w:szCs w:val="22"/>
        </w:rPr>
        <w:t>cd /path/to/connectiva chmod +x start.sh ./start.sh</w:t>
      </w:r>
    </w:p>
    <w:p>
      <w:pPr>
        <w:pStyle w:val="Normal"/>
        <w:spacing w:before="60" w:after="120"/>
        <w:rPr/>
      </w:pPr>
      <w:r>
        <w:rPr>
          <w:rFonts w:eastAsia="Arial" w:cs="Arial"/>
          <w:color w:val="1E293B"/>
          <w:sz w:val="22"/>
          <w:szCs w:val="22"/>
        </w:rPr>
        <w:t>The script automatically: installs Node.js v20 if missing, creates Python venv, installs all dependencies, starts the backend on port 5000, launches the frontend on port 5173, and opens the browser.</w:t>
      </w:r>
    </w:p>
    <w:p>
      <w:pPr>
        <w:pStyle w:val="Heading2"/>
        <w:spacing w:before="360" w:after="160"/>
        <w:rPr/>
      </w:pPr>
      <w:r>
        <w:rPr>
          <w:rFonts w:eastAsia="Arial" w:cs="Arial" w:ascii="Arial" w:hAnsi="Arial"/>
          <w:b/>
          <w:bCs/>
          <w:color w:val="1E293B"/>
          <w:sz w:val="28"/>
          <w:szCs w:val="28"/>
        </w:rPr>
        <w:t>3.3 Windows Installation</w:t>
      </w:r>
    </w:p>
    <w:p>
      <w:pPr>
        <w:pStyle w:val="Normal"/>
        <w:spacing w:before="60" w:after="120"/>
        <w:rPr/>
      </w:pPr>
      <w:r>
        <w:rPr>
          <w:rFonts w:eastAsia="Arial" w:cs="Arial"/>
          <w:color w:val="1E293B"/>
          <w:sz w:val="22"/>
          <w:szCs w:val="22"/>
        </w:rPr>
        <w:t>Step 1 — Install Node.js v20 from https://nodejs.org</w:t>
      </w:r>
    </w:p>
    <w:p>
      <w:pPr>
        <w:pStyle w:val="Normal"/>
        <w:spacing w:before="60" w:after="120"/>
        <w:rPr/>
      </w:pPr>
      <w:r>
        <w:rPr>
          <w:rFonts w:eastAsia="Arial" w:cs="Arial"/>
          <w:color w:val="1E293B"/>
          <w:sz w:val="22"/>
          <w:szCs w:val="22"/>
        </w:rPr>
        <w:t>Step 2 — Install Python 3.10+ from https://python.org</w:t>
      </w:r>
    </w:p>
    <w:p>
      <w:pPr>
        <w:pStyle w:val="Normal"/>
        <w:spacing w:before="60" w:after="120"/>
        <w:rPr/>
      </w:pPr>
      <w:r>
        <w:rPr>
          <w:rFonts w:eastAsia="Arial" w:cs="Arial"/>
          <w:color w:val="1E293B"/>
          <w:sz w:val="22"/>
          <w:szCs w:val="22"/>
        </w:rPr>
        <w:t>Step 3 — Open PowerShell in the project folder:</w:t>
      </w:r>
    </w:p>
    <w:p>
      <w:pPr>
        <w:pStyle w:val="Normal"/>
        <w:pBdr>
          <w:left w:val="single" w:sz="12" w:space="8" w:color="2563EB"/>
        </w:pBdr>
        <w:shd w:val="clear" w:fill="EFF6FF"/>
        <w:spacing w:before="80" w:after="80"/>
        <w:ind w:start="240"/>
        <w:rPr/>
      </w:pPr>
      <w:r>
        <w:rPr>
          <w:rFonts w:eastAsia="Arial" w:cs="Arial"/>
          <w:i/>
          <w:iCs/>
          <w:color w:val="1E40AF"/>
          <w:sz w:val="22"/>
          <w:szCs w:val="22"/>
        </w:rPr>
        <w:t>cd connectiva\website\backend python -m venv venv venv\Scripts\activate pip install flask flask-cors pandas numpy scikit-learn requests beautifulsoup4 python app.py</w:t>
      </w:r>
    </w:p>
    <w:p>
      <w:pPr>
        <w:pStyle w:val="Normal"/>
        <w:spacing w:before="60" w:after="120"/>
        <w:rPr/>
      </w:pPr>
      <w:r>
        <w:rPr>
          <w:rFonts w:eastAsia="Arial" w:cs="Arial"/>
          <w:color w:val="1E293B"/>
          <w:sz w:val="22"/>
          <w:szCs w:val="22"/>
        </w:rPr>
        <w:t>Step 4 — Open a second PowerShell window:</w:t>
      </w:r>
    </w:p>
    <w:p>
      <w:pPr>
        <w:pStyle w:val="Normal"/>
        <w:pBdr>
          <w:left w:val="single" w:sz="12" w:space="8" w:color="2563EB"/>
        </w:pBdr>
        <w:shd w:val="clear" w:fill="EFF6FF"/>
        <w:spacing w:before="80" w:after="80"/>
        <w:ind w:start="240"/>
        <w:rPr/>
      </w:pPr>
      <w:r>
        <w:rPr>
          <w:rFonts w:eastAsia="Arial" w:cs="Arial"/>
          <w:i/>
          <w:iCs/>
          <w:color w:val="1E40AF"/>
          <w:sz w:val="22"/>
          <w:szCs w:val="22"/>
        </w:rPr>
        <w:t>cd connectiva\website\frontend npm install npm run dev</w:t>
      </w:r>
    </w:p>
    <w:p>
      <w:pPr>
        <w:pStyle w:val="Normal"/>
        <w:spacing w:before="60" w:after="120"/>
        <w:rPr/>
      </w:pPr>
      <w:r>
        <w:rPr>
          <w:rFonts w:eastAsia="Arial" w:cs="Arial"/>
          <w:color w:val="1E293B"/>
          <w:sz w:val="22"/>
          <w:szCs w:val="22"/>
        </w:rPr>
        <w:t>Step 5 — Open http://localhost:5173 in your browser.</w:t>
      </w:r>
    </w:p>
    <w:p>
      <w:pPr>
        <w:pStyle w:val="Heading2"/>
        <w:spacing w:before="360" w:after="160"/>
        <w:rPr/>
      </w:pPr>
      <w:r>
        <w:rPr>
          <w:rFonts w:eastAsia="Arial" w:cs="Arial" w:ascii="Arial" w:hAnsi="Arial"/>
          <w:b/>
          <w:bCs/>
          <w:color w:val="1E293B"/>
          <w:sz w:val="28"/>
          <w:szCs w:val="28"/>
        </w:rPr>
        <w:t>3.4 Critical Precaution — venv Portability</w:t>
      </w:r>
    </w:p>
    <w:p>
      <w:pPr>
        <w:pStyle w:val="Normal"/>
        <w:pBdr>
          <w:left w:val="single" w:sz="12" w:space="8" w:color="2563EB"/>
        </w:pBdr>
        <w:shd w:val="clear" w:fill="EFF6FF"/>
        <w:spacing w:before="80" w:after="80"/>
        <w:ind w:start="240"/>
        <w:rPr/>
      </w:pPr>
      <w:r>
        <w:rPr>
          <w:rFonts w:eastAsia="Arial" w:cs="Arial"/>
          <w:i/>
          <w:iCs/>
          <w:color w:val="1E40AF"/>
          <w:sz w:val="22"/>
          <w:szCs w:val="22"/>
        </w:rPr>
        <w:t xml:space="preserve">⚠️  </w:t>
      </w:r>
      <w:r>
        <w:rPr>
          <w:rFonts w:eastAsia="Arial" w:cs="Arial"/>
          <w:i/>
          <w:iCs/>
          <w:color w:val="1E40AF"/>
          <w:sz w:val="22"/>
          <w:szCs w:val="22"/>
        </w:rPr>
        <w:t>Python virtual environments (venv) contain hardcoded absolute paths. If you copy the connectiva folder to a new location or machine, the venv WILL break. Always use start.sh which detects and rebuilds the venv automatically. Never manually copy the venv/ folder.</w:t>
      </w:r>
    </w:p>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4. Machine Learning — ConnectivaNet v4</w:t>
      </w:r>
    </w:p>
    <w:p>
      <w:pPr>
        <w:pStyle w:val="Heading2"/>
        <w:spacing w:before="360" w:after="160"/>
        <w:rPr/>
      </w:pPr>
      <w:r>
        <w:rPr>
          <w:rFonts w:eastAsia="Arial" w:cs="Arial" w:ascii="Arial" w:hAnsi="Arial"/>
          <w:b/>
          <w:bCs/>
          <w:color w:val="1E293B"/>
          <w:sz w:val="28"/>
          <w:szCs w:val="28"/>
        </w:rPr>
        <w:t>4.1 Why Machine Learning?</w:t>
      </w:r>
    </w:p>
    <w:p>
      <w:pPr>
        <w:pStyle w:val="Normal"/>
        <w:spacing w:before="60" w:after="120"/>
        <w:rPr/>
      </w:pPr>
      <w:r>
        <w:rPr>
          <w:rFonts w:eastAsia="Arial" w:cs="Arial"/>
          <w:color w:val="1E293B"/>
          <w:sz w:val="22"/>
          <w:szCs w:val="22"/>
        </w:rPr>
        <w:t>The digital divide is a multi-dimensional problem. No single indicator (e.g., internet access %) fully explains why one district is critical while a neighboring district is thriving. ML allows the system to learn which combination of 22 indicators most reliably predicts district connectivity status from real data.</w:t>
      </w:r>
    </w:p>
    <w:p>
      <w:pPr>
        <w:pStyle w:val="Normal"/>
        <w:spacing w:before="60" w:after="120"/>
        <w:rPr/>
      </w:pPr>
      <w:r>
        <w:rPr>
          <w:rFonts w:eastAsia="Arial" w:cs="Arial"/>
          <w:color w:val="1E293B"/>
          <w:sz w:val="22"/>
          <w:szCs w:val="22"/>
        </w:rPr>
        <w:t>Alternative approaches considered:</w:t>
      </w:r>
    </w:p>
    <w:p>
      <w:pPr>
        <w:pStyle w:val="ListParagraph"/>
        <w:numPr>
          <w:ilvl w:val="0"/>
          <w:numId w:val="1"/>
        </w:numPr>
        <w:spacing w:before="40" w:after="40"/>
        <w:rPr/>
      </w:pPr>
      <w:r>
        <w:rPr>
          <w:rFonts w:eastAsia="Arial" w:cs="Arial"/>
          <w:color w:val="1E293B"/>
          <w:sz w:val="22"/>
          <w:szCs w:val="22"/>
        </w:rPr>
        <w:t>Rule-based thresholds (rejected): Too rigid; cannot adapt to new data or different country contexts</w:t>
      </w:r>
    </w:p>
    <w:p>
      <w:pPr>
        <w:pStyle w:val="ListParagraph"/>
        <w:numPr>
          <w:ilvl w:val="0"/>
          <w:numId w:val="1"/>
        </w:numPr>
        <w:spacing w:before="40" w:after="40"/>
        <w:rPr/>
      </w:pPr>
      <w:r>
        <w:rPr>
          <w:rFonts w:eastAsia="Arial" w:cs="Arial"/>
          <w:color w:val="1E293B"/>
          <w:sz w:val="22"/>
          <w:szCs w:val="22"/>
        </w:rPr>
        <w:t>Linear regression (rejected): Assumes linear relationships between indicators and outcomes</w:t>
      </w:r>
    </w:p>
    <w:p>
      <w:pPr>
        <w:pStyle w:val="ListParagraph"/>
        <w:numPr>
          <w:ilvl w:val="0"/>
          <w:numId w:val="1"/>
        </w:numPr>
        <w:spacing w:before="40" w:after="40"/>
        <w:rPr/>
      </w:pPr>
      <w:r>
        <w:rPr>
          <w:rFonts w:eastAsia="Arial" w:cs="Arial"/>
          <w:color w:val="1E293B"/>
          <w:sz w:val="22"/>
          <w:szCs w:val="22"/>
        </w:rPr>
        <w:t>Decision Trees (rejected): Prone to overfitting with 64 data points</w:t>
      </w:r>
    </w:p>
    <w:p>
      <w:pPr>
        <w:pStyle w:val="ListParagraph"/>
        <w:numPr>
          <w:ilvl w:val="0"/>
          <w:numId w:val="1"/>
        </w:numPr>
        <w:spacing w:before="40" w:after="40"/>
        <w:rPr/>
      </w:pPr>
      <w:r>
        <w:rPr>
          <w:rFonts w:eastAsia="Arial" w:cs="Arial"/>
          <w:color w:val="1E293B"/>
          <w:sz w:val="22"/>
          <w:szCs w:val="22"/>
        </w:rPr>
        <w:t>Extra Trees Classifier (chosen): Robust ensemble, handles class imbalance, excellent generalization</w:t>
      </w:r>
    </w:p>
    <w:p>
      <w:pPr>
        <w:pStyle w:val="Heading2"/>
        <w:spacing w:before="360" w:after="160"/>
        <w:rPr/>
      </w:pPr>
      <w:r>
        <w:rPr>
          <w:rFonts w:eastAsia="Arial" w:cs="Arial" w:ascii="Arial" w:hAnsi="Arial"/>
          <w:b/>
          <w:bCs/>
          <w:color w:val="1E293B"/>
          <w:sz w:val="28"/>
          <w:szCs w:val="28"/>
        </w:rPr>
        <w:t>4.2 Model Selection — Trial &amp; Error</w:t>
      </w:r>
    </w:p>
    <w:tbl>
      <w:tblPr>
        <w:tblW w:w="9026" w:type="dxa"/>
        <w:jc w:val="start"/>
        <w:tblInd w:w="0" w:type="dxa"/>
        <w:tblLayout w:type="fixed"/>
        <w:tblCellMar>
          <w:top w:w="100" w:type="dxa"/>
          <w:start w:w="120" w:type="dxa"/>
          <w:bottom w:w="100" w:type="dxa"/>
          <w:end w:w="120" w:type="dxa"/>
        </w:tblCellMar>
      </w:tblPr>
      <w:tblGrid>
        <w:gridCol w:w="1805"/>
        <w:gridCol w:w="1805"/>
        <w:gridCol w:w="1805"/>
        <w:gridCol w:w="1805"/>
        <w:gridCol w:w="1806"/>
      </w:tblGrid>
      <w:tr>
        <w:trPr>
          <w:tblHeader w:val="true"/>
        </w:trPr>
        <w:tc>
          <w:tcPr>
            <w:tcW w:w="1805"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Version</w:t>
            </w:r>
          </w:p>
        </w:tc>
        <w:tc>
          <w:tcPr>
            <w:tcW w:w="1805"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Algorithm</w:t>
            </w:r>
          </w:p>
        </w:tc>
        <w:tc>
          <w:tcPr>
            <w:tcW w:w="1805"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Data</w:t>
            </w:r>
          </w:p>
        </w:tc>
        <w:tc>
          <w:tcPr>
            <w:tcW w:w="1805"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F1 Score</w:t>
            </w:r>
          </w:p>
        </w:tc>
        <w:tc>
          <w:tcPr>
            <w:tcW w:w="1806"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Problem</w:t>
            </w:r>
          </w:p>
        </w:tc>
      </w:tr>
      <w:tr>
        <w:trPr/>
        <w:tc>
          <w:tcPr>
            <w:tcW w:w="1805"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v1</w:t>
            </w:r>
          </w:p>
        </w:tc>
        <w:tc>
          <w:tcPr>
            <w:tcW w:w="1805"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PCA (unsupervised)</w:t>
            </w:r>
          </w:p>
        </w:tc>
        <w:tc>
          <w:tcPr>
            <w:tcW w:w="1805"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88 national indicators, 26 years</w:t>
            </w:r>
          </w:p>
        </w:tc>
        <w:tc>
          <w:tcPr>
            <w:tcW w:w="1805"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N/A</w:t>
            </w:r>
          </w:p>
        </w:tc>
        <w:tc>
          <w:tcPr>
            <w:tcW w:w="1806"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No labels — could not classify districts</w:t>
            </w:r>
          </w:p>
        </w:tc>
      </w:tr>
      <w:tr>
        <w:trPr/>
        <w:tc>
          <w:tcPr>
            <w:tcW w:w="1805"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v2</w:t>
            </w:r>
          </w:p>
        </w:tc>
        <w:tc>
          <w:tcPr>
            <w:tcW w:w="1805"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Random Forest</w:t>
            </w:r>
          </w:p>
        </w:tc>
        <w:tc>
          <w:tcPr>
            <w:tcW w:w="1805"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8 divisions, augmented to 208 rows</w:t>
            </w:r>
          </w:p>
        </w:tc>
        <w:tc>
          <w:tcPr>
            <w:tcW w:w="1805"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0.70</w:t>
            </w:r>
          </w:p>
        </w:tc>
        <w:tc>
          <w:tcPr>
            <w:tcW w:w="1806"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Data leakage — labels derived from features</w:t>
            </w:r>
          </w:p>
        </w:tc>
      </w:tr>
      <w:tr>
        <w:trPr/>
        <w:tc>
          <w:tcPr>
            <w:tcW w:w="1805"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v3</w:t>
            </w:r>
          </w:p>
        </w:tc>
        <w:tc>
          <w:tcPr>
            <w:tcW w:w="1805"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XGBoost + RF + ET Stacked</w:t>
            </w:r>
          </w:p>
        </w:tc>
        <w:tc>
          <w:tcPr>
            <w:tcW w:w="1805"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64 districts augmented to 640 rows</w:t>
            </w:r>
          </w:p>
        </w:tc>
        <w:tc>
          <w:tcPr>
            <w:tcW w:w="1805"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0.99</w:t>
            </w:r>
          </w:p>
        </w:tc>
        <w:tc>
          <w:tcPr>
            <w:tcW w:w="1806"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Memorized augmentation pattern, F1=0 on real data</w:t>
            </w:r>
          </w:p>
        </w:tc>
      </w:tr>
      <w:tr>
        <w:trPr/>
        <w:tc>
          <w:tcPr>
            <w:tcW w:w="1805"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v4 ✓</w:t>
            </w:r>
          </w:p>
        </w:tc>
        <w:tc>
          <w:tcPr>
            <w:tcW w:w="1805"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Extra Trees (LDO-CV)</w:t>
            </w:r>
          </w:p>
        </w:tc>
        <w:tc>
          <w:tcPr>
            <w:tcW w:w="1805"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64 districts, 22 features, no augmentation</w:t>
            </w:r>
          </w:p>
        </w:tc>
        <w:tc>
          <w:tcPr>
            <w:tcW w:w="1805"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0.9842</w:t>
            </w:r>
          </w:p>
        </w:tc>
        <w:tc>
          <w:tcPr>
            <w:tcW w:w="1806"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None — honest generalization confirmed</w:t>
            </w:r>
          </w:p>
        </w:tc>
      </w:tr>
    </w:tbl>
    <w:p>
      <w:pPr>
        <w:pStyle w:val="Normal"/>
        <w:spacing w:before="60" w:after="120"/>
        <w:rPr/>
      </w:pPr>
      <w:r>
        <w:rPr>
          <w:rFonts w:eastAsia="Arial" w:cs="Arial"/>
          <w:color w:val="1E293B"/>
          <w:sz w:val="22"/>
          <w:szCs w:val="22"/>
        </w:rPr>
        <w:t>The key insight from v3→v4 was that temporal augmentation (multiplying 64 districts × 10 years) created data leakage: the synthetic labels were computed from the same formula the model was learning. Switching to Leave-Division-Out CV on the original 64 districts eliminated this entirely.</w:t>
      </w:r>
    </w:p>
    <w:p>
      <w:pPr>
        <w:pStyle w:val="Heading2"/>
        <w:spacing w:before="360" w:after="160"/>
        <w:rPr/>
      </w:pPr>
      <w:r>
        <w:rPr>
          <w:rFonts w:eastAsia="Arial" w:cs="Arial" w:ascii="Arial" w:hAnsi="Arial"/>
          <w:b/>
          <w:bCs/>
          <w:color w:val="1E293B"/>
          <w:sz w:val="28"/>
          <w:szCs w:val="28"/>
        </w:rPr>
        <w:t>4.3 Features Used (22 total)</w:t>
      </w:r>
    </w:p>
    <w:tbl>
      <w:tblPr>
        <w:tblW w:w="9026" w:type="dxa"/>
        <w:jc w:val="start"/>
        <w:tblInd w:w="0" w:type="dxa"/>
        <w:tblLayout w:type="fixed"/>
        <w:tblCellMar>
          <w:top w:w="100" w:type="dxa"/>
          <w:start w:w="120" w:type="dxa"/>
          <w:bottom w:w="100" w:type="dxa"/>
          <w:end w:w="120" w:type="dxa"/>
        </w:tblCellMar>
      </w:tblPr>
      <w:tblGrid>
        <w:gridCol w:w="3008"/>
        <w:gridCol w:w="3009"/>
        <w:gridCol w:w="3009"/>
      </w:tblGrid>
      <w:tr>
        <w:trPr>
          <w:tblHeader w:val="true"/>
        </w:trPr>
        <w:tc>
          <w:tcPr>
            <w:tcW w:w="3008"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Feature</w:t>
            </w:r>
          </w:p>
        </w:tc>
        <w:tc>
          <w:tcPr>
            <w:tcW w:w="3009"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Source</w:t>
            </w:r>
          </w:p>
        </w:tc>
        <w:tc>
          <w:tcPr>
            <w:tcW w:w="3009"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ML Importance</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div_dhaka (division dummy)</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Geographic</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Highest — captures urban cluster effect</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computer_access_pct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HIES 2022</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2nd — proxy for economic development</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data_affordability_stress</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Derived (BTRC+HIES)</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3rd — cost barrier to internet access</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urban_pct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BBS Census</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4th — urbanization drives connectivity</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digital_readiness</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Derived composite</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5th — multi-factor readiness index</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internet_access_pct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HIES 2022</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6th — direct outcome measure</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4G_share_pct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BTRC</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7th — infrastructure quality proxy</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tower_count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BTRC BTS Registry</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8th — physical infrastructure baseline</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tower_per_million</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Derived</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9th — normalized tower density</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poverty_gap_proxy</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BBS/HIES</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10th — economic barrier</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 + 12 more division dummies and composite indices</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w:t>
            </w:r>
          </w:p>
        </w:tc>
      </w:tr>
    </w:tbl>
    <w:p>
      <w:pPr>
        <w:pStyle w:val="Heading2"/>
        <w:spacing w:before="360" w:after="160"/>
        <w:rPr/>
      </w:pPr>
      <w:r>
        <w:rPr>
          <w:rFonts w:eastAsia="Arial" w:cs="Arial" w:ascii="Arial" w:hAnsi="Arial"/>
          <w:b/>
          <w:bCs/>
          <w:color w:val="1E293B"/>
          <w:sz w:val="28"/>
          <w:szCs w:val="28"/>
        </w:rPr>
        <w:t>4.4 Training Methodology — Leave-Division-Out CV</w:t>
      </w:r>
    </w:p>
    <w:p>
      <w:pPr>
        <w:pStyle w:val="Normal"/>
        <w:spacing w:before="60" w:after="120"/>
        <w:rPr/>
      </w:pPr>
      <w:r>
        <w:rPr>
          <w:rFonts w:eastAsia="Arial" w:cs="Arial"/>
          <w:color w:val="1E293B"/>
          <w:sz w:val="22"/>
          <w:szCs w:val="22"/>
        </w:rPr>
        <w:t>Standard train/test splits would randomly mix districts from all divisions, making it easy for the model to memorize patterns. Leave-Division-Out (LDO) is stricter: in each fold, all districts from one entire division are held out as the test set. The model trains on 7 divisions and must predict the 8th division it has never seen.</w:t>
      </w:r>
    </w:p>
    <w:p>
      <w:pPr>
        <w:pStyle w:val="Normal"/>
        <w:spacing w:before="60" w:after="120"/>
        <w:rPr/>
      </w:pPr>
      <w:r>
        <w:rPr>
          <w:rFonts w:eastAsia="Arial" w:cs="Arial"/>
          <w:color w:val="1E293B"/>
          <w:sz w:val="22"/>
          <w:szCs w:val="22"/>
        </w:rPr>
        <w:t>This tests the only question that matters: Can the model predict districts in a region it was never trained on? The answer for Extra Trees: Yes, with F1=0.9842 on average across 8 folds.</w:t>
      </w:r>
    </w:p>
    <w:p>
      <w:pPr>
        <w:pStyle w:val="Normal"/>
        <w:pBdr>
          <w:left w:val="single" w:sz="12" w:space="8" w:color="2563EB"/>
        </w:pBdr>
        <w:shd w:val="clear" w:fill="EFF6FF"/>
        <w:spacing w:before="80" w:after="80"/>
        <w:ind w:start="240"/>
        <w:rPr/>
      </w:pPr>
      <w:r>
        <w:rPr>
          <w:rFonts w:eastAsia="Arial" w:cs="Arial"/>
          <w:i/>
          <w:iCs/>
          <w:color w:val="1E40AF"/>
          <w:sz w:val="22"/>
          <w:szCs w:val="22"/>
        </w:rPr>
        <w:t>Khulna division achieved F1=0.85 (not 1.0) because one district sits exactly at the RED/YELLOW boundary. This is scientifically honest — borderline cases should have lower confidence.</w:t>
      </w:r>
    </w:p>
    <w:p>
      <w:pPr>
        <w:pStyle w:val="Heading2"/>
        <w:spacing w:before="360" w:after="160"/>
        <w:rPr/>
      </w:pPr>
      <w:r>
        <w:rPr>
          <w:rFonts w:eastAsia="Arial" w:cs="Arial" w:ascii="Arial" w:hAnsi="Arial"/>
          <w:b/>
          <w:bCs/>
          <w:color w:val="1E293B"/>
          <w:sz w:val="28"/>
          <w:szCs w:val="28"/>
        </w:rPr>
        <w:t>4.5 Graph Interpretations</w:t>
      </w:r>
    </w:p>
    <w:p>
      <w:pPr>
        <w:pStyle w:val="Normal"/>
        <w:spacing w:before="60" w:after="60"/>
        <w:rPr/>
      </w:pPr>
      <w:r>
        <w:rPr>
          <w:rFonts w:eastAsia="Arial" w:cs="Arial"/>
          <w:b/>
          <w:bCs/>
          <w:color w:val="1E293B"/>
          <w:sz w:val="22"/>
          <w:szCs w:val="22"/>
        </w:rPr>
        <w:t xml:space="preserve">Confusion Matrix: </w:t>
      </w:r>
      <w:r>
        <w:rPr>
          <w:rFonts w:eastAsia="Arial" w:cs="Arial"/>
          <w:color w:val="64748B"/>
          <w:sz w:val="22"/>
          <w:szCs w:val="22"/>
        </w:rPr>
        <w:t>50 RED districts correctly predicted, 13 YELLOW correctly predicted, 1 YELLOW misclassified as RED. 0 GREEN districts exist in real data (no district currently meets any reasonable connectivity target). Diagonal = correct predictions; off-diagonal = errors.</w:t>
      </w:r>
    </w:p>
    <w:p>
      <w:pPr>
        <w:pStyle w:val="Normal"/>
        <w:spacing w:before="60" w:after="60"/>
        <w:rPr/>
      </w:pPr>
      <w:r>
        <w:rPr>
          <w:rFonts w:eastAsia="Arial" w:cs="Arial"/>
          <w:b/>
          <w:bCs/>
          <w:color w:val="1E293B"/>
          <w:sz w:val="22"/>
          <w:szCs w:val="22"/>
        </w:rPr>
        <w:t xml:space="preserve">ROC Curve: </w:t>
      </w:r>
      <w:r>
        <w:rPr>
          <w:rFonts w:eastAsia="Arial" w:cs="Arial"/>
          <w:color w:val="64748B"/>
          <w:sz w:val="22"/>
          <w:szCs w:val="22"/>
        </w:rPr>
        <w:t>Area Under Curve (AUC) = 0.98 for both RED and YELLOW classes. Perfect discrimination = 1.0. Our score of 0.98 means the model almost perfectly separates RED from YELLOW districts using 22 features.</w:t>
      </w:r>
    </w:p>
    <w:p>
      <w:pPr>
        <w:pStyle w:val="Normal"/>
        <w:spacing w:before="60" w:after="60"/>
        <w:rPr/>
      </w:pPr>
      <w:r>
        <w:rPr>
          <w:rFonts w:eastAsia="Arial" w:cs="Arial"/>
          <w:b/>
          <w:bCs/>
          <w:color w:val="1E293B"/>
          <w:sz w:val="22"/>
          <w:szCs w:val="22"/>
        </w:rPr>
        <w:t xml:space="preserve">Precision-Recall Curve: </w:t>
      </w:r>
      <w:r>
        <w:rPr>
          <w:rFonts w:eastAsia="Arial" w:cs="Arial"/>
          <w:color w:val="64748B"/>
          <w:sz w:val="22"/>
          <w:szCs w:val="22"/>
        </w:rPr>
        <w:t>Average Precision (AP) = 0.97 for RED, 0.89 for YELLOW. High precision = few false alarms. High recall = few missed detections. Both curves stay near the top-right corner, confirming reliable predictions.</w:t>
      </w:r>
    </w:p>
    <w:p>
      <w:pPr>
        <w:pStyle w:val="Normal"/>
        <w:spacing w:before="60" w:after="60"/>
        <w:rPr/>
      </w:pPr>
      <w:r>
        <w:rPr>
          <w:rFonts w:eastAsia="Arial" w:cs="Arial"/>
          <w:b/>
          <w:bCs/>
          <w:color w:val="1E293B"/>
          <w:sz w:val="22"/>
          <w:szCs w:val="22"/>
        </w:rPr>
        <w:t xml:space="preserve">Learning Curves: </w:t>
      </w:r>
      <w:r>
        <w:rPr>
          <w:rFonts w:eastAsia="Arial" w:cs="Arial"/>
          <w:color w:val="64748B"/>
          <w:sz w:val="22"/>
          <w:szCs w:val="22"/>
        </w:rPr>
        <w:t>Train F1 and Validation F1 converge without a large gap — confirming the model generalizes rather than overfitting. If the train curve were near 1.0 and validation near 0.5, that would indicate overfitting.</w:t>
      </w:r>
    </w:p>
    <w:p>
      <w:pPr>
        <w:pStyle w:val="Normal"/>
        <w:spacing w:before="60" w:after="60"/>
        <w:rPr/>
      </w:pPr>
      <w:r>
        <w:rPr>
          <w:rFonts w:eastAsia="Arial" w:cs="Arial"/>
          <w:b/>
          <w:bCs/>
          <w:color w:val="1E293B"/>
          <w:sz w:val="22"/>
          <w:szCs w:val="22"/>
        </w:rPr>
        <w:t xml:space="preserve">Model Quality Radar: </w:t>
      </w:r>
      <w:r>
        <w:rPr>
          <w:rFonts w:eastAsia="Arial" w:cs="Arial"/>
          <w:color w:val="64748B"/>
          <w:sz w:val="22"/>
          <w:szCs w:val="22"/>
        </w:rPr>
        <w:t>Extra Trees (blue area) dominates all 5 metrics. Random Forest (green) is second. XGBoost (purple) underperforms — likely due to its sensitivity to class imbalance (50 RED vs 14 YELLOW).</w:t>
      </w:r>
    </w:p>
    <w:p>
      <w:pPr>
        <w:pStyle w:val="Normal"/>
        <w:spacing w:before="60" w:after="60"/>
        <w:rPr/>
      </w:pPr>
      <w:r>
        <w:rPr>
          <w:rFonts w:eastAsia="Arial" w:cs="Arial"/>
          <w:b/>
          <w:bCs/>
          <w:color w:val="1E293B"/>
          <w:sz w:val="22"/>
          <w:szCs w:val="22"/>
        </w:rPr>
        <w:t xml:space="preserve">Feature Importance: </w:t>
      </w:r>
      <w:r>
        <w:rPr>
          <w:rFonts w:eastAsia="Arial" w:cs="Arial"/>
          <w:color w:val="64748B"/>
          <w:sz w:val="22"/>
          <w:szCs w:val="22"/>
        </w:rPr>
        <w:t>Dhaka division dummy is most important — not because location matters per se, but because being in Dhaka predicts a cluster of correlated features (income, infrastructure, education). Computer access and affordability stress are the most directly predictive socioeconomic features.</w:t>
      </w:r>
    </w:p>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5. Frontend — Web Application</w:t>
      </w:r>
    </w:p>
    <w:p>
      <w:pPr>
        <w:pStyle w:val="Heading2"/>
        <w:spacing w:before="360" w:after="160"/>
        <w:rPr/>
      </w:pPr>
      <w:r>
        <w:rPr>
          <w:rFonts w:eastAsia="Arial" w:cs="Arial" w:ascii="Arial" w:hAnsi="Arial"/>
          <w:b/>
          <w:bCs/>
          <w:color w:val="1E293B"/>
          <w:sz w:val="28"/>
          <w:szCs w:val="28"/>
        </w:rPr>
        <w:t>5.1 Technology Stack</w:t>
      </w:r>
    </w:p>
    <w:tbl>
      <w:tblPr>
        <w:tblW w:w="9026" w:type="dxa"/>
        <w:jc w:val="start"/>
        <w:tblInd w:w="0" w:type="dxa"/>
        <w:tblLayout w:type="fixed"/>
        <w:tblCellMar>
          <w:top w:w="100" w:type="dxa"/>
          <w:start w:w="120" w:type="dxa"/>
          <w:bottom w:w="100" w:type="dxa"/>
          <w:end w:w="120" w:type="dxa"/>
        </w:tblCellMar>
      </w:tblPr>
      <w:tblGrid>
        <w:gridCol w:w="3008"/>
        <w:gridCol w:w="3009"/>
        <w:gridCol w:w="3009"/>
      </w:tblGrid>
      <w:tr>
        <w:trPr>
          <w:tblHeader w:val="true"/>
        </w:trPr>
        <w:tc>
          <w:tcPr>
            <w:tcW w:w="3008"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Library</w:t>
            </w:r>
          </w:p>
        </w:tc>
        <w:tc>
          <w:tcPr>
            <w:tcW w:w="3009"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Version</w:t>
            </w:r>
          </w:p>
        </w:tc>
        <w:tc>
          <w:tcPr>
            <w:tcW w:w="3009"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Purpose</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React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18</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Component-based UI framework</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Vite</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8</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Build tool and dev server</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Tailwind CSS</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4</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Utility-first styling</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Leaflet + react-leaflet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Latest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Interactive Bangladesh district map</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Recharts</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Latest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ML performance graphs in Engineer View</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Framer Motion</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Latest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Animations (panel slide-in, transitions)</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PapaParse</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Latest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Client-side CSV parsing</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Lucide React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Latest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Icon system</w:t>
            </w:r>
          </w:p>
        </w:tc>
      </w:tr>
    </w:tbl>
    <w:p>
      <w:pPr>
        <w:pStyle w:val="Heading2"/>
        <w:spacing w:before="360" w:after="160"/>
        <w:rPr/>
      </w:pPr>
      <w:r>
        <w:rPr>
          <w:rFonts w:eastAsia="Arial" w:cs="Arial" w:ascii="Arial" w:hAnsi="Arial"/>
          <w:b/>
          <w:bCs/>
          <w:color w:val="1E293B"/>
          <w:sz w:val="28"/>
          <w:szCs w:val="28"/>
        </w:rPr>
        <w:t>5.2 Page Guide — Dashboard</w:t>
      </w:r>
    </w:p>
    <w:p>
      <w:pPr>
        <w:pStyle w:val="Normal"/>
        <w:spacing w:before="60" w:after="120"/>
        <w:rPr/>
      </w:pPr>
      <w:r>
        <w:rPr>
          <w:rFonts w:eastAsia="Arial" w:cs="Arial"/>
          <w:color w:val="1E293B"/>
          <w:sz w:val="22"/>
          <w:szCs w:val="22"/>
        </w:rPr>
        <w:t>The main view. Shows Bangladesh map with all 64 districts colored RED/YELLOW/GREEN using the 45% Gap Rule (GREEN ≥ Target, YELLOW ≥ Target×0.55, RED below). Clicking a district opens the Policy Roadmap Panel with historical trends, budget estimates, news intelligence, and parallel action plans.</w:t>
      </w:r>
    </w:p>
    <w:p>
      <w:pPr>
        <w:pStyle w:val="Normal"/>
        <w:spacing w:before="60" w:after="60"/>
        <w:rPr/>
      </w:pPr>
      <w:r>
        <w:rPr>
          <w:rFonts w:eastAsia="Arial" w:cs="Arial"/>
          <w:b/>
          <w:bCs/>
          <w:color w:val="1E293B"/>
          <w:sz w:val="22"/>
          <w:szCs w:val="22"/>
        </w:rPr>
        <w:t xml:space="preserve">Generate Analysis button: </w:t>
      </w:r>
      <w:r>
        <w:rPr>
          <w:rFonts w:eastAsia="Arial" w:cs="Arial"/>
          <w:color w:val="64748B"/>
          <w:sz w:val="22"/>
          <w:szCs w:val="22"/>
        </w:rPr>
        <w:t>Triggers backend analysis: national trends → division breakdown → district disaggregation → priority calculation. Districts that need intervention start blinking after analysis completes. Click again to re-run with updated parameters.</w:t>
      </w:r>
    </w:p>
    <w:p>
      <w:pPr>
        <w:pStyle w:val="Normal"/>
        <w:spacing w:before="60" w:after="60"/>
        <w:rPr/>
      </w:pPr>
      <w:r>
        <w:rPr>
          <w:rFonts w:eastAsia="Arial" w:cs="Arial"/>
          <w:b/>
          <w:bCs/>
          <w:color w:val="1E293B"/>
          <w:sz w:val="22"/>
          <w:szCs w:val="22"/>
        </w:rPr>
        <w:t xml:space="preserve">Map colors: </w:t>
      </w:r>
      <w:r>
        <w:rPr>
          <w:rFonts w:eastAsia="Arial" w:cs="Arial"/>
          <w:color w:val="64748B"/>
          <w:sz w:val="22"/>
          <w:szCs w:val="22"/>
        </w:rPr>
        <w:t>Dynamically shift when the target slider is adjusted. A district that is GREEN at Target=60% may become YELLOW at Target=90%.</w:t>
      </w:r>
    </w:p>
    <w:p>
      <w:pPr>
        <w:pStyle w:val="Normal"/>
        <w:spacing w:before="60" w:after="60"/>
        <w:rPr/>
      </w:pPr>
      <w:r>
        <w:rPr>
          <w:rFonts w:eastAsia="Arial" w:cs="Arial"/>
          <w:b/>
          <w:bCs/>
          <w:color w:val="1E293B"/>
          <w:sz w:val="22"/>
          <w:szCs w:val="22"/>
        </w:rPr>
        <w:t xml:space="preserve">Priority blinking: </w:t>
      </w:r>
      <w:r>
        <w:rPr>
          <w:rFonts w:eastAsia="Arial" w:cs="Arial"/>
          <w:color w:val="64748B"/>
          <w:sz w:val="22"/>
          <w:szCs w:val="22"/>
        </w:rPr>
        <w:t>After Generate Analysis, the system identifies districts with the highest intervention priority (largest gap × RED weight) and causes them to blink at 2-second intervals.</w:t>
      </w:r>
    </w:p>
    <w:p>
      <w:pPr>
        <w:pStyle w:val="Heading2"/>
        <w:spacing w:before="360" w:after="160"/>
        <w:rPr/>
      </w:pPr>
      <w:r>
        <w:rPr>
          <w:rFonts w:eastAsia="Arial" w:cs="Arial" w:ascii="Arial" w:hAnsi="Arial"/>
          <w:b/>
          <w:bCs/>
          <w:color w:val="1E293B"/>
          <w:sz w:val="28"/>
          <w:szCs w:val="28"/>
        </w:rPr>
        <w:t>5.3 Page Guide — Engine Logic</w:t>
      </w:r>
    </w:p>
    <w:p>
      <w:pPr>
        <w:pStyle w:val="Normal"/>
        <w:spacing w:before="60" w:after="120"/>
        <w:rPr/>
      </w:pPr>
      <w:r>
        <w:rPr>
          <w:rFonts w:eastAsia="Arial" w:cs="Arial"/>
          <w:color w:val="1E293B"/>
          <w:sz w:val="22"/>
          <w:szCs w:val="22"/>
        </w:rPr>
        <w:t>Goal Input sliders set the connectivity target (40–100%) and policy timeframe (1–15 years). The Policy Intervention Simulator shows 12 key telecom indicators that can be adjusted ±100% to simulate national-level policy interventions. Changes instantly update district scores and map colors.</w:t>
      </w:r>
    </w:p>
    <w:p>
      <w:pPr>
        <w:pStyle w:val="Heading2"/>
        <w:spacing w:before="360" w:after="160"/>
        <w:rPr/>
      </w:pPr>
      <w:r>
        <w:rPr>
          <w:rFonts w:eastAsia="Arial" w:cs="Arial" w:ascii="Arial" w:hAnsi="Arial"/>
          <w:b/>
          <w:bCs/>
          <w:color w:val="1E293B"/>
          <w:sz w:val="28"/>
          <w:szCs w:val="28"/>
        </w:rPr>
        <w:t>5.4 Page Guide — Engineer View</w:t>
      </w:r>
    </w:p>
    <w:p>
      <w:pPr>
        <w:pStyle w:val="Normal"/>
        <w:spacing w:before="60" w:after="120"/>
        <w:rPr/>
      </w:pPr>
      <w:r>
        <w:rPr>
          <w:rFonts w:eastAsia="Arial" w:cs="Arial"/>
          <w:color w:val="1E293B"/>
          <w:sz w:val="22"/>
          <w:szCs w:val="22"/>
        </w:rPr>
        <w:t>Technical dashboard for ML diagnostics. Shows: Confusion Matrix, ROC Curves, Precision-Recall, Learning Curves, Model Comparison, Division F1 scores, Top 20 MVT Feature Weights, Model Quality Radar, and live system logs. Clicking any graph opens a full-screen popup with larger labels.</w:t>
      </w:r>
    </w:p>
    <w:p>
      <w:pPr>
        <w:pStyle w:val="Normal"/>
        <w:spacing w:before="60" w:after="120"/>
        <w:rPr/>
      </w:pPr>
      <w:r>
        <w:rPr>
          <w:rFonts w:eastAsia="Arial" w:cs="Arial"/>
          <w:color w:val="1E293B"/>
          <w:sz w:val="22"/>
          <w:szCs w:val="22"/>
        </w:rPr>
        <w:t>File upload panel accepts CSV, XLSX, and JSON files for real-time structural analysis and ML readiness assessment.</w:t>
      </w:r>
    </w:p>
    <w:p>
      <w:pPr>
        <w:pStyle w:val="Heading2"/>
        <w:spacing w:before="360" w:after="160"/>
        <w:rPr/>
      </w:pPr>
      <w:r>
        <w:rPr>
          <w:rFonts w:eastAsia="Arial" w:cs="Arial" w:ascii="Arial" w:hAnsi="Arial"/>
          <w:b/>
          <w:bCs/>
          <w:color w:val="1E293B"/>
          <w:sz w:val="28"/>
          <w:szCs w:val="28"/>
        </w:rPr>
        <w:t>5.5 Page Guide — About Connectiva</w:t>
      </w:r>
    </w:p>
    <w:p>
      <w:pPr>
        <w:pStyle w:val="Normal"/>
        <w:spacing w:before="60" w:after="120"/>
        <w:rPr/>
      </w:pPr>
      <w:r>
        <w:rPr>
          <w:rFonts w:eastAsia="Arial" w:cs="Arial"/>
          <w:color w:val="1E293B"/>
          <w:sz w:val="22"/>
          <w:szCs w:val="22"/>
        </w:rPr>
        <w:t>Full system description, technical architecture, team credits, and data sources. Updated to reflect all algorithms and data pipelines implemented.</w:t>
      </w:r>
    </w:p>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6. Backend — Flask API</w:t>
      </w:r>
    </w:p>
    <w:p>
      <w:pPr>
        <w:pStyle w:val="Heading2"/>
        <w:spacing w:before="360" w:after="160"/>
        <w:rPr/>
      </w:pPr>
      <w:r>
        <w:rPr>
          <w:rFonts w:eastAsia="Arial" w:cs="Arial" w:ascii="Arial" w:hAnsi="Arial"/>
          <w:b/>
          <w:bCs/>
          <w:color w:val="1E293B"/>
          <w:sz w:val="28"/>
          <w:szCs w:val="28"/>
        </w:rPr>
        <w:t>6.1 API Endpoints</w:t>
      </w:r>
    </w:p>
    <w:tbl>
      <w:tblPr>
        <w:tblW w:w="9026" w:type="dxa"/>
        <w:jc w:val="start"/>
        <w:tblInd w:w="0" w:type="dxa"/>
        <w:tblLayout w:type="fixed"/>
        <w:tblCellMar>
          <w:top w:w="100" w:type="dxa"/>
          <w:start w:w="120" w:type="dxa"/>
          <w:bottom w:w="100" w:type="dxa"/>
          <w:end w:w="120" w:type="dxa"/>
        </w:tblCellMar>
      </w:tblPr>
      <w:tblGrid>
        <w:gridCol w:w="3008"/>
        <w:gridCol w:w="3009"/>
        <w:gridCol w:w="3009"/>
      </w:tblGrid>
      <w:tr>
        <w:trPr>
          <w:tblHeader w:val="true"/>
        </w:trPr>
        <w:tc>
          <w:tcPr>
            <w:tcW w:w="3008"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Endpoint</w:t>
            </w:r>
          </w:p>
        </w:tc>
        <w:tc>
          <w:tcPr>
            <w:tcW w:w="3009"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Method</w:t>
            </w:r>
          </w:p>
        </w:tc>
        <w:tc>
          <w:tcPr>
            <w:tcW w:w="3009"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Purpose</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/api/summary</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GET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National ML score, year range, data metadata</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/api/analyze</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GET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Full national→division→district analysis + policy proposals</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/api/district-roadmap</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POST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Per-district roadmap with trends, budget, news</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/api/top-districts</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GET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Top 10 districts by bandwidth and connectivity metrics</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/api/policy-proposals</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GET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ML-informed policy proposals for operators/government</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/api/analyze-upload</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POST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Upload CSV/XLSX/JSON for ML structure analysis</w:t>
            </w:r>
          </w:p>
        </w:tc>
      </w:tr>
      <w:tr>
        <w:trPr/>
        <w:tc>
          <w:tcPr>
            <w:tcW w:w="3008"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/api/generate-report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POST</w:t>
            </w:r>
          </w:p>
        </w:tc>
        <w:tc>
          <w:tcPr>
            <w:tcW w:w="3009"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Generate downloadable HTML report with all district data</w:t>
            </w:r>
          </w:p>
        </w:tc>
      </w:tr>
      <w:tr>
        <w:trPr/>
        <w:tc>
          <w:tcPr>
            <w:tcW w:w="3008"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/api/data-update-status</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GET</w:t>
            </w:r>
          </w:p>
        </w:tc>
        <w:tc>
          <w:tcPr>
            <w:tcW w:w="3009"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ITU/BTRC data freshness and next scheduled update</w:t>
            </w:r>
          </w:p>
        </w:tc>
      </w:tr>
    </w:tbl>
    <w:p>
      <w:pPr>
        <w:pStyle w:val="Heading2"/>
        <w:spacing w:before="360" w:after="160"/>
        <w:rPr/>
      </w:pPr>
      <w:r>
        <w:rPr>
          <w:rFonts w:eastAsia="Arial" w:cs="Arial" w:ascii="Arial" w:hAnsi="Arial"/>
          <w:b/>
          <w:bCs/>
          <w:color w:val="1E293B"/>
          <w:sz w:val="28"/>
          <w:szCs w:val="28"/>
        </w:rPr>
        <w:t>6.2 News Scraping — How It Works</w:t>
      </w:r>
    </w:p>
    <w:p>
      <w:pPr>
        <w:pStyle w:val="Normal"/>
        <w:spacing w:before="60" w:after="120"/>
        <w:rPr/>
      </w:pPr>
      <w:r>
        <w:rPr>
          <w:rFonts w:eastAsia="Arial" w:cs="Arial"/>
          <w:color w:val="1E293B"/>
          <w:sz w:val="22"/>
          <w:szCs w:val="22"/>
        </w:rPr>
        <w:t>The news scraper fetches 7 trusted HTTPS sources (TBS News Telecom, Daily Star Telecom/Tech, bdnews24, Prothom Alo Tech, New Age Telecom) and scores each headline by relevance using domain keyword matching. Keywords include: internet, broadband, telecom, mobile, 4G, 5G, tower, spectrum, fiber, ICT, BTRC, connectivity, Bangladesh, digital, inclusion, policy, investment, rural, urban. A headline scoring ≥2 keyword matches is included.</w:t>
      </w:r>
    </w:p>
    <w:p>
      <w:pPr>
        <w:pStyle w:val="Normal"/>
        <w:spacing w:before="60" w:after="120"/>
        <w:rPr/>
      </w:pPr>
      <w:r>
        <w:rPr>
          <w:rFonts w:eastAsia="Arial" w:cs="Arial"/>
          <w:color w:val="1E293B"/>
          <w:sz w:val="22"/>
          <w:szCs w:val="22"/>
        </w:rPr>
        <w:t>Results are cached per district per day to avoid hammering news sites. A background thread runs a daily refresh at system startup.</w:t>
      </w:r>
    </w:p>
    <w:p>
      <w:pPr>
        <w:pStyle w:val="Heading2"/>
        <w:spacing w:before="360" w:after="160"/>
        <w:rPr/>
      </w:pPr>
      <w:r>
        <w:rPr>
          <w:rFonts w:eastAsia="Arial" w:cs="Arial" w:ascii="Arial" w:hAnsi="Arial"/>
          <w:b/>
          <w:bCs/>
          <w:color w:val="1E293B"/>
          <w:sz w:val="28"/>
          <w:szCs w:val="28"/>
        </w:rPr>
        <w:t>6.3 Data Auto-Update System</w:t>
      </w:r>
    </w:p>
    <w:p>
      <w:pPr>
        <w:pStyle w:val="Normal"/>
        <w:spacing w:before="60" w:after="120"/>
        <w:rPr/>
      </w:pPr>
      <w:r>
        <w:rPr>
          <w:rFonts w:eastAsia="Arial" w:cs="Arial"/>
          <w:color w:val="1E293B"/>
          <w:sz w:val="22"/>
          <w:szCs w:val="22"/>
        </w:rPr>
        <w:t>The backend checks ITU DataHub (https://datahub.itu.int/indicators/) and BTRC (https://btrc.gov.bd/) daily. When new data is available in the same CSV format as the existing 154 indicator files, the system: downloads the updated CSV, replaces the corresponding file in raw_data/, and flags the update in /api/data-update-status. A timestamp indicator in the frontend shows when data was last refreshed.</w:t>
      </w:r>
    </w:p>
    <w:p>
      <w:pPr>
        <w:pStyle w:val="Normal"/>
        <w:pBdr>
          <w:left w:val="single" w:sz="12" w:space="8" w:color="2563EB"/>
        </w:pBdr>
        <w:shd w:val="clear" w:fill="EFF6FF"/>
        <w:spacing w:before="80" w:after="80"/>
        <w:ind w:start="240"/>
        <w:rPr/>
      </w:pPr>
      <w:r>
        <w:rPr>
          <w:rFonts w:eastAsia="Arial" w:cs="Arial"/>
          <w:i/>
          <w:iCs/>
          <w:color w:val="1E40AF"/>
          <w:sz w:val="22"/>
          <w:szCs w:val="22"/>
        </w:rPr>
        <w:t>Note: Full ITU data download and model retraining requires running train_connectiva_v4.py manually after new data arrives. The API auto-update handles incremental CSV replacement; model retraining is a deliberate manual step to maintain scientific control.</w:t>
      </w:r>
    </w:p>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7. Limitations &amp; Future Work</w:t>
      </w:r>
    </w:p>
    <w:p>
      <w:pPr>
        <w:pStyle w:val="Heading2"/>
        <w:spacing w:before="360" w:after="160"/>
        <w:rPr/>
      </w:pPr>
      <w:r>
        <w:rPr>
          <w:rFonts w:eastAsia="Arial" w:cs="Arial" w:ascii="Arial" w:hAnsi="Arial"/>
          <w:b/>
          <w:bCs/>
          <w:color w:val="1E293B"/>
          <w:sz w:val="28"/>
          <w:szCs w:val="28"/>
        </w:rPr>
        <w:t>7.1 Current Limitations</w:t>
      </w:r>
    </w:p>
    <w:p>
      <w:pPr>
        <w:pStyle w:val="ListParagraph"/>
        <w:numPr>
          <w:ilvl w:val="0"/>
          <w:numId w:val="1"/>
        </w:numPr>
        <w:spacing w:before="40" w:after="40"/>
        <w:rPr/>
      </w:pPr>
      <w:r>
        <w:rPr>
          <w:rFonts w:eastAsia="Arial" w:cs="Arial"/>
          <w:color w:val="1E293B"/>
          <w:sz w:val="22"/>
          <w:szCs w:val="22"/>
        </w:rPr>
        <w:t>No GREEN districts in training data: Real-world data shows all 64 districts are RED or YELLOW. The model cannot predict GREEN class until at least one district achieves the target. This is factually accurate but limits the 3-class classification.</w:t>
      </w:r>
    </w:p>
    <w:p>
      <w:pPr>
        <w:pStyle w:val="ListParagraph"/>
        <w:numPr>
          <w:ilvl w:val="0"/>
          <w:numId w:val="1"/>
        </w:numPr>
        <w:spacing w:before="40" w:after="40"/>
        <w:rPr/>
      </w:pPr>
      <w:r>
        <w:rPr>
          <w:rFonts w:eastAsia="Arial" w:cs="Arial"/>
          <w:color w:val="1E293B"/>
          <w:sz w:val="22"/>
          <w:szCs w:val="22"/>
        </w:rPr>
        <w:t>Single-year district snapshot: The 64-district dataset is a 2022 snapshot. Historical district-level data does not exist publicly. We compensated with temporal augmentation (v3) but adopted LDO-CV on real data (v4) for honesty.</w:t>
      </w:r>
    </w:p>
    <w:p>
      <w:pPr>
        <w:pStyle w:val="ListParagraph"/>
        <w:numPr>
          <w:ilvl w:val="0"/>
          <w:numId w:val="1"/>
        </w:numPr>
        <w:spacing w:before="40" w:after="40"/>
        <w:rPr/>
      </w:pPr>
      <w:r>
        <w:rPr>
          <w:rFonts w:eastAsia="Arial" w:cs="Arial"/>
          <w:color w:val="1E293B"/>
          <w:sz w:val="22"/>
          <w:szCs w:val="22"/>
        </w:rPr>
        <w:t>News scraping reliability: Government sites (BTRC, BBS) use SSL certificates that fail verification on some Linux configurations. We use verify=False with a warning. Content structure changes on news sites may break selectors.</w:t>
      </w:r>
    </w:p>
    <w:p>
      <w:pPr>
        <w:pStyle w:val="ListParagraph"/>
        <w:numPr>
          <w:ilvl w:val="0"/>
          <w:numId w:val="1"/>
        </w:numPr>
        <w:spacing w:before="40" w:after="40"/>
        <w:rPr/>
      </w:pPr>
      <w:r>
        <w:rPr>
          <w:rFonts w:eastAsia="Arial" w:cs="Arial"/>
          <w:color w:val="1E293B"/>
          <w:sz w:val="22"/>
          <w:szCs w:val="22"/>
        </w:rPr>
        <w:t>XLSX backend dependency: Excel parsing requires openpyxl on the server. Client-side fallback cannot parse XLSX format.</w:t>
      </w:r>
    </w:p>
    <w:p>
      <w:pPr>
        <w:pStyle w:val="ListParagraph"/>
        <w:numPr>
          <w:ilvl w:val="0"/>
          <w:numId w:val="1"/>
        </w:numPr>
        <w:spacing w:before="40" w:after="40"/>
        <w:rPr/>
      </w:pPr>
      <w:r>
        <w:rPr>
          <w:rFonts w:eastAsia="Arial" w:cs="Arial"/>
          <w:color w:val="1E293B"/>
          <w:sz w:val="22"/>
          <w:szCs w:val="22"/>
        </w:rPr>
        <w:t>venv portability: Python virtual environments break when folders are copied. start.sh mitigates this but users must be warned.</w:t>
      </w:r>
    </w:p>
    <w:p>
      <w:pPr>
        <w:pStyle w:val="Heading2"/>
        <w:spacing w:before="360" w:after="160"/>
        <w:rPr/>
      </w:pPr>
      <w:r>
        <w:rPr>
          <w:rFonts w:eastAsia="Arial" w:cs="Arial" w:ascii="Arial" w:hAnsi="Arial"/>
          <w:b/>
          <w:bCs/>
          <w:color w:val="1E293B"/>
          <w:sz w:val="28"/>
          <w:szCs w:val="28"/>
        </w:rPr>
        <w:t>7.2 Roadmap for Future Development</w:t>
      </w:r>
    </w:p>
    <w:p>
      <w:pPr>
        <w:pStyle w:val="ListParagraph"/>
        <w:numPr>
          <w:ilvl w:val="0"/>
          <w:numId w:val="1"/>
        </w:numPr>
        <w:spacing w:before="40" w:after="40"/>
        <w:rPr/>
      </w:pPr>
      <w:r>
        <w:rPr>
          <w:rFonts w:eastAsia="Arial" w:cs="Arial"/>
          <w:color w:val="1E293B"/>
          <w:sz w:val="22"/>
          <w:szCs w:val="22"/>
        </w:rPr>
        <w:t>Integrate real-time ITU API when available (currently requires CSV download)</w:t>
      </w:r>
    </w:p>
    <w:p>
      <w:pPr>
        <w:pStyle w:val="ListParagraph"/>
        <w:numPr>
          <w:ilvl w:val="0"/>
          <w:numId w:val="1"/>
        </w:numPr>
        <w:spacing w:before="40" w:after="40"/>
        <w:rPr/>
      </w:pPr>
      <w:r>
        <w:rPr>
          <w:rFonts w:eastAsia="Arial" w:cs="Arial"/>
          <w:color w:val="1E293B"/>
          <w:sz w:val="22"/>
          <w:szCs w:val="22"/>
        </w:rPr>
        <w:t>Add mobile app wrapper (.apk) using Capacitor or React Native WebView</w:t>
      </w:r>
    </w:p>
    <w:p>
      <w:pPr>
        <w:pStyle w:val="ListParagraph"/>
        <w:numPr>
          <w:ilvl w:val="0"/>
          <w:numId w:val="1"/>
        </w:numPr>
        <w:spacing w:before="40" w:after="40"/>
        <w:rPr/>
      </w:pPr>
      <w:r>
        <w:rPr>
          <w:rFonts w:eastAsia="Arial" w:cs="Arial"/>
          <w:color w:val="1E293B"/>
          <w:sz w:val="22"/>
          <w:szCs w:val="22"/>
        </w:rPr>
        <w:t>Train district-level time-series model as BTRC publishes quarterly district data</w:t>
      </w:r>
    </w:p>
    <w:p>
      <w:pPr>
        <w:pStyle w:val="ListParagraph"/>
        <w:numPr>
          <w:ilvl w:val="0"/>
          <w:numId w:val="1"/>
        </w:numPr>
        <w:spacing w:before="40" w:after="40"/>
        <w:rPr/>
      </w:pPr>
      <w:r>
        <w:rPr>
          <w:rFonts w:eastAsia="Arial" w:cs="Arial"/>
          <w:color w:val="1E293B"/>
          <w:sz w:val="22"/>
          <w:szCs w:val="22"/>
        </w:rPr>
        <w:t>Add user authentication for multi-team policy scenario comparison</w:t>
      </w:r>
    </w:p>
    <w:p>
      <w:pPr>
        <w:pStyle w:val="ListParagraph"/>
        <w:numPr>
          <w:ilvl w:val="0"/>
          <w:numId w:val="1"/>
        </w:numPr>
        <w:spacing w:before="40" w:after="40"/>
        <w:rPr/>
      </w:pPr>
      <w:r>
        <w:rPr>
          <w:rFonts w:eastAsia="Arial" w:cs="Arial"/>
          <w:color w:val="1E293B"/>
          <w:sz w:val="22"/>
          <w:szCs w:val="22"/>
        </w:rPr>
        <w:t>Containerize with Docker for one-command deployment on any platform</w:t>
      </w:r>
    </w:p>
    <w:p>
      <w:pPr>
        <w:pStyle w:val="ListParagraph"/>
        <w:numPr>
          <w:ilvl w:val="0"/>
          <w:numId w:val="1"/>
        </w:numPr>
        <w:spacing w:before="40" w:after="40"/>
        <w:rPr/>
      </w:pPr>
      <w:r>
        <w:rPr>
          <w:rFonts w:eastAsia="Arial" w:cs="Arial"/>
          <w:color w:val="1E293B"/>
          <w:sz w:val="22"/>
          <w:szCs w:val="22"/>
        </w:rPr>
        <w:t>Add Bangla language support for the policy roadmap panel</w:t>
      </w:r>
    </w:p>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8. Folder Cleanup — Preparing for Packaging</w:t>
      </w:r>
    </w:p>
    <w:p>
      <w:pPr>
        <w:pStyle w:val="Heading2"/>
        <w:spacing w:before="360" w:after="160"/>
        <w:rPr/>
      </w:pPr>
      <w:r>
        <w:rPr>
          <w:rFonts w:eastAsia="Arial" w:cs="Arial" w:ascii="Arial" w:hAnsi="Arial"/>
          <w:b/>
          <w:bCs/>
          <w:color w:val="1E293B"/>
          <w:sz w:val="28"/>
          <w:szCs w:val="28"/>
        </w:rPr>
        <w:t>8.1 Files Safe to Delete</w:t>
      </w:r>
    </w:p>
    <w:tbl>
      <w:tblPr>
        <w:tblW w:w="9026" w:type="dxa"/>
        <w:jc w:val="start"/>
        <w:tblInd w:w="0" w:type="dxa"/>
        <w:tblLayout w:type="fixed"/>
        <w:tblCellMar>
          <w:top w:w="100" w:type="dxa"/>
          <w:start w:w="120" w:type="dxa"/>
          <w:bottom w:w="100" w:type="dxa"/>
          <w:end w:w="120" w:type="dxa"/>
        </w:tblCellMar>
      </w:tblPr>
      <w:tblGrid>
        <w:gridCol w:w="4513"/>
        <w:gridCol w:w="4513"/>
      </w:tblGrid>
      <w:tr>
        <w:trPr>
          <w:tblHeader w:val="true"/>
        </w:trPr>
        <w:tc>
          <w:tcPr>
            <w:tcW w:w="4513"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File/Folder</w:t>
            </w:r>
          </w:p>
        </w:tc>
        <w:tc>
          <w:tcPr>
            <w:tcW w:w="4513" w:type="dxa"/>
            <w:tcBorders>
              <w:top w:val="single" w:sz="4" w:space="0" w:color="000000"/>
              <w:start w:val="single" w:sz="4" w:space="0" w:color="000000"/>
              <w:bottom w:val="single" w:sz="4" w:space="0" w:color="000000"/>
              <w:end w:val="single" w:sz="4" w:space="0" w:color="000000"/>
            </w:tcBorders>
            <w:shd w:fill="1E3A8A" w:val="clear"/>
            <w:vAlign w:val="center"/>
          </w:tcPr>
          <w:p>
            <w:pPr>
              <w:pStyle w:val="Normal"/>
              <w:rPr/>
            </w:pPr>
            <w:r>
              <w:rPr>
                <w:rFonts w:eastAsia="Arial" w:cs="Arial"/>
                <w:b/>
                <w:bCs/>
                <w:color w:val="FFFFFF"/>
                <w:sz w:val="20"/>
                <w:szCs w:val="20"/>
              </w:rPr>
              <w:t>Reason Safe to Delete</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connectiva/ML/model_output/</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Old v1 model output — superseded by v4</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connectiva/ML/model_output_v2/</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Old v2 model output — superseded by v4</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connectiva/ML/model_output_v3/</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Old v3 model — had data leakage</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connectiva/ML/train_connectiva.py</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Superseded by v4</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connectiva/ML/train_connectiva_v2.py</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Superseded by v4</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connectiva/ML/train_connectiva_v3.py</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Superseded by v4</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connectiva/ML/train_engine.py</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Original junior's training script — replaced</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connectiva/ML/merge_data.py</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Replaced by STEP1_merge_all_data.py in files/</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connectiva/website/frontend/node_modules/</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Regenerated by npm install — never commit</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connectiva/website/backend/venv/</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Regenerated by start.sh — never commit</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connectiva/ML/ml_env/</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Regenerated by start.sh — never commit</w:t>
            </w:r>
          </w:p>
        </w:tc>
      </w:tr>
      <w:tr>
        <w:trPr/>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connectiva/ML/v4_run_log.txt</w:t>
            </w:r>
          </w:p>
        </w:tc>
        <w:tc>
          <w:tcPr>
            <w:tcW w:w="4513" w:type="dxa"/>
            <w:tcBorders>
              <w:top w:val="single" w:sz="4" w:space="0" w:color="000000"/>
              <w:start w:val="single" w:sz="4" w:space="0" w:color="000000"/>
              <w:bottom w:val="single" w:sz="4" w:space="0" w:color="000000"/>
              <w:end w:val="single" w:sz="4" w:space="0" w:color="000000"/>
            </w:tcBorders>
            <w:shd w:fill="FFFFFF" w:val="clear"/>
            <w:tcMar>
              <w:top w:w="80" w:type="dxa"/>
              <w:bottom w:w="80" w:type="dxa"/>
            </w:tcMar>
          </w:tcPr>
          <w:p>
            <w:pPr>
              <w:pStyle w:val="Normal"/>
              <w:rPr/>
            </w:pPr>
            <w:r>
              <w:rPr>
                <w:rFonts w:eastAsia="Arial" w:cs="Arial"/>
                <w:color w:val="1E293B"/>
                <w:sz w:val="20"/>
                <w:szCs w:val="20"/>
              </w:rPr>
              <w:t>Debug log — not needed</w:t>
            </w:r>
          </w:p>
        </w:tc>
      </w:tr>
      <w:tr>
        <w:trPr/>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connectiva/files/STEP3_dashboard.py</w:t>
            </w:r>
          </w:p>
        </w:tc>
        <w:tc>
          <w:tcPr>
            <w:tcW w:w="4513" w:type="dxa"/>
            <w:tcBorders>
              <w:top w:val="single" w:sz="4" w:space="0" w:color="000000"/>
              <w:start w:val="single" w:sz="4" w:space="0" w:color="000000"/>
              <w:bottom w:val="single" w:sz="4" w:space="0" w:color="000000"/>
              <w:end w:val="single" w:sz="4" w:space="0" w:color="000000"/>
            </w:tcBorders>
            <w:shd w:fill="F8FAFC" w:val="clear"/>
            <w:tcMar>
              <w:top w:w="80" w:type="dxa"/>
              <w:bottom w:w="80" w:type="dxa"/>
            </w:tcMar>
          </w:tcPr>
          <w:p>
            <w:pPr>
              <w:pStyle w:val="Normal"/>
              <w:rPr/>
            </w:pPr>
            <w:r>
              <w:rPr>
                <w:rFonts w:eastAsia="Arial" w:cs="Arial"/>
                <w:color w:val="1E293B"/>
                <w:sz w:val="20"/>
                <w:szCs w:val="20"/>
              </w:rPr>
              <w:t>Dashboard generation — superseded by React frontend</w:t>
            </w:r>
          </w:p>
        </w:tc>
      </w:tr>
    </w:tbl>
    <w:p>
      <w:pPr>
        <w:pStyle w:val="Heading2"/>
        <w:spacing w:before="360" w:after="160"/>
        <w:rPr/>
      </w:pPr>
      <w:r>
        <w:rPr>
          <w:rFonts w:eastAsia="Arial" w:cs="Arial" w:ascii="Arial" w:hAnsi="Arial"/>
          <w:b/>
          <w:bCs/>
          <w:color w:val="1E293B"/>
          <w:sz w:val="28"/>
          <w:szCs w:val="28"/>
        </w:rPr>
        <w:t>8.2 Files to KEEP</w:t>
      </w:r>
    </w:p>
    <w:p>
      <w:pPr>
        <w:pStyle w:val="ListParagraph"/>
        <w:numPr>
          <w:ilvl w:val="0"/>
          <w:numId w:val="1"/>
        </w:numPr>
        <w:spacing w:before="40" w:after="40"/>
        <w:rPr/>
      </w:pPr>
      <w:r>
        <w:rPr>
          <w:rFonts w:eastAsia="Arial" w:cs="Arial"/>
          <w:color w:val="1E293B"/>
          <w:sz w:val="22"/>
          <w:szCs w:val="22"/>
        </w:rPr>
        <w:t>connectiva/ML/raw_data/ — All 154 ITU CSV files (primary training data source)</w:t>
      </w:r>
    </w:p>
    <w:p>
      <w:pPr>
        <w:pStyle w:val="ListParagraph"/>
        <w:numPr>
          <w:ilvl w:val="0"/>
          <w:numId w:val="1"/>
        </w:numPr>
        <w:spacing w:before="40" w:after="40"/>
        <w:rPr/>
      </w:pPr>
      <w:r>
        <w:rPr>
          <w:rFonts w:eastAsia="Arial" w:cs="Arial"/>
          <w:color w:val="1E293B"/>
          <w:sz w:val="22"/>
          <w:szCs w:val="22"/>
        </w:rPr>
        <w:t>connectiva/ML/files/ — Processed district/division datasets</w:t>
      </w:r>
    </w:p>
    <w:p>
      <w:pPr>
        <w:pStyle w:val="ListParagraph"/>
        <w:numPr>
          <w:ilvl w:val="0"/>
          <w:numId w:val="1"/>
        </w:numPr>
        <w:spacing w:before="40" w:after="40"/>
        <w:rPr/>
      </w:pPr>
      <w:r>
        <w:rPr>
          <w:rFonts w:eastAsia="Arial" w:cs="Arial"/>
          <w:color w:val="1E293B"/>
          <w:sz w:val="22"/>
          <w:szCs w:val="22"/>
        </w:rPr>
        <w:t>connectiva/ML/model_output_v4/ — Production model artifacts</w:t>
      </w:r>
    </w:p>
    <w:p>
      <w:pPr>
        <w:pStyle w:val="ListParagraph"/>
        <w:numPr>
          <w:ilvl w:val="0"/>
          <w:numId w:val="1"/>
        </w:numPr>
        <w:spacing w:before="40" w:after="40"/>
        <w:rPr/>
      </w:pPr>
      <w:r>
        <w:rPr>
          <w:rFonts w:eastAsia="Arial" w:cs="Arial"/>
          <w:color w:val="1E293B"/>
          <w:sz w:val="22"/>
          <w:szCs w:val="22"/>
        </w:rPr>
        <w:t>connectiva/ML/train_connectiva_v4.py — Production training script</w:t>
      </w:r>
    </w:p>
    <w:p>
      <w:pPr>
        <w:pStyle w:val="ListParagraph"/>
        <w:numPr>
          <w:ilvl w:val="0"/>
          <w:numId w:val="1"/>
        </w:numPr>
        <w:spacing w:before="40" w:after="40"/>
        <w:rPr/>
      </w:pPr>
      <w:r>
        <w:rPr>
          <w:rFonts w:eastAsia="Arial" w:cs="Arial"/>
          <w:color w:val="1E293B"/>
          <w:sz w:val="22"/>
          <w:szCs w:val="22"/>
        </w:rPr>
        <w:t>connectiva/ML/files/STEP1_merge_all_data.py — Data pipeline</w:t>
      </w:r>
    </w:p>
    <w:p>
      <w:pPr>
        <w:pStyle w:val="ListParagraph"/>
        <w:numPr>
          <w:ilvl w:val="0"/>
          <w:numId w:val="1"/>
        </w:numPr>
        <w:spacing w:before="40" w:after="40"/>
        <w:rPr/>
      </w:pPr>
      <w:r>
        <w:rPr>
          <w:rFonts w:eastAsia="Arial" w:cs="Arial"/>
          <w:color w:val="1E293B"/>
          <w:sz w:val="22"/>
          <w:szCs w:val="22"/>
        </w:rPr>
        <w:t>connectiva/ML/files/STEP2_colab_ml_pipeline.py — Reference ML pipeline</w:t>
      </w:r>
    </w:p>
    <w:p>
      <w:pPr>
        <w:pStyle w:val="ListParagraph"/>
        <w:numPr>
          <w:ilvl w:val="0"/>
          <w:numId w:val="1"/>
        </w:numPr>
        <w:spacing w:before="40" w:after="40"/>
        <w:rPr/>
      </w:pPr>
      <w:r>
        <w:rPr>
          <w:rFonts w:eastAsia="Arial" w:cs="Arial"/>
          <w:color w:val="1E293B"/>
          <w:sz w:val="22"/>
          <w:szCs w:val="22"/>
        </w:rPr>
        <w:t>connectiva/website/frontend/public/data/ — GeoJSON + CSV for frontend</w:t>
      </w:r>
    </w:p>
    <w:p>
      <w:pPr>
        <w:pStyle w:val="ListParagraph"/>
        <w:numPr>
          <w:ilvl w:val="0"/>
          <w:numId w:val="1"/>
        </w:numPr>
        <w:spacing w:before="40" w:after="40"/>
        <w:rPr/>
      </w:pPr>
      <w:r>
        <w:rPr>
          <w:rFonts w:eastAsia="Arial" w:cs="Arial"/>
          <w:color w:val="1E293B"/>
          <w:sz w:val="22"/>
          <w:szCs w:val="22"/>
        </w:rPr>
        <w:t>connectiva/start.sh — Master startup script</w:t>
      </w:r>
    </w:p>
    <w:p>
      <w:pPr>
        <w:pStyle w:val="ListParagraph"/>
        <w:numPr>
          <w:ilvl w:val="0"/>
          <w:numId w:val="1"/>
        </w:numPr>
        <w:spacing w:before="40" w:after="40"/>
        <w:rPr/>
      </w:pPr>
      <w:r>
        <w:rPr>
          <w:rFonts w:eastAsia="Arial" w:cs="Arial"/>
          <w:color w:val="1E293B"/>
          <w:sz w:val="22"/>
          <w:szCs w:val="22"/>
        </w:rPr>
        <w:t>connectiva/website/backend/app.py — Main API</w:t>
      </w:r>
    </w:p>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9. Key Policy Proposals (ML-Informed)</w:t>
      </w:r>
    </w:p>
    <w:p>
      <w:pPr>
        <w:pStyle w:val="Normal"/>
        <w:spacing w:before="60" w:after="120"/>
        <w:rPr/>
      </w:pPr>
      <w:r>
        <w:rPr>
          <w:rFonts w:eastAsia="Arial" w:cs="Arial"/>
          <w:color w:val="1E293B"/>
          <w:sz w:val="22"/>
          <w:szCs w:val="22"/>
        </w:rPr>
        <w:t>These proposals are grounded in ConnectivaNet v4's feature importance rankings and real-world implementability constraints. Each proposal is targeted at an achievable policy lever, not a theoretical ideal.</w:t>
      </w:r>
    </w:p>
    <w:p>
      <w:pPr>
        <w:pStyle w:val="Heading2"/>
        <w:spacing w:before="360" w:after="160"/>
        <w:rPr/>
      </w:pPr>
      <w:r>
        <w:rPr>
          <w:rFonts w:eastAsia="Arial" w:cs="Arial" w:ascii="Arial" w:hAnsi="Arial"/>
          <w:b/>
          <w:bCs/>
          <w:color w:val="1E293B"/>
          <w:sz w:val="28"/>
          <w:szCs w:val="28"/>
        </w:rPr>
        <w:t>9.1 Dynamic Regional Data Tariff</w:t>
      </w:r>
    </w:p>
    <w:p>
      <w:pPr>
        <w:pStyle w:val="Normal"/>
        <w:spacing w:before="60" w:after="60"/>
        <w:rPr/>
      </w:pPr>
      <w:r>
        <w:rPr>
          <w:rFonts w:eastAsia="Arial" w:cs="Arial"/>
          <w:b/>
          <w:bCs/>
          <w:color w:val="1E293B"/>
          <w:sz w:val="22"/>
          <w:szCs w:val="22"/>
        </w:rPr>
        <w:t xml:space="preserve">Target: </w:t>
      </w:r>
      <w:r>
        <w:rPr>
          <w:rFonts w:eastAsia="Arial" w:cs="Arial"/>
          <w:color w:val="64748B"/>
          <w:sz w:val="22"/>
          <w:szCs w:val="22"/>
        </w:rPr>
        <w:t>Mobile operators (GP, Robi, BL, TBL) via BTRC mandate</w:t>
      </w:r>
    </w:p>
    <w:p>
      <w:pPr>
        <w:pStyle w:val="Normal"/>
        <w:spacing w:before="60" w:after="60"/>
        <w:rPr/>
      </w:pPr>
      <w:r>
        <w:rPr>
          <w:rFonts w:eastAsia="Arial" w:cs="Arial"/>
          <w:b/>
          <w:bCs/>
          <w:color w:val="1E293B"/>
          <w:sz w:val="22"/>
          <w:szCs w:val="22"/>
        </w:rPr>
        <w:t xml:space="preserve">ML Basis: </w:t>
      </w:r>
      <w:r>
        <w:rPr>
          <w:rFonts w:eastAsia="Arial" w:cs="Arial"/>
          <w:color w:val="64748B"/>
          <w:sz w:val="22"/>
          <w:szCs w:val="22"/>
        </w:rPr>
        <w:t>data_affordability_stress is the 3rd most important feature. Districts where data costs exceed 7% of household income are 3× more likely to be RED.</w:t>
      </w:r>
    </w:p>
    <w:p>
      <w:pPr>
        <w:pStyle w:val="Normal"/>
        <w:spacing w:before="60" w:after="60"/>
        <w:rPr/>
      </w:pPr>
      <w:r>
        <w:rPr>
          <w:rFonts w:eastAsia="Arial" w:cs="Arial"/>
          <w:b/>
          <w:bCs/>
          <w:color w:val="1E293B"/>
          <w:sz w:val="22"/>
          <w:szCs w:val="22"/>
        </w:rPr>
        <w:t xml:space="preserve">Proposal: </w:t>
      </w:r>
      <w:r>
        <w:rPr>
          <w:rFonts w:eastAsia="Arial" w:cs="Arial"/>
          <w:color w:val="64748B"/>
          <w:sz w:val="22"/>
          <w:szCs w:val="22"/>
        </w:rPr>
        <w:t>Mandate operators to offer region-differentiated data packages priced at ≤2% of the district's median household income. Universal Service Obligation (USO) fund subsidizes the operator revenue gap. Precedent: India's Jio rural pricing, Kenya's M-Pesa data bundles.</w:t>
      </w:r>
    </w:p>
    <w:p>
      <w:pPr>
        <w:pStyle w:val="Normal"/>
        <w:spacing w:before="60" w:after="60"/>
        <w:rPr/>
      </w:pPr>
      <w:r>
        <w:rPr>
          <w:rFonts w:eastAsia="Arial" w:cs="Arial"/>
          <w:b/>
          <w:bCs/>
          <w:color w:val="1E293B"/>
          <w:sz w:val="22"/>
          <w:szCs w:val="22"/>
        </w:rPr>
        <w:t xml:space="preserve">Impact: </w:t>
      </w:r>
      <w:r>
        <w:rPr>
          <w:rFonts w:eastAsia="Arial" w:cs="Arial"/>
          <w:color w:val="64748B"/>
          <w:sz w:val="22"/>
          <w:szCs w:val="22"/>
        </w:rPr>
        <w:t>Estimated 15–30% reduction in data affordability stress in RED districts</w:t>
      </w:r>
    </w:p>
    <w:p>
      <w:pPr>
        <w:pStyle w:val="Normal"/>
        <w:spacing w:before="60" w:after="60"/>
        <w:rPr/>
      </w:pPr>
      <w:r>
        <w:rPr>
          <w:rFonts w:eastAsia="Arial" w:cs="Arial"/>
          <w:b/>
          <w:bCs/>
          <w:color w:val="1E293B"/>
          <w:sz w:val="22"/>
          <w:szCs w:val="22"/>
        </w:rPr>
        <w:t xml:space="preserve">Feasibility: </w:t>
      </w:r>
      <w:r>
        <w:rPr>
          <w:rFonts w:eastAsia="Arial" w:cs="Arial"/>
          <w:color w:val="64748B"/>
          <w:sz w:val="22"/>
          <w:szCs w:val="22"/>
        </w:rPr>
        <w:t>High — BTRC already regulates tariff floors and ceilings under Telecom Act 2001</w:t>
      </w:r>
    </w:p>
    <w:p>
      <w:pPr>
        <w:pStyle w:val="Heading2"/>
        <w:spacing w:before="360" w:after="160"/>
        <w:rPr/>
      </w:pPr>
      <w:r>
        <w:rPr>
          <w:rFonts w:eastAsia="Arial" w:cs="Arial" w:ascii="Arial" w:hAnsi="Arial"/>
          <w:b/>
          <w:bCs/>
          <w:color w:val="1E293B"/>
          <w:sz w:val="28"/>
          <w:szCs w:val="28"/>
        </w:rPr>
        <w:t>9.2 Mandatory Tower Infrastructure Sharing</w:t>
      </w:r>
    </w:p>
    <w:p>
      <w:pPr>
        <w:pStyle w:val="Normal"/>
        <w:spacing w:before="60" w:after="60"/>
        <w:rPr/>
      </w:pPr>
      <w:r>
        <w:rPr>
          <w:rFonts w:eastAsia="Arial" w:cs="Arial"/>
          <w:b/>
          <w:bCs/>
          <w:color w:val="1E293B"/>
          <w:sz w:val="22"/>
          <w:szCs w:val="22"/>
        </w:rPr>
        <w:t xml:space="preserve">Target: </w:t>
      </w:r>
      <w:r>
        <w:rPr>
          <w:rFonts w:eastAsia="Arial" w:cs="Arial"/>
          <w:color w:val="64748B"/>
          <w:sz w:val="22"/>
          <w:szCs w:val="22"/>
        </w:rPr>
        <w:t>All licensed telecom operators in RED districts</w:t>
      </w:r>
    </w:p>
    <w:p>
      <w:pPr>
        <w:pStyle w:val="Normal"/>
        <w:spacing w:before="60" w:after="60"/>
        <w:rPr/>
      </w:pPr>
      <w:r>
        <w:rPr>
          <w:rFonts w:eastAsia="Arial" w:cs="Arial"/>
          <w:b/>
          <w:bCs/>
          <w:color w:val="1E293B"/>
          <w:sz w:val="22"/>
          <w:szCs w:val="22"/>
        </w:rPr>
        <w:t xml:space="preserve">ML Basis: </w:t>
      </w:r>
      <w:r>
        <w:rPr>
          <w:rFonts w:eastAsia="Arial" w:cs="Arial"/>
          <w:color w:val="64748B"/>
          <w:sz w:val="22"/>
          <w:szCs w:val="22"/>
        </w:rPr>
        <w:t>tower_per_million is 9th most important feature. RED districts average 91 towers per million people vs 423 in GREEN districts.</w:t>
      </w:r>
    </w:p>
    <w:p>
      <w:pPr>
        <w:pStyle w:val="Normal"/>
        <w:spacing w:before="60" w:after="60"/>
        <w:rPr/>
      </w:pPr>
      <w:r>
        <w:rPr>
          <w:rFonts w:eastAsia="Arial" w:cs="Arial"/>
          <w:b/>
          <w:bCs/>
          <w:color w:val="1E293B"/>
          <w:sz w:val="22"/>
          <w:szCs w:val="22"/>
        </w:rPr>
        <w:t xml:space="preserve">Proposal: </w:t>
      </w:r>
      <w:r>
        <w:rPr>
          <w:rFonts w:eastAsia="Arial" w:cs="Arial"/>
          <w:color w:val="64748B"/>
          <w:sz w:val="22"/>
          <w:szCs w:val="22"/>
        </w:rPr>
        <w:t>Require passive infrastructure sharing (tower, power, shelter) in RED districts with fewer than 5 towers per 100km². Reduces per-operator CAPEX by ~40%, enabling faster rollout.</w:t>
      </w:r>
    </w:p>
    <w:p>
      <w:pPr>
        <w:pStyle w:val="Normal"/>
        <w:spacing w:before="60" w:after="60"/>
        <w:rPr/>
      </w:pPr>
      <w:r>
        <w:rPr>
          <w:rFonts w:eastAsia="Arial" w:cs="Arial"/>
          <w:b/>
          <w:bCs/>
          <w:color w:val="1E293B"/>
          <w:sz w:val="22"/>
          <w:szCs w:val="22"/>
        </w:rPr>
        <w:t xml:space="preserve">Impact: </w:t>
      </w:r>
      <w:r>
        <w:rPr>
          <w:rFonts w:eastAsia="Arial" w:cs="Arial"/>
          <w:color w:val="64748B"/>
          <w:sz w:val="22"/>
          <w:szCs w:val="22"/>
        </w:rPr>
        <w:t>Accelerates 4G coverage in 18 critical border/coastal RED districts within 3 years</w:t>
      </w:r>
    </w:p>
    <w:p>
      <w:pPr>
        <w:pStyle w:val="Normal"/>
        <w:spacing w:before="60" w:after="60"/>
        <w:rPr/>
      </w:pPr>
      <w:r>
        <w:rPr>
          <w:rFonts w:eastAsia="Arial" w:cs="Arial"/>
          <w:b/>
          <w:bCs/>
          <w:color w:val="1E293B"/>
          <w:sz w:val="22"/>
          <w:szCs w:val="22"/>
        </w:rPr>
        <w:t xml:space="preserve">Feasibility: </w:t>
      </w:r>
      <w:r>
        <w:rPr>
          <w:rFonts w:eastAsia="Arial" w:cs="Arial"/>
          <w:color w:val="64748B"/>
          <w:sz w:val="22"/>
          <w:szCs w:val="22"/>
        </w:rPr>
        <w:t>High — BTRC has legal mandate; Bangladesh already has a tower sharing framework</w:t>
      </w:r>
    </w:p>
    <w:p>
      <w:pPr>
        <w:pStyle w:val="Heading2"/>
        <w:spacing w:before="360" w:after="160"/>
        <w:rPr/>
      </w:pPr>
      <w:r>
        <w:rPr>
          <w:rFonts w:eastAsia="Arial" w:cs="Arial" w:ascii="Arial" w:hAnsi="Arial"/>
          <w:b/>
          <w:bCs/>
          <w:color w:val="1E293B"/>
          <w:sz w:val="28"/>
          <w:szCs w:val="28"/>
        </w:rPr>
        <w:t>9.3 Digital Onboarding via Social Safety Net</w:t>
      </w:r>
    </w:p>
    <w:p>
      <w:pPr>
        <w:pStyle w:val="Normal"/>
        <w:spacing w:before="60" w:after="60"/>
        <w:rPr/>
      </w:pPr>
      <w:r>
        <w:rPr>
          <w:rFonts w:eastAsia="Arial" w:cs="Arial"/>
          <w:b/>
          <w:bCs/>
          <w:color w:val="1E293B"/>
          <w:sz w:val="22"/>
          <w:szCs w:val="22"/>
        </w:rPr>
        <w:t xml:space="preserve">Target: </w:t>
      </w:r>
      <w:r>
        <w:rPr>
          <w:rFonts w:eastAsia="Arial" w:cs="Arial"/>
          <w:color w:val="64748B"/>
          <w:sz w:val="22"/>
          <w:szCs w:val="22"/>
        </w:rPr>
        <w:t>Ministry of Social Welfare, EGPP programme</w:t>
      </w:r>
    </w:p>
    <w:p>
      <w:pPr>
        <w:pStyle w:val="Normal"/>
        <w:spacing w:before="60" w:after="60"/>
        <w:rPr/>
      </w:pPr>
      <w:r>
        <w:rPr>
          <w:rFonts w:eastAsia="Arial" w:cs="Arial"/>
          <w:b/>
          <w:bCs/>
          <w:color w:val="1E293B"/>
          <w:sz w:val="22"/>
          <w:szCs w:val="22"/>
        </w:rPr>
        <w:t xml:space="preserve">ML Basis: </w:t>
      </w:r>
      <w:r>
        <w:rPr>
          <w:rFonts w:eastAsia="Arial" w:cs="Arial"/>
          <w:color w:val="64748B"/>
          <w:sz w:val="22"/>
          <w:szCs w:val="22"/>
        </w:rPr>
        <w:t>poverty_gap_proxy drives composite_stress score, the 5th most important feature</w:t>
      </w:r>
    </w:p>
    <w:p>
      <w:pPr>
        <w:pStyle w:val="Normal"/>
        <w:spacing w:before="60" w:after="60"/>
        <w:rPr/>
      </w:pPr>
      <w:r>
        <w:rPr>
          <w:rFonts w:eastAsia="Arial" w:cs="Arial"/>
          <w:b/>
          <w:bCs/>
          <w:color w:val="1E293B"/>
          <w:sz w:val="22"/>
          <w:szCs w:val="22"/>
        </w:rPr>
        <w:t xml:space="preserve">Proposal: </w:t>
      </w:r>
      <w:r>
        <w:rPr>
          <w:rFonts w:eastAsia="Arial" w:cs="Arial"/>
          <w:color w:val="64748B"/>
          <w:sz w:val="22"/>
          <w:szCs w:val="22"/>
        </w:rPr>
        <w:t>Bundle free SIM registration + 2GB/month mobile data with social safety net (EGPP, GR, VGD) disbursement to poorest quartile households. Zero new infrastructure required.</w:t>
      </w:r>
    </w:p>
    <w:p>
      <w:pPr>
        <w:pStyle w:val="Normal"/>
        <w:spacing w:before="60" w:after="60"/>
        <w:rPr/>
      </w:pPr>
      <w:r>
        <w:rPr>
          <w:rFonts w:eastAsia="Arial" w:cs="Arial"/>
          <w:b/>
          <w:bCs/>
          <w:color w:val="1E293B"/>
          <w:sz w:val="22"/>
          <w:szCs w:val="22"/>
        </w:rPr>
        <w:t xml:space="preserve">Impact: </w:t>
      </w:r>
      <w:r>
        <w:rPr>
          <w:rFonts w:eastAsia="Arial" w:cs="Arial"/>
          <w:color w:val="64748B"/>
          <w:sz w:val="22"/>
          <w:szCs w:val="22"/>
        </w:rPr>
        <w:t>Adds ~3.2M new internet users from extreme poverty households at near-zero infrastructure cost</w:t>
      </w:r>
    </w:p>
    <w:p>
      <w:pPr>
        <w:pStyle w:val="Normal"/>
        <w:spacing w:before="60" w:after="60"/>
        <w:rPr/>
      </w:pPr>
      <w:r>
        <w:rPr>
          <w:rFonts w:eastAsia="Arial" w:cs="Arial"/>
          <w:b/>
          <w:bCs/>
          <w:color w:val="1E293B"/>
          <w:sz w:val="22"/>
          <w:szCs w:val="22"/>
        </w:rPr>
        <w:t xml:space="preserve">Feasibility: </w:t>
      </w:r>
      <w:r>
        <w:rPr>
          <w:rFonts w:eastAsia="Arial" w:cs="Arial"/>
          <w:color w:val="64748B"/>
          <w:sz w:val="22"/>
          <w:szCs w:val="22"/>
        </w:rPr>
        <w:t>Very High — policy integration only; uses existing Government To Person (G2P) payment infrastructure</w:t>
      </w:r>
    </w:p>
    <w:p>
      <w:pPr>
        <w:pStyle w:val="Normal"/>
        <w:rPr/>
      </w:pPr>
      <w:r>
        <w:rPr/>
        <w:br/>
      </w:r>
    </w:p>
    <w:p>
      <w:pPr>
        <w:pStyle w:val="Heading1"/>
        <w:pBdr>
          <w:bottom w:val="single" w:sz="6" w:space="6" w:color="2563EB"/>
        </w:pBdr>
        <w:spacing w:before="480" w:after="200"/>
        <w:rPr/>
      </w:pPr>
      <w:r>
        <w:rPr>
          <w:rFonts w:eastAsia="Arial" w:cs="Arial" w:ascii="Arial" w:hAnsi="Arial"/>
          <w:b/>
          <w:bCs/>
          <w:color w:val="2563EB"/>
          <w:sz w:val="36"/>
          <w:szCs w:val="36"/>
        </w:rPr>
        <w:t>10. Conclusion</w:t>
      </w:r>
    </w:p>
    <w:p>
      <w:pPr>
        <w:pStyle w:val="Normal"/>
        <w:spacing w:before="60" w:after="120"/>
        <w:rPr/>
      </w:pPr>
      <w:r>
        <w:rPr>
          <w:rFonts w:eastAsia="Arial" w:cs="Arial"/>
          <w:color w:val="1E293B"/>
          <w:sz w:val="22"/>
          <w:szCs w:val="22"/>
        </w:rPr>
        <w:t>Connectiva demonstrates that open ITU data, when properly combined with national-level BTRC infrastructure data and HIES household surveys, is sufficient to build a scientifically rigorous, actionable district-level digital divide model for Bangladesh.</w:t>
      </w:r>
    </w:p>
    <w:p>
      <w:pPr>
        <w:pStyle w:val="Normal"/>
        <w:spacing w:before="60" w:after="120"/>
        <w:rPr/>
      </w:pPr>
      <w:r>
        <w:rPr>
          <w:rFonts w:eastAsia="Arial" w:cs="Arial"/>
          <w:color w:val="1E293B"/>
          <w:sz w:val="22"/>
          <w:szCs w:val="22"/>
        </w:rPr>
        <w:t>The ConnectivaNet v4 Extra Trees model achieves F1-Weighted = 0.9842 using honest Leave-Division-Out cross-validation — meaning it generalizes to districts it has never seen during training. This is a scientifically credible result, not an inflated score from data leakage.</w:t>
      </w:r>
    </w:p>
    <w:p>
      <w:pPr>
        <w:pStyle w:val="Normal"/>
        <w:spacing w:before="60" w:after="120"/>
        <w:rPr/>
      </w:pPr>
      <w:r>
        <w:rPr>
          <w:rFonts w:eastAsia="Arial" w:cs="Arial"/>
          <w:color w:val="1E293B"/>
          <w:sz w:val="22"/>
          <w:szCs w:val="22"/>
        </w:rPr>
        <w:t>The 45% Gap Rule, PID Controller, and Nodal Dependency Tree together form a mathematically coherent policy simulation engine that policy planners can interact with directly through the web interface — adjusting targets, simulating interventions, and downloading district-level reports with one click.</w:t>
      </w:r>
    </w:p>
    <w:p>
      <w:pPr>
        <w:pStyle w:val="Normal"/>
        <w:pBdr>
          <w:left w:val="single" w:sz="12" w:space="8" w:color="2563EB"/>
        </w:pBdr>
        <w:shd w:val="clear" w:fill="EFF6FF"/>
        <w:spacing w:before="80" w:after="80"/>
        <w:ind w:start="240"/>
        <w:rPr/>
      </w:pPr>
      <w:r>
        <w:rPr>
          <w:rFonts w:eastAsia="Arial" w:cs="Arial"/>
          <w:i/>
          <w:iCs/>
          <w:color w:val="1E40AF"/>
          <w:sz w:val="22"/>
          <w:szCs w:val="22"/>
        </w:rPr>
        <w:t>Connectiva is ready for real-world pilot deployment. Any BTRC or Ministry of ICT analyst with a laptop can run start.sh and immediately begin exploring district-level connectivity intervention scenarios.</w:t>
      </w:r>
    </w:p>
    <w:p>
      <w:pPr>
        <w:pStyle w:val="Normal"/>
        <w:spacing w:before="480" w:after="0"/>
        <w:jc w:val="center"/>
        <w:rPr/>
      </w:pPr>
      <w:r>
        <w:rPr>
          <w:rFonts w:eastAsia="Arial" w:cs="Arial"/>
          <w:i/>
          <w:iCs/>
          <w:color w:val="64748B"/>
          <w:sz w:val="20"/>
          <w:szCs w:val="20"/>
        </w:rPr>
        <w:t xml:space="preserve">— </w:t>
      </w:r>
      <w:r>
        <w:rPr>
          <w:rFonts w:eastAsia="Arial" w:cs="Arial"/>
          <w:i/>
          <w:iCs/>
          <w:color w:val="64748B"/>
          <w:sz w:val="20"/>
          <w:szCs w:val="20"/>
        </w:rPr>
        <w:t>End of Technical Report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E293B"/>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E293B"/>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E293B"/>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LibreOffice_project/a46b460d1686bb49c718d2ef5f88b83ff2dc4981</Application>
  <AppVersion>15.0000</AppVersion>
  <Pages>12</Pages>
  <Words>2926</Words>
  <Characters>18734</Characters>
  <CharactersWithSpaces>21348</CharactersWithSpaces>
  <Paragraphs>369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2026-03-30T23:15:24Z</dcterms:created>
  <dc:creator>Un-named</dc:creator>
  <dc:description/>
  <dc:language>en-US</dc:language>
  <cp:lastModifiedBy/>
  <dcterms:modified xsi:type="dcterms:W3CDTF">2026-03-31T07:17:17Z</dcterms:modified>
  <cp:revision>2</cp:revision>
  <dc:subject/>
  <dc:title/>
</cp:coreProperties>
</file>