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SAMPLE BSP EXAMINATION REPORT</w:t>
      </w:r>
    </w:p>
    <w:p/>
    <w:p/>
    <w:p>
      <w:r>
        <w:rPr>
          <w:b/>
          <w:sz w:val="24"/>
        </w:rPr>
        <w:t>I. OVERALL SUMMARY OF ASSESSMENT</w:t>
      </w:r>
    </w:p>
    <w:p/>
    <w:tbl>
      <w:tblPr>
        <w:tblStyle w:val="LightGrid-Accent1"/>
        <w:tblW w:type="auto" w:w="0"/>
        <w:jc w:val="left"/>
        <w:tblLook w:firstColumn="1" w:firstRow="1" w:lastColumn="0" w:lastRow="0" w:noHBand="0" w:noVBand="1" w:val="04A0"/>
      </w:tblPr>
      <w:tblGrid>
        <w:gridCol w:w="5760"/>
        <w:gridCol w:w="2880"/>
      </w:tblGrid>
      <w:tr>
        <w:tc>
          <w:tcPr>
            <w:tcW w:type="dxa" w:w="4320"/>
            <w:vAlign w:val="center"/>
            <w:shd w:fill="D9D9D9"/>
          </w:tcPr>
          <w:p>
            <w:pPr>
              <w:jc w:val="center"/>
            </w:pPr>
            <w:r>
              <w:rPr>
                <w:rFonts w:ascii="Calibri" w:hAnsi="Calibri"/>
                <w:b/>
                <w:sz w:val="20"/>
              </w:rPr>
              <w:t>Risk Category</w:t>
            </w:r>
          </w:p>
        </w:tc>
        <w:tc>
          <w:tcPr>
            <w:tcW w:type="dxa" w:w="4320"/>
            <w:vAlign w:val="center"/>
            <w:shd w:fill="D9D9D9"/>
          </w:tcPr>
          <w:p>
            <w:pPr>
              <w:jc w:val="center"/>
            </w:pPr>
            <w:r>
              <w:rPr>
                <w:rFonts w:ascii="Calibri" w:hAnsi="Calibri"/>
                <w:b/>
                <w:sz w:val="20"/>
              </w:rPr>
              <w:t>Net Rating</w:t>
            </w:r>
          </w:p>
        </w:tc>
      </w:tr>
      <w:tr>
        <w:tc>
          <w:tcPr>
            <w:tcW w:type="dxa" w:w="4320"/>
            <w:vAlign w:val="center"/>
          </w:tcPr>
          <w:p>
            <w:pPr>
              <w:jc w:val="left"/>
            </w:pPr>
            <w:r>
              <w:rPr>
                <w:rFonts w:ascii="Calibri" w:hAnsi="Calibri"/>
                <w:sz w:val="20"/>
              </w:rPr>
              <w:t>Credit Risk</w:t>
            </w:r>
          </w:p>
        </w:tc>
        <w:tc>
          <w:tcPr>
            <w:tcW w:type="dxa" w:w="4320"/>
            <w:vAlign w:val="center"/>
          </w:tcPr>
          <w:p>
            <w:pPr>
              <w:jc w:val="left"/>
            </w:pPr>
            <w:r>
              <w:rPr>
                <w:rFonts w:ascii="Calibri" w:hAnsi="Calibri"/>
                <w:b/>
                <w:sz w:val="20"/>
              </w:rPr>
              <w:t>Moderate</w:t>
            </w:r>
          </w:p>
        </w:tc>
      </w:tr>
      <w:tr>
        <w:tc>
          <w:tcPr>
            <w:tcW w:type="dxa" w:w="4320"/>
            <w:vAlign w:val="center"/>
          </w:tcPr>
          <w:p>
            <w:pPr>
              <w:jc w:val="left"/>
            </w:pPr>
            <w:r>
              <w:rPr>
                <w:rFonts w:ascii="Calibri" w:hAnsi="Calibri"/>
                <w:sz w:val="20"/>
              </w:rPr>
              <w:t>Liquidity Risk</w:t>
            </w:r>
          </w:p>
        </w:tc>
        <w:tc>
          <w:tcPr>
            <w:tcW w:type="dxa" w:w="4320"/>
            <w:vAlign w:val="center"/>
          </w:tcPr>
          <w:p>
            <w:pPr>
              <w:jc w:val="left"/>
            </w:pPr>
            <w:r>
              <w:rPr>
                <w:rFonts w:ascii="Calibri" w:hAnsi="Calibri"/>
                <w:b/>
                <w:sz w:val="20"/>
              </w:rPr>
              <w:t>Low</w:t>
            </w:r>
          </w:p>
        </w:tc>
      </w:tr>
      <w:tr>
        <w:tc>
          <w:tcPr>
            <w:tcW w:type="dxa" w:w="4320"/>
            <w:vAlign w:val="center"/>
          </w:tcPr>
          <w:p>
            <w:pPr>
              <w:jc w:val="left"/>
            </w:pPr>
            <w:r>
              <w:rPr>
                <w:rFonts w:ascii="Calibri" w:hAnsi="Calibri"/>
                <w:sz w:val="20"/>
              </w:rPr>
              <w:t>Interest Rate Risk in the Banking Book (IRRBB)</w:t>
            </w:r>
          </w:p>
        </w:tc>
        <w:tc>
          <w:tcPr>
            <w:tcW w:type="dxa" w:w="4320"/>
            <w:vAlign w:val="center"/>
          </w:tcPr>
          <w:p>
            <w:pPr>
              <w:jc w:val="left"/>
            </w:pPr>
            <w:r>
              <w:rPr>
                <w:rFonts w:ascii="Calibri" w:hAnsi="Calibri"/>
                <w:b/>
                <w:sz w:val="20"/>
              </w:rPr>
              <w:t>Low</w:t>
            </w:r>
          </w:p>
        </w:tc>
      </w:tr>
    </w:tbl>
    <w:p/>
    <w:p/>
    <w:p>
      <w:r>
        <w:rPr>
          <w:b/>
          <w:sz w:val="24"/>
        </w:rPr>
        <w:t>II. INSTITUTIONAL LEVEL SUPPORT (RATINGS)</w:t>
      </w:r>
    </w:p>
    <w:p/>
    <w:tbl>
      <w:tblPr>
        <w:tblStyle w:val="LightGrid-Accent1"/>
        <w:tblW w:type="auto" w:w="0"/>
        <w:jc w:val="left"/>
        <w:tblLook w:firstColumn="1" w:firstRow="1" w:lastColumn="0" w:lastRow="0" w:noHBand="0" w:noVBand="1" w:val="04A0"/>
      </w:tblPr>
      <w:tblGrid>
        <w:gridCol w:w="5040"/>
        <w:gridCol w:w="3600"/>
      </w:tblGrid>
      <w:tr>
        <w:tc>
          <w:tcPr>
            <w:tcW w:type="dxa" w:w="4320"/>
            <w:vAlign w:val="center"/>
            <w:shd w:fill="D9D9D9"/>
          </w:tcPr>
          <w:p>
            <w:pPr>
              <w:jc w:val="center"/>
            </w:pPr>
            <w:r>
              <w:rPr>
                <w:rFonts w:ascii="Calibri" w:hAnsi="Calibri"/>
                <w:b/>
                <w:sz w:val="20"/>
              </w:rPr>
              <w:t>Component</w:t>
            </w:r>
          </w:p>
        </w:tc>
        <w:tc>
          <w:tcPr>
            <w:tcW w:type="dxa" w:w="4320"/>
            <w:vAlign w:val="center"/>
            <w:shd w:fill="D9D9D9"/>
          </w:tcPr>
          <w:p>
            <w:pPr>
              <w:jc w:val="center"/>
            </w:pPr>
            <w:r>
              <w:rPr>
                <w:rFonts w:ascii="Calibri" w:hAnsi="Calibri"/>
                <w:b/>
                <w:sz w:val="20"/>
              </w:rPr>
              <w:t>Rating</w:t>
            </w:r>
          </w:p>
        </w:tc>
      </w:tr>
      <w:tr>
        <w:tc>
          <w:tcPr>
            <w:tcW w:type="dxa" w:w="4320"/>
            <w:vAlign w:val="center"/>
          </w:tcPr>
          <w:p>
            <w:pPr>
              <w:jc w:val="left"/>
            </w:pPr>
            <w:r>
              <w:rPr>
                <w:rFonts w:ascii="Calibri" w:hAnsi="Calibri"/>
                <w:sz w:val="20"/>
              </w:rPr>
              <w:t>Earnings</w:t>
            </w:r>
          </w:p>
        </w:tc>
        <w:tc>
          <w:tcPr>
            <w:tcW w:type="dxa" w:w="4320"/>
            <w:vAlign w:val="center"/>
          </w:tcPr>
          <w:p>
            <w:pPr>
              <w:jc w:val="left"/>
            </w:pPr>
            <w:r>
              <w:rPr>
                <w:rFonts w:ascii="Calibri" w:hAnsi="Calibri"/>
                <w:b/>
                <w:sz w:val="20"/>
              </w:rPr>
              <w:t>Strong</w:t>
            </w:r>
          </w:p>
        </w:tc>
      </w:tr>
      <w:tr>
        <w:tc>
          <w:tcPr>
            <w:tcW w:type="dxa" w:w="4320"/>
            <w:vAlign w:val="center"/>
          </w:tcPr>
          <w:p>
            <w:pPr>
              <w:jc w:val="left"/>
            </w:pPr>
            <w:r>
              <w:rPr>
                <w:rFonts w:ascii="Calibri" w:hAnsi="Calibri"/>
                <w:sz w:val="20"/>
              </w:rPr>
              <w:t>Capital</w:t>
            </w:r>
          </w:p>
        </w:tc>
        <w:tc>
          <w:tcPr>
            <w:tcW w:type="dxa" w:w="4320"/>
            <w:vAlign w:val="center"/>
          </w:tcPr>
          <w:p>
            <w:pPr>
              <w:jc w:val="left"/>
            </w:pPr>
            <w:r>
              <w:rPr>
                <w:rFonts w:ascii="Calibri" w:hAnsi="Calibri"/>
                <w:b/>
                <w:sz w:val="20"/>
              </w:rPr>
              <w:t>Strong</w:t>
            </w:r>
          </w:p>
        </w:tc>
      </w:tr>
      <w:tr>
        <w:tc>
          <w:tcPr>
            <w:tcW w:type="dxa" w:w="4320"/>
            <w:vAlign w:val="center"/>
          </w:tcPr>
          <w:p>
            <w:pPr>
              <w:jc w:val="left"/>
            </w:pPr>
            <w:r>
              <w:rPr>
                <w:rFonts w:ascii="Calibri" w:hAnsi="Calibri"/>
                <w:sz w:val="20"/>
              </w:rPr>
              <w:t>Liquidity</w:t>
            </w:r>
          </w:p>
        </w:tc>
        <w:tc>
          <w:tcPr>
            <w:tcW w:type="dxa" w:w="4320"/>
            <w:vAlign w:val="center"/>
          </w:tcPr>
          <w:p>
            <w:pPr>
              <w:jc w:val="left"/>
            </w:pPr>
            <w:r>
              <w:rPr>
                <w:rFonts w:ascii="Calibri" w:hAnsi="Calibri"/>
                <w:b/>
                <w:sz w:val="20"/>
              </w:rPr>
              <w:t>Strong</w:t>
            </w:r>
          </w:p>
        </w:tc>
      </w:tr>
      <w:tr>
        <w:tc>
          <w:tcPr>
            <w:tcW w:type="dxa" w:w="4320"/>
            <w:vAlign w:val="center"/>
          </w:tcPr>
          <w:p>
            <w:pPr>
              <w:jc w:val="left"/>
            </w:pPr>
            <w:r>
              <w:rPr>
                <w:rFonts w:ascii="Calibri" w:hAnsi="Calibri"/>
                <w:sz w:val="20"/>
              </w:rPr>
              <w:t>Governance</w:t>
            </w:r>
          </w:p>
        </w:tc>
        <w:tc>
          <w:tcPr>
            <w:tcW w:type="dxa" w:w="4320"/>
            <w:vAlign w:val="center"/>
          </w:tcPr>
          <w:p>
            <w:pPr>
              <w:jc w:val="left"/>
            </w:pPr>
            <w:r>
              <w:rPr>
                <w:rFonts w:ascii="Calibri" w:hAnsi="Calibri"/>
                <w:b/>
                <w:sz w:val="20"/>
              </w:rPr>
              <w:t>Acceptable</w:t>
            </w:r>
          </w:p>
        </w:tc>
      </w:tr>
    </w:tbl>
    <w:p/>
    <w:p/>
    <w:p>
      <w:r>
        <w:rPr>
          <w:b/>
          <w:sz w:val="24"/>
        </w:rPr>
        <w:t>III. ASSESSMENT NARRATIVE</w:t>
      </w:r>
    </w:p>
    <w:p/>
    <w:p>
      <w:pPr>
        <w:jc w:val="both"/>
      </w:pPr>
      <w:r>
        <w:rPr>
          <w:rFonts w:ascii="Calibri" w:hAnsi="Calibri"/>
          <w:sz w:val="22"/>
        </w:rPr>
        <w:t>The examination conducted revealed that the financial institution maintains adequate risk management practices across all assessed areas. The credit risk profile is rated as Moderate, reflecting a well-diversified loan portfolio with appropriate provisioning. Liquidity and interest rate risks are rated as Low, indicating robust treasury management and hedging strategies. The institution demonstrates Strong performance in earnings, capital, and liquidity metrics, with Acceptable governance frameworks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