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AI客服待确认功能清单</w:t>
      </w:r>
    </w:p>
    <w:p>
      <w:bookmarkStart w:id="mub0vwl62ippt4hyp2h" w:name="mub0vwl62ippt4hyp2h"/>
      <w:pPr>
        <w:pStyle w:val="dingding-heading2"/>
        <w:numPr>
          <w:ilvl w:val="0"/>
          <w:numId w:val="1"/>
        </w:numPr>
        <w:spacing w:line="223.99999999999997"/>
      </w:pPr>
      <w:r>
        <w:rPr>
          <w:sz w:val="36"/>
          <w:b w:val="1"/>
        </w:rPr>
        <w:t xml:space="preserve">待业务确认</w:t>
      </w:r>
      <w:bookmarkEnd w:id="mub0vwl62ippt4hyp2h"/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2793"/>
        <w:gridCol w:w="2793"/>
        <w:gridCol w:w="2808"/>
        <w:gridCol w:w="2824"/>
      </w:tblGrid>
      <w:tr>
        <w:trPr>
          <w:trHeight w:val="0"/>
        </w:trPr>
        <w:tc>
          <w:tcPr>
            <w:tcW w:w="2793" w:type="dxa"/>
            <w:vAlign w:val="top"/>
          </w:tcPr>
          <w:p>
            <w:pPr>
              <w:jc w:val="center"/>
            </w:pPr>
            <w:r>
              <w:t xml:space="preserve">规则模块</w:t>
            </w:r>
          </w:p>
        </w:tc>
        <w:tc>
          <w:tcPr>
            <w:tcW w:w="2793" w:type="dxa"/>
            <w:vAlign w:val="top"/>
          </w:tcPr>
          <w:p>
            <w:pPr>
              <w:jc w:val="center"/>
            </w:pPr>
            <w:r>
              <w:t xml:space="preserve">当前规则</w:t>
            </w:r>
          </w:p>
        </w:tc>
        <w:tc>
          <w:tcPr>
            <w:tcW w:w="2808" w:type="dxa"/>
            <w:vAlign w:val="top"/>
          </w:tcPr>
          <w:p>
            <w:pPr>
              <w:jc w:val="center"/>
            </w:pPr>
            <w:r>
              <w:t xml:space="preserve">状态</w:t>
            </w:r>
          </w:p>
        </w:tc>
        <w:tc>
          <w:tcPr>
            <w:tcW w:w="2824" w:type="dxa"/>
            <w:vAlign w:val="top"/>
          </w:tcPr>
          <w:p>
            <w:pPr>
              <w:jc w:val="center"/>
            </w:pPr>
            <w:r>
              <w:t xml:space="preserve">补充</w:t>
            </w:r>
          </w:p>
        </w:tc>
      </w:tr>
      <w:tr>
        <w:trPr>
          <w:trHeight w:val="0"/>
        </w:trPr>
        <w:tc>
          <w:tcPr>
            <w:tcW w:w="2793" w:type="dxa"/>
          </w:tcPr>
          <w:p>
            <w:pPr/>
            <w:r>
              <w:t xml:space="preserve">登录后首屏产品范围</w:t>
            </w:r>
          </w:p>
        </w:tc>
        <w:tc>
          <w:tcPr>
            <w:tcW w:w="2793" w:type="dxa"/>
          </w:tcPr>
          <w:p>
            <w:pPr/>
            <w:r>
              <w:t xml:space="preserve">首屏根据产品进行分流，用户选择产品后直接提问</w:t>
            </w:r>
          </w:p>
        </w:tc>
        <w:tc>
          <w:tcPr>
            <w:tcW w:w="2808" w:type="dxa"/>
          </w:tcPr>
          <w:p>
            <w:pPr>
              <w:ind/>
            </w:pPr>
            <w:sdt>
              <w:sdtPr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hint="eastAsia"/>
                  </w:rPr>
                  <w:t xml:space="preserve">☑</w:t>
                </w:r>
              </w:sdtContent>
            </w:sdt>
            <w:r>
              <w:t xml:space="preserve">已确定</w:t>
            </w:r>
          </w:p>
        </w:tc>
        <w:tc>
          <w:tcPr>
            <w:tcW w:w="2824" w:type="dxa"/>
          </w:tcPr>
          <w:p>
            <w:pPr/>
            <w:r>
              <w:t xml:space="preserve">只做功能分流：</w:t>
            </w:r>
            <w:r>
              <w:rPr>
                <w:sz w:val="24"/>
                <w:color w:val="000000"/>
              </w:rPr>
              <w:t xml:space="preserve">Video Enhance、Video Converter、Photo Enhance、Clean，Account &amp; Billing</w:t>
            </w:r>
          </w:p>
        </w:tc>
      </w:tr>
      <w:tr>
        <w:trPr>
          <w:trHeight w:val="0"/>
        </w:trPr>
        <w:tc>
          <w:tcPr>
            <w:tcW w:w="2793" w:type="dxa"/>
          </w:tcPr>
          <w:p>
            <w:pPr/>
            <w:r>
              <w:t xml:space="preserve">语言范围</w:t>
            </w:r>
          </w:p>
        </w:tc>
        <w:tc>
          <w:tcPr>
            <w:tcW w:w="2793" w:type="dxa"/>
          </w:tcPr>
          <w:p>
            <w:pPr/>
            <w:r>
              <w:t xml:space="preserve">英文</w:t>
            </w:r>
          </w:p>
        </w:tc>
        <w:tc>
          <w:tcPr>
            <w:tcW w:w="2808" w:type="dxa"/>
          </w:tcPr>
          <w:p>
            <w:pPr>
              <w:ind/>
            </w:pPr>
            <w:sdt>
              <w:sdtPr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hint="eastAsia"/>
                  </w:rPr>
                  <w:t xml:space="preserve">☑</w:t>
                </w:r>
              </w:sdtContent>
            </w:sdt>
            <w:r>
              <w:t xml:space="preserve">已确定</w:t>
            </w:r>
          </w:p>
        </w:tc>
        <w:tc>
          <w:tcPr>
            <w:tcW w:w="2824" w:type="dxa"/>
          </w:tcPr>
          <w:p>
            <w:pPr/>
            <w:r>
              <w:t xml:space="preserve">-</w:t>
            </w:r>
          </w:p>
        </w:tc>
      </w:tr>
      <w:tr>
        <w:trPr>
          <w:trHeight w:val="0"/>
        </w:trPr>
        <w:tc>
          <w:tcPr>
            <w:tcW w:w="2793" w:type="dxa"/>
          </w:tcPr>
          <w:p>
            <w:pPr/>
            <w:r>
              <w:t xml:space="preserve">澄清追问</w:t>
            </w:r>
          </w:p>
        </w:tc>
        <w:tc>
          <w:tcPr>
            <w:tcW w:w="2793" w:type="dxa"/>
          </w:tcPr>
          <w:p>
            <w:pPr>
              <w:numPr>
                <w:ilvl w:val="0"/>
                <w:numId w:val="2"/>
              </w:numPr>
            </w:pPr>
            <w:r>
              <w:t xml:space="preserve">用户没说清时，AI继续追问，最多两轮。</w:t>
            </w:r>
          </w:p>
          <w:p>
            <w:pPr>
              <w:numPr>
                <w:ilvl w:val="0"/>
                <w:numId w:val="2"/>
              </w:numPr>
            </w:pPr>
            <w:r>
              <w:t xml:space="preserve">仍无法回答进入人工支持流程</w:t>
            </w:r>
          </w:p>
          <w:p>
            <w:pPr/>
            <w:r/>
          </w:p>
        </w:tc>
        <w:tc>
          <w:tcPr>
            <w:tcW w:w="2808" w:type="dxa"/>
          </w:tcPr>
          <w:p>
            <w:pPr>
              <w:ind/>
            </w:pPr>
            <w:sdt>
              <w:sdtPr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hint="eastAsia"/>
                  </w:rPr>
                  <w:t xml:space="preserve">☑</w:t>
                </w:r>
              </w:sdtContent>
            </w:sdt>
            <w:r>
              <w:t xml:space="preserve">已确认</w:t>
            </w:r>
          </w:p>
        </w:tc>
        <w:tc>
          <w:tcPr>
            <w:tcW w:w="2824" w:type="dxa"/>
          </w:tcPr>
          <w:p>
            <w:pPr/>
            <w:r>
              <w:t xml:space="preserve">是否采用“最多两轮”限制</w:t>
            </w:r>
          </w:p>
        </w:tc>
      </w:tr>
      <w:tr>
        <w:trPr>
          <w:trHeight w:val="0"/>
        </w:trPr>
        <w:tc>
          <w:tcPr>
            <w:tcW w:w="2793" w:type="dxa"/>
          </w:tcPr>
          <w:p>
            <w:pPr/>
            <w:r>
              <w:t xml:space="preserve">回答方式</w:t>
            </w:r>
          </w:p>
        </w:tc>
        <w:tc>
          <w:tcPr>
            <w:tcW w:w="2793" w:type="dxa"/>
          </w:tcPr>
          <w:p>
            <w:pPr/>
            <w:r>
              <w:rPr>
                <w:sz w:val="24"/>
                <w:color w:val="000000"/>
              </w:rPr>
              <w:t xml:space="preserve">AI先给出简短解决步骤；如果有对应产品页或Blog，在结尾附上具体位置链接</w:t>
            </w:r>
          </w:p>
        </w:tc>
        <w:tc>
          <w:tcPr>
            <w:tcW w:w="2808" w:type="dxa"/>
          </w:tcPr>
          <w:p>
            <w:pPr>
              <w:ind/>
            </w:pPr>
            <w:sdt>
              <w:sdtPr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hint="eastAsia"/>
                  </w:rPr>
                  <w:t xml:space="preserve">☑</w:t>
                </w:r>
              </w:sdtContent>
            </w:sdt>
            <w:r>
              <w:t xml:space="preserve">已确定</w:t>
            </w:r>
          </w:p>
        </w:tc>
        <w:tc>
          <w:tcPr>
            <w:tcW w:w="2824" w:type="dxa"/>
          </w:tcPr>
          <w:p>
            <w:pPr/>
            <w:r>
              <w:t xml:space="preserve">-</w:t>
            </w:r>
          </w:p>
        </w:tc>
      </w:tr>
      <w:tr>
        <w:trPr>
          <w:trHeight w:val="975"/>
        </w:trPr>
        <w:tc>
          <w:tcPr>
            <w:tcW w:w="2793" w:type="dxa"/>
          </w:tcPr>
          <w:p>
            <w:pPr/>
            <w:r>
              <w:t xml:space="preserve">回答长度</w:t>
            </w:r>
          </w:p>
        </w:tc>
        <w:tc>
          <w:tcPr>
            <w:tcW w:w="2793" w:type="dxa"/>
          </w:tcPr>
          <w:p>
            <w:pPr/>
            <w:r>
              <w:rPr>
                <w:sz w:val="24"/>
                <w:color w:val="000000"/>
              </w:rPr>
              <w:t xml:space="preserve">回答以简短、直接、可执行为主</w:t>
            </w:r>
          </w:p>
        </w:tc>
        <w:tc>
          <w:tcPr>
            <w:tcW w:w="2808" w:type="dxa"/>
          </w:tcPr>
          <w:p>
            <w:pPr>
              <w:ind/>
            </w:pPr>
            <w:sdt>
              <w:sdtPr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hint="eastAsia"/>
                  </w:rPr>
                  <w:t xml:space="preserve">☑</w:t>
                </w:r>
              </w:sdtContent>
            </w:sdt>
            <w:r>
              <w:t xml:space="preserve">已确定</w:t>
            </w:r>
          </w:p>
        </w:tc>
        <w:tc>
          <w:tcPr>
            <w:tcW w:w="2824" w:type="dxa"/>
          </w:tcPr>
          <w:p>
            <w:pPr/>
            <w:r>
              <w:t xml:space="preserve">-</w:t>
            </w:r>
          </w:p>
        </w:tc>
      </w:tr>
      <w:tr>
        <w:trPr>
          <w:trHeight w:val="0"/>
        </w:trPr>
        <w:tc>
          <w:tcPr>
            <w:tcW w:w="2793" w:type="dxa"/>
          </w:tcPr>
          <w:p>
            <w:pPr/>
            <w:r>
              <w:t xml:space="preserve">AI服务边界</w:t>
            </w:r>
          </w:p>
        </w:tc>
        <w:tc>
          <w:tcPr>
            <w:tcW w:w="2793" w:type="dxa"/>
          </w:tcPr>
          <w:p>
            <w:pPr/>
            <w:r>
              <w:rPr>
                <w:sz w:val="24"/>
                <w:color w:val="000000"/>
              </w:rPr>
              <w:t xml:space="preserve">AI主要处理标准化、规则明确、知识库已有答案的问题</w:t>
            </w:r>
          </w:p>
        </w:tc>
        <w:tc>
          <w:tcPr>
            <w:tcW w:w="2808" w:type="dxa"/>
          </w:tcPr>
          <w:p>
            <w:pPr>
              <w:ind/>
            </w:pPr>
            <w:sdt>
              <w:sdtPr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hint="eastAsia"/>
                  </w:rPr>
                  <w:t xml:space="preserve">☑</w:t>
                </w:r>
              </w:sdtContent>
            </w:sdt>
            <w:r>
              <w:t xml:space="preserve">已确认</w:t>
            </w:r>
          </w:p>
        </w:tc>
        <w:tc>
          <w:tcPr>
            <w:tcW w:w="2824" w:type="dxa"/>
          </w:tcPr>
          <w:p>
            <w:pPr/>
            <w:r>
              <w:rPr>
                <w:sz w:val="24"/>
                <w:color w:val="000000"/>
              </w:rPr>
              <w:t xml:space="preserve">哪些具体问题可以由AI处理</w:t>
            </w:r>
          </w:p>
        </w:tc>
      </w:tr>
      <w:tr>
        <w:trPr>
          <w:trHeight w:val="0"/>
        </w:trPr>
        <w:tc>
          <w:tcPr>
            <w:tcW w:w="2793" w:type="dxa"/>
          </w:tcPr>
          <w:p>
            <w:pPr/>
            <w:r>
              <w:t xml:space="preserve">AI无法解答</w:t>
            </w:r>
          </w:p>
        </w:tc>
        <w:tc>
          <w:tcPr>
            <w:tcW w:w="2793" w:type="dxa"/>
          </w:tcPr>
          <w:p>
            <w:pPr/>
            <w:r>
              <w:rPr>
                <w:sz w:val="24"/>
                <w:color w:val="000000"/>
              </w:rPr>
              <w:t xml:space="preserve">引导用户发送人工客服邮件，或通过后台提交问题（附上两种联系方式）</w:t>
            </w:r>
          </w:p>
        </w:tc>
        <w:tc>
          <w:tcPr>
            <w:tcW w:w="2808" w:type="dxa"/>
          </w:tcPr>
          <w:p>
            <w:pPr>
              <w:ind/>
            </w:pPr>
            <w:sdt>
              <w:sdtPr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hint="eastAsia"/>
                  </w:rPr>
                  <w:t xml:space="preserve">☑</w:t>
                </w:r>
              </w:sdtContent>
            </w:sdt>
            <w:r>
              <w:t xml:space="preserve">已确定</w:t>
            </w:r>
          </w:p>
        </w:tc>
        <w:tc>
          <w:tcPr>
            <w:tcW w:w="2824" w:type="dxa"/>
          </w:tcPr>
          <w:p>
            <w:pPr/>
            <w:r>
              <w:t xml:space="preserve">统一规定什么时候停止回答</w:t>
            </w:r>
          </w:p>
        </w:tc>
      </w:tr>
      <w:tr>
        <w:trPr>
          <w:trHeight w:val="0"/>
        </w:trPr>
        <w:tc>
          <w:tcPr>
            <w:tcW w:w="2793" w:type="dxa"/>
          </w:tcPr>
          <w:p>
            <w:pPr/>
            <w:r>
              <w:t xml:space="preserve">用户主动找人工支持</w:t>
            </w:r>
          </w:p>
        </w:tc>
        <w:tc>
          <w:tcPr>
            <w:tcW w:w="2793" w:type="dxa"/>
          </w:tcPr>
          <w:p>
            <w:pPr/>
            <w:r>
              <w:rPr>
                <w:sz w:val="24"/>
                <w:color w:val="000000"/>
              </w:rPr>
              <w:t xml:space="preserve">暂不设置在线转人工入口；用户需要人工帮助时，引导至邮件或后台反馈（附上两种联系方式）</w:t>
            </w:r>
          </w:p>
        </w:tc>
        <w:tc>
          <w:tcPr>
            <w:tcW w:w="2808" w:type="dxa"/>
          </w:tcPr>
          <w:p>
            <w:pPr>
              <w:ind/>
            </w:pPr>
            <w:sdt>
              <w:sdtPr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hint="eastAsia"/>
                  </w:rPr>
                  <w:t xml:space="preserve">☑</w:t>
                </w:r>
              </w:sdtContent>
            </w:sdt>
            <w:r>
              <w:t xml:space="preserve">已确定现状</w:t>
            </w:r>
          </w:p>
        </w:tc>
        <w:tc>
          <w:tcPr>
            <w:tcW w:w="2824" w:type="dxa"/>
          </w:tcPr>
          <w:p>
            <w:pPr/>
            <w:r>
              <w:t xml:space="preserve">-</w:t>
            </w:r>
          </w:p>
        </w:tc>
      </w:tr>
      <w:tr>
        <w:trPr>
          <w:trHeight w:val="0"/>
        </w:trPr>
        <w:tc>
          <w:tcPr>
            <w:tcW w:w="2793" w:type="dxa"/>
          </w:tcPr>
          <w:p>
            <w:pPr/>
            <w:r>
              <w:t xml:space="preserve">人工回复方式</w:t>
            </w:r>
          </w:p>
        </w:tc>
        <w:tc>
          <w:tcPr>
            <w:tcW w:w="2793" w:type="dxa"/>
          </w:tcPr>
          <w:p>
            <w:pPr/>
            <w:r>
              <w:rPr>
                <w:sz w:val="24"/>
                <w:color w:val="000000"/>
              </w:rPr>
              <w:t xml:space="preserve">提交问题后，告知用户支持团队预计在24小时内回复（明确的服务承诺）</w:t>
            </w:r>
          </w:p>
        </w:tc>
        <w:tc>
          <w:tcPr>
            <w:tcW w:w="2808" w:type="dxa"/>
          </w:tcPr>
          <w:p>
            <w:pPr>
              <w:ind/>
            </w:pPr>
            <w:sdt>
              <w:sdtPr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hint="eastAsia"/>
                  </w:rPr>
                  <w:t xml:space="preserve">☑</w:t>
                </w:r>
              </w:sdtContent>
            </w:sdt>
            <w:r>
              <w:t xml:space="preserve">已确定</w:t>
            </w:r>
          </w:p>
        </w:tc>
        <w:tc>
          <w:tcPr>
            <w:tcW w:w="2824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2793" w:type="dxa"/>
          </w:tcPr>
          <w:p>
            <w:pPr/>
            <w:r>
              <w:rPr>
                <w:color w:val="2C2C2B"/>
                <w:shd w:val="clear" w:color="auto" w:fill="FFF5B8"/>
              </w:rPr>
              <w:t xml:space="preserve">会话记录</w:t>
            </w:r>
          </w:p>
        </w:tc>
        <w:tc>
          <w:tcPr>
            <w:tcW w:w="2793" w:type="dxa"/>
          </w:tcPr>
          <w:p>
            <w:pPr/>
            <w:r>
              <w:t xml:space="preserve">用户可自行查询历史对话记录</w:t>
            </w:r>
          </w:p>
        </w:tc>
        <w:tc>
          <w:tcPr>
            <w:tcW w:w="2808" w:type="dxa"/>
          </w:tcPr>
          <w:p>
            <w:pPr>
              <w:ind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hint="eastAsia"/>
                  </w:rPr>
                  <w:t xml:space="preserve">☐</w:t>
                </w:r>
              </w:sdtContent>
            </w:sdt>
            <w:r>
              <w:t xml:space="preserve">待确定</w:t>
            </w:r>
          </w:p>
        </w:tc>
        <w:tc>
          <w:tcPr>
            <w:tcW w:w="2824" w:type="dxa"/>
          </w:tcPr>
          <w:p>
            <w:pPr/>
            <w:r>
              <w:rPr>
                <w:sz w:val="24"/>
                <w:color w:val="000000"/>
              </w:rPr>
              <w:t xml:space="preserve">是否需要作为首期功能上线？</w:t>
            </w:r>
          </w:p>
        </w:tc>
      </w:tr>
      <w:tr>
        <w:trPr>
          <w:trHeight w:val="0"/>
        </w:trPr>
        <w:tc>
          <w:tcPr>
            <w:tcW w:w="2793" w:type="dxa"/>
          </w:tcPr>
          <w:p>
            <w:pPr/>
            <w:r>
              <w:t xml:space="preserve">网站反馈入口</w:t>
            </w:r>
          </w:p>
        </w:tc>
        <w:tc>
          <w:tcPr>
            <w:tcW w:w="2793" w:type="dxa"/>
          </w:tcPr>
          <w:p>
            <w:pPr/>
            <w:r>
              <w:rPr>
                <w:sz w:val="24"/>
                <w:color w:val="000000"/>
              </w:rPr>
              <w:t xml:space="preserve">不设置AI对话评分；对话结束后展示网站/产品整体反馈入口</w:t>
            </w:r>
          </w:p>
        </w:tc>
        <w:tc>
          <w:tcPr>
            <w:tcW w:w="2808" w:type="dxa"/>
          </w:tcPr>
          <w:p>
            <w:pPr>
              <w:ind/>
            </w:pPr>
            <w:sdt>
              <w:sdtPr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hint="eastAsia"/>
                  </w:rPr>
                  <w:t xml:space="preserve">☑</w:t>
                </w:r>
              </w:sdtContent>
            </w:sdt>
            <w:r>
              <w:t xml:space="preserve">已确定</w:t>
            </w:r>
          </w:p>
        </w:tc>
        <w:tc>
          <w:tcPr>
            <w:tcW w:w="2824" w:type="dxa"/>
          </w:tcPr>
          <w:p>
            <w:pPr/>
            <w:r>
              <w:t xml:space="preserve">已确定不评价AI</w:t>
            </w:r>
          </w:p>
          <w:p>
            <w:pPr/>
            <w:r>
              <w:t xml:space="preserve">只收集网站/产品反馈</w:t>
            </w:r>
          </w:p>
        </w:tc>
      </w:tr>
      <w:tr>
        <w:trPr>
          <w:trHeight w:val="0"/>
        </w:trPr>
        <w:tc>
          <w:tcPr>
            <w:tcW w:w="2793" w:type="dxa"/>
          </w:tcPr>
          <w:p>
            <w:pPr/>
            <w:r>
              <w:t xml:space="preserve">知识内容来源</w:t>
            </w:r>
          </w:p>
        </w:tc>
        <w:tc>
          <w:tcPr>
            <w:tcW w:w="2793" w:type="dxa"/>
          </w:tcPr>
          <w:p>
            <w:pPr/>
            <w:r>
              <w:rPr>
                <w:sz w:val="24"/>
                <w:color w:val="000000"/>
              </w:rPr>
              <w:t xml:space="preserve">以内部产品信息为主，SEO Blog作为补充内容</w:t>
            </w:r>
          </w:p>
        </w:tc>
        <w:tc>
          <w:tcPr>
            <w:tcW w:w="2808" w:type="dxa"/>
          </w:tcPr>
          <w:p>
            <w:pPr>
              <w:ind/>
            </w:pPr>
            <w:sdt>
              <w:sdtPr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hint="eastAsia"/>
                  </w:rPr>
                  <w:t xml:space="preserve">☑</w:t>
                </w:r>
              </w:sdtContent>
            </w:sdt>
            <w:r>
              <w:t xml:space="preserve">已确认</w:t>
            </w:r>
          </w:p>
        </w:tc>
        <w:tc>
          <w:tcPr>
            <w:tcW w:w="2824" w:type="dxa"/>
          </w:tcPr>
          <w:p>
            <w:pPr/>
            <w:r>
              <w:rPr>
                <w:sz w:val="24"/>
                <w:color w:val="000000"/>
              </w:rPr>
              <w:t xml:space="preserve">哪些内部资料可以使用，谁负责更新？</w:t>
            </w:r>
          </w:p>
        </w:tc>
      </w:tr>
      <w:tr>
        <w:trPr>
          <w:trHeight w:val="0"/>
        </w:trPr>
        <w:tc>
          <w:tcPr>
            <w:tcW w:w="2793" w:type="dxa"/>
          </w:tcPr>
          <w:p>
            <w:pPr/>
            <w:r>
              <w:t xml:space="preserve">提交人工反馈所需信息</w:t>
            </w:r>
          </w:p>
        </w:tc>
        <w:tc>
          <w:tcPr>
            <w:tcW w:w="2793" w:type="dxa"/>
          </w:tcPr>
          <w:p>
            <w:pPr/>
            <w:r>
              <w:rPr>
                <w:sz w:val="24"/>
                <w:color w:val="000000"/>
              </w:rPr>
              <w:t xml:space="preserve">用户提供产品名称、账号邮箱、问题描述；根据问题补充截图、错误码或项目链接</w:t>
            </w:r>
          </w:p>
        </w:tc>
        <w:tc>
          <w:tcPr>
            <w:tcW w:w="2808" w:type="dxa"/>
          </w:tcPr>
          <w:p>
            <w:pPr>
              <w:ind/>
            </w:pPr>
            <w:sdt>
              <w:sdtPr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hint="eastAsia"/>
                  </w:rPr>
                  <w:t xml:space="preserve">☑</w:t>
                </w:r>
              </w:sdtContent>
            </w:sdt>
            <w:r>
              <w:t xml:space="preserve">已确认</w:t>
            </w:r>
          </w:p>
        </w:tc>
        <w:tc>
          <w:tcPr>
            <w:tcW w:w="2824" w:type="dxa"/>
          </w:tcPr>
          <w:p>
            <w:pPr/>
            <w:r>
              <w:t xml:space="preserve">需确认当前必填信息</w:t>
            </w:r>
          </w:p>
        </w:tc>
      </w:tr>
    </w:tbl>
    <w:p>
      <w:bookmarkStart w:id="mucdsyiwm7hulgcexs" w:name="mucdsyiwm7hulgcexs"/>
      <w:pPr>
        <w:pStyle w:val="dingding-heading3"/>
        <w:spacing w:line="223.99999999999997"/>
      </w:pPr>
      <w:r>
        <w:rPr>
          <w:sz w:val="29"/>
          <w:b w:val="1"/>
        </w:rPr>
        <w:t xml:space="preserve">AI服务边界补充：（AI平时可以回答哪些内容？）</w:t>
      </w:r>
      <w:bookmarkEnd w:id="mucdsyiwm7hulgcexs"/>
    </w:p>
    <w:p>
      <w:pPr/>
      <w:r>
        <w:rPr>
          <w:color w:val="000000"/>
        </w:rPr>
        <w:t xml:space="preserve">它主要取决于TotalMedia现有的知识来源：</w:t>
      </w:r>
    </w:p>
    <w:p>
      <w:pPr>
        <w:numPr>
          <w:ilvl w:val="0"/>
          <w:numId w:val="3"/>
        </w:numPr>
      </w:pPr>
      <w:r>
        <w:rPr>
          <w:color w:val="000000"/>
        </w:rPr>
        <w:t xml:space="preserve">TM官网产品页</w:t>
      </w:r>
    </w:p>
    <w:p>
      <w:pPr>
        <w:numPr>
          <w:ilvl w:val="0"/>
          <w:numId w:val="3"/>
        </w:numPr>
      </w:pPr>
      <w:r>
        <w:rPr>
          <w:color w:val="000000"/>
        </w:rPr>
        <w:t xml:space="preserve">Guide和FAQ</w:t>
      </w:r>
    </w:p>
    <w:p>
      <w:pPr>
        <w:numPr>
          <w:ilvl w:val="0"/>
          <w:numId w:val="3"/>
        </w:numPr>
      </w:pPr>
      <w:r>
        <w:rPr>
          <w:color w:val="000000"/>
        </w:rPr>
        <w:t xml:space="preserve">订阅、支付、隐私等正式规则</w:t>
      </w:r>
    </w:p>
    <w:p>
      <w:pPr>
        <w:numPr>
          <w:ilvl w:val="0"/>
          <w:numId w:val="3"/>
        </w:numPr>
      </w:pPr>
      <w:r>
        <w:rPr>
          <w:color w:val="2C2C2B"/>
          <w:shd w:val="clear" w:color="auto" w:fill="FFF5B8"/>
        </w:rPr>
        <w:t xml:space="preserve">后续补充的标准回答模板</w:t>
      </w:r>
      <w:r>
        <w:rPr>
          <w:color w:val="000000"/>
        </w:rPr>
        <w:t xml:space="preserve">。</w:t>
      </w:r>
    </w:p>
    <w:p>
      <w:bookmarkStart w:id="mucdwmbva2ntz2414mn" w:name="mucdwmbva2ntz2414mn"/>
      <w:pPr>
        <w:pStyle w:val="dingding-heading3"/>
        <w:spacing w:line="223.99999999999997"/>
      </w:pPr>
      <w:r>
        <w:rPr>
          <w:sz w:val="29"/>
          <w:b w:val="1"/>
        </w:rPr>
        <w:t xml:space="preserve">AI无法解答的情况补充：（出现以下情况，AI停止继续回答，并引导用户通过邮件或后台提交人工反馈）</w:t>
      </w:r>
      <w:bookmarkEnd w:id="mucdwmbva2ntz2414mn"/>
    </w:p>
    <w:p>
      <w:pPr>
        <w:numPr>
          <w:ilvl w:val="0"/>
          <w:numId w:val="4"/>
        </w:numPr>
      </w:pPr>
      <w:r>
        <w:rPr>
          <w:sz w:val="24"/>
          <w:color w:val="000000"/>
        </w:rPr>
        <w:t xml:space="preserve">涉及具体退款申请、付款结果、账号权限或删除账号；</w:t>
      </w:r>
      <w:r>
        <w:rPr>
          <w:sz w:val="24"/>
          <w:color w:val="000000"/>
          <w:b w:val="1"/>
        </w:rPr>
        <w:t xml:space="preserve">（“支持什么支付方式”“退款规则是什么”，如果官网有明确说明，可以回答）</w:t>
      </w:r>
    </w:p>
    <w:p>
      <w:pPr>
        <w:numPr>
          <w:ilvl w:val="0"/>
          <w:numId w:val="5"/>
        </w:numPr>
      </w:pPr>
      <w:r>
        <w:rPr>
          <w:sz w:val="24"/>
          <w:color w:val="000000"/>
        </w:rPr>
        <w:t xml:space="preserve">需要查询后台订单、项目状态或技术日志；</w:t>
      </w:r>
    </w:p>
    <w:p>
      <w:pPr>
        <w:numPr>
          <w:ilvl w:val="0"/>
          <w:numId w:val="6"/>
        </w:numPr>
      </w:pPr>
      <w:r>
        <w:rPr>
          <w:sz w:val="24"/>
          <w:color w:val="000000"/>
        </w:rPr>
        <w:t xml:space="preserve">AI给出解决步骤后，用户反馈仍未解决；</w:t>
      </w:r>
    </w:p>
    <w:p>
      <w:pPr>
        <w:numPr>
          <w:ilvl w:val="0"/>
          <w:numId w:val="7"/>
        </w:numPr>
      </w:pPr>
      <w:r>
        <w:rPr>
          <w:sz w:val="24"/>
          <w:color w:val="000000"/>
        </w:rPr>
        <w:t xml:space="preserve">经过1–2轮追问后，AI仍无法判断原因；</w:t>
      </w:r>
    </w:p>
    <w:p>
      <w:pPr>
        <w:numPr>
          <w:ilvl w:val="0"/>
          <w:numId w:val="8"/>
        </w:numPr>
      </w:pPr>
      <w:r>
        <w:rPr>
          <w:sz w:val="24"/>
          <w:color w:val="000000"/>
        </w:rPr>
        <w:t xml:space="preserve">知识库中没有对应答案；</w:t>
      </w:r>
    </w:p>
    <w:p>
      <w:pPr>
        <w:numPr>
          <w:ilvl w:val="0"/>
          <w:numId w:val="9"/>
        </w:numPr>
      </w:pPr>
      <w:r>
        <w:rPr>
          <w:sz w:val="24"/>
          <w:color w:val="000000"/>
        </w:rPr>
        <w:t xml:space="preserve">用户明确要求联系人工支持；</w:t>
      </w:r>
    </w:p>
    <w:p>
      <w:pPr>
        <w:numPr>
          <w:ilvl w:val="0"/>
          <w:numId w:val="10"/>
        </w:numPr>
      </w:pPr>
      <w:r>
        <w:rPr>
          <w:sz w:val="24"/>
          <w:color w:val="000000"/>
        </w:rPr>
        <w:t xml:space="preserve">用户投诉强烈，或涉及隐私、安全问题。</w:t>
      </w:r>
    </w:p>
    <w:p>
      <w:pPr/>
      <w:r>
        <w:rPr>
          <w:sz w:val="24"/>
          <w:color w:val="000000"/>
        </w:rPr>
      </w:r>
    </w:p>
    <w:p>
      <w:pPr>
        <w:ind/>
      </w:pPr>
      <w:r/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5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8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4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7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0" w15:restartNumberingAfterBreak="0">
    <w:lvl w:ilvl="0">
      <w:start w:val="1"/>
      <w:numFmt w:val="decimal"/>
      <w:lvlText w:val="%1"/>
      <w:lvlJc w:val="left"/>
      <w:pPr>
        <w:ind w:left="420" w:hanging="420"/>
      </w:pPr>
      <w:rPr/>
    </w:lvl>
  </w:abstractNum>
  <w:abstractNum w:abstractNumId="6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9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num w:numId="6">
    <w:abstractNumId w:val="5"/>
  </w:num>
  <w:num w:numId="1">
    <w:abstractNumId w:val="0"/>
  </w:num>
  <w:num w:numId="8">
    <w:abstractNumId w:val="7"/>
  </w:num>
  <w:num w:numId="5">
    <w:abstractNumId w:val="4"/>
  </w:num>
  <w:num w:numId="2">
    <w:abstractNumId w:val="1"/>
  </w:num>
  <w:num w:numId="10">
    <w:abstractNumId w:val="9"/>
  </w:num>
  <w:num w:numId="9">
    <w:abstractNumId w:val="8"/>
  </w:num>
  <w:num w:numId="4">
    <w:abstractNumId w:val="3"/>
  </w:num>
  <w:num w:numId="7">
    <w:abstractNumId w:val="6"/>
  </w:num>
  <w:num w:numId="3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1" w:styleId="docDefaults">
    <w:name w:val="dingdocnormal"/>
    <w:tcPr/>
    <w:pPr>
      <w:spacing/>
    </w:pPr>
    <w:rPr>
      <w:sz w:val="24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5F6F7"/>
      </w:tcPr>
    </w:tblStylePr>
    <w:tblStylePr w:type="firstCol">
      <w:tcPr>
        <w:shd w:val="clear" w:color="" w:fill="F5F6F7"/>
      </w:tcPr>
    </w:tblStyle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