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7960" w:leader="none"/>
        </w:tabs>
        <w:bidi w:val="0"/>
        <w:rPr>
          <w:rFonts w:ascii="Arial" w:hAnsi="Arial" w:eastAsia="Times New Roman" w:cs="Times New Roman"/>
          <w:b/>
          <w:b/>
          <w:bCs/>
          <w:color w:val="1F3864" w:themeColor="accent5" w:themeShade="80"/>
          <w:sz w:val="44"/>
          <w:szCs w:val="44"/>
        </w:rPr>
      </w:pPr>
      <w:r>
        <w:rPr>
          <w:rFonts w:eastAsia="Times New Roman" w:cs="Times New Roman" w:ascii="Arial" w:hAnsi="Arial"/>
          <w:b/>
          <w:color w:val="1F3864" w:themeColor="accent5" w:themeShade="80"/>
          <w:sz w:val="44"/>
          <w:szCs w:val="44"/>
          <w:lang w:val="en-US"/>
        </w:rPr>
        <w:t>ANÁLISE PESSOAL DA SWOT</w:t>
        <w:tab/>
        <w:tab/>
      </w:r>
      <w:r>
        <w:rPr/>
        <w:drawing>
          <wp:inline distT="0" distB="0" distL="0" distR="0">
            <wp:extent cx="2559050" cy="355600"/>
            <wp:effectExtent l="0" t="0" r="0" b="0"/>
            <wp:docPr id="1" name="Рисунок 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a:hlinkClick r:id="rId3"/>
                    </pic:cNvPr>
                    <pic:cNvPicPr>
                      <a:picLocks noChangeAspect="1" noChangeArrowheads="1"/>
                    </pic:cNvPicPr>
                  </pic:nvPicPr>
                  <pic:blipFill>
                    <a:blip r:embed="rId2"/>
                    <a:stretch>
                      <a:fillRect/>
                    </a:stretch>
                  </pic:blipFill>
                  <pic:spPr bwMode="auto">
                    <a:xfrm>
                      <a:off x="0" y="0"/>
                      <a:ext cx="2559050" cy="355600"/>
                    </a:xfrm>
                    <a:prstGeom prst="rect">
                      <a:avLst/>
                    </a:prstGeom>
                  </pic:spPr>
                </pic:pic>
              </a:graphicData>
            </a:graphic>
          </wp:inline>
        </w:drawing>
      </w:r>
    </w:p>
    <w:tbl>
      <w:tblPr>
        <w:tblW w:w="144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200"/>
        <w:gridCol w:w="7199"/>
      </w:tblGrid>
      <w:tr>
        <w:trPr>
          <w:trHeight w:val="360" w:hRule="atLeast"/>
        </w:trPr>
        <w:tc>
          <w:tcPr>
            <w:tcW w:w="14399" w:type="dxa"/>
            <w:gridSpan w:val="2"/>
            <w:tcBorders>
              <w:top w:val="single" w:sz="8" w:space="0" w:color="344E6D"/>
              <w:left w:val="single" w:sz="8" w:space="0" w:color="344E6D"/>
              <w:bottom w:val="single" w:sz="4" w:space="0" w:color="344E6D"/>
              <w:right w:val="single" w:sz="8" w:space="0" w:color="344E6D"/>
            </w:tcBorders>
            <w:shd w:color="000000" w:fill="344E6D" w:val="clear"/>
            <w:vAlign w:val="center"/>
          </w:tcPr>
          <w:p>
            <w:pPr>
              <w:pStyle w:val="Normal"/>
              <w:widowControl w:val="false"/>
              <w:bidi w:val="0"/>
              <w:jc w:val="center"/>
              <w:rPr>
                <w:rFonts w:ascii="Arial" w:hAnsi="Arial" w:eastAsia="Times New Roman" w:cs="Times New Roman"/>
                <w:b/>
                <w:b/>
                <w:bCs/>
                <w:color w:val="FFFFFF"/>
                <w:sz w:val="22"/>
                <w:szCs w:val="22"/>
              </w:rPr>
            </w:pPr>
            <w:r>
              <w:rPr>
                <w:rFonts w:eastAsia="Times New Roman" w:cs="Times New Roman" w:ascii="Arial" w:hAnsi="Arial"/>
                <w:b/>
                <w:color w:val="FFFFFF"/>
                <w:sz w:val="22"/>
                <w:szCs w:val="22"/>
                <w:lang w:val="en-US"/>
              </w:rPr>
              <w:t>FATORES INTERNOS</w:t>
            </w:r>
          </w:p>
        </w:tc>
      </w:tr>
      <w:tr>
        <w:trPr>
          <w:trHeight w:val="360" w:hRule="atLeast"/>
        </w:trPr>
        <w:tc>
          <w:tcPr>
            <w:tcW w:w="7200" w:type="dxa"/>
            <w:tcBorders>
              <w:left w:val="single" w:sz="8" w:space="0" w:color="344E6D"/>
              <w:bottom w:val="single" w:sz="4" w:space="0" w:color="344E6D"/>
              <w:right w:val="single" w:sz="4" w:space="0" w:color="344E6D"/>
            </w:tcBorders>
            <w:shd w:color="000000" w:fill="809EC2" w:val="clear"/>
            <w:vAlign w:val="center"/>
          </w:tcPr>
          <w:p>
            <w:pPr>
              <w:pStyle w:val="Normal"/>
              <w:widowControl w:val="false"/>
              <w:bidi w:val="0"/>
              <w:jc w:val="center"/>
              <w:rPr>
                <w:rFonts w:ascii="Arial" w:hAnsi="Arial" w:eastAsia="Times New Roman" w:cs="Times New Roman"/>
                <w:b/>
                <w:b/>
                <w:bCs/>
                <w:color w:val="FFFFFF"/>
                <w:sz w:val="22"/>
                <w:szCs w:val="22"/>
              </w:rPr>
            </w:pPr>
            <w:r>
              <w:rPr>
                <w:rFonts w:eastAsia="Times New Roman" w:cs="Times New Roman" w:ascii="Arial" w:hAnsi="Arial"/>
                <w:b/>
                <w:color w:val="FFFFFF"/>
                <w:sz w:val="22"/>
                <w:szCs w:val="22"/>
                <w:lang w:val="en-US"/>
              </w:rPr>
              <w:t>PONTOS FORTES (+)</w:t>
            </w:r>
          </w:p>
        </w:tc>
        <w:tc>
          <w:tcPr>
            <w:tcW w:w="7199" w:type="dxa"/>
            <w:tcBorders>
              <w:bottom w:val="single" w:sz="4" w:space="0" w:color="344E6D"/>
              <w:right w:val="single" w:sz="8" w:space="0" w:color="344E6D"/>
            </w:tcBorders>
            <w:shd w:color="000000" w:fill="A5B592" w:val="clear"/>
            <w:vAlign w:val="center"/>
          </w:tcPr>
          <w:p>
            <w:pPr>
              <w:pStyle w:val="Normal"/>
              <w:widowControl w:val="false"/>
              <w:bidi w:val="0"/>
              <w:jc w:val="center"/>
              <w:rPr>
                <w:rFonts w:ascii="Arial" w:hAnsi="Arial" w:eastAsia="Times New Roman" w:cs="Times New Roman"/>
                <w:b/>
                <w:b/>
                <w:bCs/>
                <w:color w:val="FFFFFF"/>
                <w:sz w:val="22"/>
                <w:szCs w:val="22"/>
              </w:rPr>
            </w:pPr>
            <w:r>
              <w:rPr>
                <w:rFonts w:eastAsia="Times New Roman" w:cs="Times New Roman" w:ascii="Arial" w:hAnsi="Arial"/>
                <w:b/>
                <w:color w:val="FFFFFF"/>
                <w:sz w:val="22"/>
                <w:szCs w:val="22"/>
                <w:lang w:val="en-US"/>
              </w:rPr>
              <w:t>FRAQUEZAS (-)</w:t>
            </w:r>
          </w:p>
        </w:tc>
      </w:tr>
      <w:tr>
        <w:trPr>
          <w:trHeight w:val="4166" w:hRule="atLeast"/>
        </w:trPr>
        <w:tc>
          <w:tcPr>
            <w:tcW w:w="7200" w:type="dxa"/>
            <w:tcBorders>
              <w:left w:val="single" w:sz="8" w:space="0" w:color="344E6D"/>
              <w:bottom w:val="single" w:sz="8" w:space="0" w:color="344E6D"/>
              <w:right w:val="single" w:sz="4" w:space="0" w:color="344E6D"/>
            </w:tcBorders>
            <w:shd w:color="000000" w:fill="E6EBF2" w:val="clear"/>
          </w:tcPr>
          <w:p>
            <w:pPr>
              <w:pStyle w:val="Normal"/>
              <w:widowControl w:val="false"/>
              <w:bidi w:val="0"/>
              <w:rPr>
                <w:rFonts w:ascii="Arial" w:hAnsi="Arial" w:eastAsia="Times New Roman" w:cs="Times New Roman"/>
                <w:color w:val="000000"/>
                <w:sz w:val="18"/>
                <w:szCs w:val="18"/>
              </w:rPr>
            </w:pPr>
            <w:r>
              <w:rPr>
                <w:rFonts w:eastAsia="Times New Roman" w:cs="Times New Roman" w:ascii="Arial" w:hAnsi="Arial"/>
                <w:color w:val="000000"/>
                <w:sz w:val="18"/>
                <w:szCs w:val="18"/>
              </w:rPr>
            </w:r>
          </w:p>
          <w:p>
            <w:pPr>
              <w:pStyle w:val="Normal"/>
              <w:widowControl w:val="false"/>
              <w:numPr>
                <w:ilvl w:val="0"/>
                <w:numId w:val="1"/>
              </w:numPr>
              <w:bidi w:val="0"/>
              <w:rPr>
                <w:rFonts w:ascii="ARial" w:hAnsi="ARial"/>
              </w:rPr>
            </w:pPr>
            <w:r>
              <w:rPr>
                <w:rFonts w:ascii="ARial" w:hAnsi="ARial"/>
              </w:rPr>
              <w:t>Comunicação</w:t>
            </w:r>
          </w:p>
          <w:p>
            <w:pPr>
              <w:pStyle w:val="Normal"/>
              <w:widowControl w:val="false"/>
              <w:numPr>
                <w:ilvl w:val="0"/>
                <w:numId w:val="1"/>
              </w:numPr>
              <w:bidi w:val="0"/>
              <w:rPr>
                <w:rFonts w:ascii="ARial" w:hAnsi="ARial"/>
              </w:rPr>
            </w:pPr>
            <w:r>
              <w:rPr>
                <w:rFonts w:ascii="ARial" w:hAnsi="ARial"/>
              </w:rPr>
              <w:t>Foco em aprender, mesmo não sabendo</w:t>
            </w:r>
          </w:p>
          <w:p>
            <w:pPr>
              <w:pStyle w:val="Normal"/>
              <w:widowControl w:val="false"/>
              <w:numPr>
                <w:ilvl w:val="0"/>
                <w:numId w:val="1"/>
              </w:numPr>
              <w:bidi w:val="0"/>
              <w:rPr>
                <w:rFonts w:ascii="ARial" w:hAnsi="ARial"/>
              </w:rPr>
            </w:pPr>
            <w:r>
              <w:rPr>
                <w:rFonts w:ascii="ARial" w:hAnsi="ARial"/>
              </w:rPr>
              <w:t>Resiliência</w:t>
            </w:r>
          </w:p>
          <w:p>
            <w:pPr>
              <w:pStyle w:val="Normal"/>
              <w:widowControl w:val="false"/>
              <w:numPr>
                <w:ilvl w:val="0"/>
                <w:numId w:val="1"/>
              </w:numPr>
              <w:bidi w:val="0"/>
              <w:rPr>
                <w:rFonts w:ascii="ARial" w:hAnsi="ARial"/>
              </w:rPr>
            </w:pPr>
            <w:r>
              <w:rPr>
                <w:rFonts w:ascii="ARial" w:hAnsi="ARial"/>
              </w:rPr>
              <w:t>Proatividade</w:t>
            </w:r>
          </w:p>
          <w:p>
            <w:pPr>
              <w:pStyle w:val="Normal"/>
              <w:widowControl w:val="false"/>
              <w:numPr>
                <w:ilvl w:val="0"/>
                <w:numId w:val="1"/>
              </w:numPr>
              <w:bidi w:val="0"/>
              <w:rPr>
                <w:rFonts w:ascii="ARial" w:hAnsi="ARial"/>
              </w:rPr>
            </w:pPr>
            <w:r>
              <w:rPr>
                <w:rFonts w:ascii="ARial" w:hAnsi="ARial"/>
              </w:rPr>
              <w:t>Disposição</w:t>
            </w:r>
          </w:p>
          <w:p>
            <w:pPr>
              <w:pStyle w:val="Normal"/>
              <w:widowControl w:val="false"/>
              <w:bidi w:val="0"/>
              <w:rPr>
                <w:rFonts w:ascii="Arial" w:hAnsi="Arial" w:eastAsia="Times New Roman" w:cs="Times New Roman"/>
                <w:color w:val="000000"/>
                <w:sz w:val="18"/>
                <w:szCs w:val="18"/>
              </w:rPr>
            </w:pPr>
            <w:r>
              <w:rPr>
                <w:rFonts w:eastAsia="Times New Roman" w:cs="Times New Roman" w:ascii="Arial" w:hAnsi="Arial"/>
                <w:color w:val="000000"/>
                <w:sz w:val="18"/>
                <w:szCs w:val="18"/>
              </w:rPr>
            </w:r>
          </w:p>
          <w:p>
            <w:pPr>
              <w:pStyle w:val="Normal"/>
              <w:widowControl w:val="false"/>
              <w:bidi w:val="0"/>
              <w:rPr>
                <w:rFonts w:ascii="Arial" w:hAnsi="Arial" w:eastAsia="Times New Roman" w:cs="Times New Roman"/>
                <w:color w:val="000000"/>
                <w:sz w:val="18"/>
                <w:szCs w:val="18"/>
              </w:rPr>
            </w:pPr>
            <w:r>
              <w:rPr>
                <w:rFonts w:eastAsia="Times New Roman" w:cs="Times New Roman" w:ascii="Arial" w:hAnsi="Arial"/>
                <w:color w:val="000000"/>
                <w:sz w:val="18"/>
                <w:szCs w:val="18"/>
              </w:rPr>
            </w:r>
          </w:p>
        </w:tc>
        <w:tc>
          <w:tcPr>
            <w:tcW w:w="7199" w:type="dxa"/>
            <w:tcBorders>
              <w:bottom w:val="single" w:sz="8" w:space="0" w:color="344E6D"/>
              <w:right w:val="single" w:sz="8" w:space="0" w:color="344E6D"/>
            </w:tcBorders>
            <w:shd w:color="000000" w:fill="ECEFE9" w:val="clear"/>
          </w:tcPr>
          <w:p>
            <w:pPr>
              <w:pStyle w:val="Normal"/>
              <w:widowControl w:val="false"/>
              <w:bidi w:val="0"/>
              <w:rPr>
                <w:rFonts w:ascii="Arial" w:hAnsi="Arial" w:eastAsia="Times New Roman" w:cs="Times New Roman"/>
                <w:color w:val="000000"/>
                <w:sz w:val="18"/>
                <w:szCs w:val="18"/>
              </w:rPr>
            </w:pPr>
            <w:r>
              <w:rPr>
                <w:rFonts w:eastAsia="Times New Roman" w:cs="Times New Roman" w:ascii="Arial" w:hAnsi="Arial"/>
                <w:color w:val="000000"/>
                <w:sz w:val="18"/>
                <w:szCs w:val="18"/>
              </w:rPr>
            </w:r>
          </w:p>
          <w:p>
            <w:pPr>
              <w:pStyle w:val="Normal"/>
              <w:widowControl w:val="false"/>
              <w:numPr>
                <w:ilvl w:val="0"/>
                <w:numId w:val="1"/>
              </w:numPr>
              <w:bidi w:val="0"/>
              <w:rPr>
                <w:rFonts w:ascii="Arial" w:hAnsi="Arial" w:eastAsia="Times New Roman" w:cs="Times New Roman"/>
                <w:color w:val="000000"/>
                <w:sz w:val="24"/>
                <w:szCs w:val="24"/>
              </w:rPr>
            </w:pPr>
            <w:r>
              <w:rPr>
                <w:rFonts w:eastAsia="Times New Roman" w:cs="Times New Roman" w:ascii="Arial" w:hAnsi="Arial"/>
                <w:color w:val="000000"/>
                <w:sz w:val="24"/>
                <w:szCs w:val="24"/>
              </w:rPr>
              <w:t>Não saber explicar quando é necessário ajuda</w:t>
            </w:r>
          </w:p>
          <w:p>
            <w:pPr>
              <w:pStyle w:val="Normal"/>
              <w:widowControl w:val="false"/>
              <w:numPr>
                <w:ilvl w:val="0"/>
                <w:numId w:val="1"/>
              </w:numPr>
              <w:bidi w:val="0"/>
              <w:rPr>
                <w:rFonts w:ascii="Arial" w:hAnsi="Arial" w:eastAsia="Times New Roman" w:cs="Times New Roman"/>
                <w:color w:val="000000"/>
                <w:sz w:val="24"/>
                <w:szCs w:val="24"/>
              </w:rPr>
            </w:pPr>
            <w:r>
              <w:rPr>
                <w:rFonts w:eastAsia="Times New Roman" w:cs="Times New Roman" w:ascii="Arial" w:hAnsi="Arial"/>
                <w:color w:val="000000"/>
                <w:sz w:val="24"/>
                <w:szCs w:val="24"/>
              </w:rPr>
              <w:t>Transferir as regras de negócio para o código</w:t>
            </w:r>
          </w:p>
          <w:p>
            <w:pPr>
              <w:pStyle w:val="Normal"/>
              <w:widowControl w:val="false"/>
              <w:numPr>
                <w:ilvl w:val="0"/>
                <w:numId w:val="1"/>
              </w:numPr>
              <w:bidi w:val="0"/>
              <w:rPr>
                <w:rFonts w:ascii="Arial" w:hAnsi="Arial" w:eastAsia="Times New Roman" w:cs="Times New Roman"/>
                <w:color w:val="000000"/>
                <w:sz w:val="24"/>
                <w:szCs w:val="24"/>
              </w:rPr>
            </w:pPr>
            <w:r>
              <w:rPr>
                <w:rFonts w:eastAsia="Times New Roman" w:cs="Times New Roman" w:ascii="Arial" w:hAnsi="Arial"/>
                <w:color w:val="000000"/>
                <w:sz w:val="24"/>
                <w:szCs w:val="24"/>
              </w:rPr>
              <w:t>Procrastinação</w:t>
            </w:r>
          </w:p>
          <w:p>
            <w:pPr>
              <w:pStyle w:val="Normal"/>
              <w:widowControl w:val="false"/>
              <w:numPr>
                <w:ilvl w:val="0"/>
                <w:numId w:val="1"/>
              </w:numPr>
              <w:bidi w:val="0"/>
              <w:rPr>
                <w:rFonts w:ascii="Arial" w:hAnsi="Arial" w:eastAsia="Times New Roman" w:cs="Times New Roman"/>
                <w:color w:val="000000"/>
                <w:sz w:val="24"/>
                <w:szCs w:val="24"/>
              </w:rPr>
            </w:pPr>
            <w:r>
              <w:rPr>
                <w:rFonts w:eastAsia="Times New Roman" w:cs="Times New Roman" w:ascii="Arial" w:hAnsi="Arial"/>
                <w:color w:val="000000"/>
                <w:sz w:val="24"/>
                <w:szCs w:val="24"/>
              </w:rPr>
              <w:t>Dispersar fácil</w:t>
            </w:r>
          </w:p>
        </w:tc>
      </w:tr>
      <w:tr>
        <w:trPr>
          <w:trHeight w:val="142" w:hRule="exact"/>
        </w:trPr>
        <w:tc>
          <w:tcPr>
            <w:tcW w:w="7200" w:type="dxa"/>
            <w:tcBorders/>
            <w:shd w:color="auto" w:fill="auto" w:val="clear"/>
            <w:vAlign w:val="center"/>
          </w:tcPr>
          <w:p>
            <w:pPr>
              <w:pStyle w:val="Normal"/>
              <w:widowControl w:val="false"/>
              <w:bidi w:val="0"/>
              <w:rPr>
                <w:rFonts w:ascii="Arial" w:hAnsi="Arial" w:eastAsia="Times New Roman" w:cs="Times New Roman"/>
                <w:color w:val="000000"/>
                <w:sz w:val="18"/>
                <w:szCs w:val="18"/>
              </w:rPr>
            </w:pPr>
            <w:r>
              <w:rPr>
                <w:rFonts w:eastAsia="Times New Roman" w:cs="Times New Roman" w:ascii="Arial" w:hAnsi="Arial"/>
                <w:color w:val="000000"/>
                <w:sz w:val="18"/>
                <w:szCs w:val="18"/>
              </w:rPr>
            </w:r>
          </w:p>
        </w:tc>
        <w:tc>
          <w:tcPr>
            <w:tcW w:w="7199" w:type="dxa"/>
            <w:tcBorders/>
            <w:shd w:color="auto" w:fill="auto" w:val="clear"/>
            <w:vAlign w:val="center"/>
          </w:tcPr>
          <w:p>
            <w:pPr>
              <w:pStyle w:val="Normal"/>
              <w:widowControl w:val="false"/>
              <w:bidi w:val="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14399" w:type="dxa"/>
            <w:gridSpan w:val="2"/>
            <w:tcBorders>
              <w:top w:val="single" w:sz="8" w:space="0" w:color="7A620E"/>
              <w:left w:val="single" w:sz="8" w:space="0" w:color="7A620E"/>
              <w:bottom w:val="single" w:sz="4" w:space="0" w:color="7A620E"/>
              <w:right w:val="single" w:sz="8" w:space="0" w:color="7A620E"/>
            </w:tcBorders>
            <w:shd w:color="000000" w:fill="94560A" w:val="clear"/>
            <w:vAlign w:val="center"/>
          </w:tcPr>
          <w:p>
            <w:pPr>
              <w:pStyle w:val="Normal"/>
              <w:widowControl w:val="false"/>
              <w:bidi w:val="0"/>
              <w:jc w:val="center"/>
              <w:rPr>
                <w:rFonts w:ascii="Arial" w:hAnsi="Arial" w:eastAsia="Times New Roman" w:cs="Times New Roman"/>
                <w:b/>
                <w:b/>
                <w:bCs/>
                <w:color w:val="FFFFFF"/>
                <w:sz w:val="22"/>
                <w:szCs w:val="22"/>
              </w:rPr>
            </w:pPr>
            <w:r>
              <w:rPr>
                <w:rFonts w:eastAsia="Times New Roman" w:cs="Times New Roman" w:ascii="Arial" w:hAnsi="Arial"/>
                <w:b/>
                <w:color w:val="FFFFFF"/>
                <w:sz w:val="22"/>
                <w:szCs w:val="22"/>
                <w:lang w:val="en-US"/>
              </w:rPr>
              <w:t>FATORES EXTERNOS</w:t>
            </w:r>
          </w:p>
        </w:tc>
      </w:tr>
      <w:tr>
        <w:trPr>
          <w:trHeight w:val="360" w:hRule="atLeast"/>
        </w:trPr>
        <w:tc>
          <w:tcPr>
            <w:tcW w:w="7200" w:type="dxa"/>
            <w:tcBorders>
              <w:left w:val="single" w:sz="8" w:space="0" w:color="7A620E"/>
              <w:bottom w:val="single" w:sz="4" w:space="0" w:color="7A620E"/>
              <w:right w:val="single" w:sz="4" w:space="0" w:color="7A620E"/>
            </w:tcBorders>
            <w:shd w:color="000000" w:fill="DE810E" w:val="clear"/>
            <w:vAlign w:val="center"/>
          </w:tcPr>
          <w:p>
            <w:pPr>
              <w:pStyle w:val="Normal"/>
              <w:widowControl w:val="false"/>
              <w:bidi w:val="0"/>
              <w:jc w:val="center"/>
              <w:rPr>
                <w:rFonts w:ascii="Arial" w:hAnsi="Arial" w:eastAsia="Times New Roman" w:cs="Times New Roman"/>
                <w:b/>
                <w:b/>
                <w:bCs/>
                <w:color w:val="FFFFFF"/>
                <w:sz w:val="22"/>
                <w:szCs w:val="22"/>
              </w:rPr>
            </w:pPr>
            <w:r>
              <w:rPr>
                <w:rFonts w:eastAsia="Times New Roman" w:cs="Times New Roman" w:ascii="Arial" w:hAnsi="Arial"/>
                <w:b/>
                <w:color w:val="FFFFFF"/>
                <w:sz w:val="22"/>
                <w:szCs w:val="22"/>
                <w:lang w:val="en-US"/>
              </w:rPr>
              <w:t>OPORTUNIDADES (+)</w:t>
            </w:r>
          </w:p>
        </w:tc>
        <w:tc>
          <w:tcPr>
            <w:tcW w:w="7199" w:type="dxa"/>
            <w:tcBorders>
              <w:bottom w:val="single" w:sz="4" w:space="0" w:color="7A620E"/>
              <w:right w:val="single" w:sz="8" w:space="0" w:color="7A620E"/>
            </w:tcBorders>
            <w:shd w:color="000000" w:fill="E7BC29" w:val="clear"/>
            <w:vAlign w:val="center"/>
          </w:tcPr>
          <w:p>
            <w:pPr>
              <w:pStyle w:val="Normal"/>
              <w:widowControl w:val="false"/>
              <w:bidi w:val="0"/>
              <w:jc w:val="center"/>
              <w:rPr>
                <w:rFonts w:ascii="Arial" w:hAnsi="Arial" w:eastAsia="Times New Roman" w:cs="Times New Roman"/>
                <w:b/>
                <w:b/>
                <w:bCs/>
                <w:color w:val="FFFFFF"/>
                <w:sz w:val="22"/>
                <w:szCs w:val="22"/>
              </w:rPr>
            </w:pPr>
            <w:r>
              <w:rPr>
                <w:rFonts w:eastAsia="Times New Roman" w:cs="Times New Roman" w:ascii="Arial" w:hAnsi="Arial"/>
                <w:b/>
                <w:color w:val="FFFFFF"/>
                <w:sz w:val="22"/>
                <w:szCs w:val="22"/>
                <w:lang w:val="en-US"/>
              </w:rPr>
              <w:t>AMEAÇAS (-)</w:t>
            </w:r>
          </w:p>
        </w:tc>
      </w:tr>
      <w:tr>
        <w:trPr>
          <w:trHeight w:val="4211" w:hRule="atLeast"/>
        </w:trPr>
        <w:tc>
          <w:tcPr>
            <w:tcW w:w="7200" w:type="dxa"/>
            <w:tcBorders>
              <w:left w:val="single" w:sz="8" w:space="0" w:color="7A620E"/>
              <w:bottom w:val="single" w:sz="8" w:space="0" w:color="7A620E"/>
              <w:right w:val="single" w:sz="4" w:space="0" w:color="7A620E"/>
            </w:tcBorders>
            <w:shd w:color="000000" w:fill="FDEDD9" w:val="clear"/>
          </w:tcPr>
          <w:p>
            <w:pPr>
              <w:pStyle w:val="Normal"/>
              <w:widowControl w:val="false"/>
              <w:bidi w:val="0"/>
              <w:rPr>
                <w:rFonts w:ascii="Arial" w:hAnsi="Arial" w:eastAsia="Times New Roman" w:cs="Times New Roman"/>
                <w:color w:val="000000"/>
                <w:sz w:val="18"/>
                <w:szCs w:val="18"/>
              </w:rPr>
            </w:pPr>
            <w:r>
              <w:rPr>
                <w:rFonts w:eastAsia="Times New Roman" w:cs="Times New Roman" w:ascii="Arial" w:hAnsi="Arial"/>
                <w:color w:val="000000"/>
                <w:sz w:val="18"/>
                <w:szCs w:val="18"/>
              </w:rPr>
            </w:r>
          </w:p>
          <w:p>
            <w:pPr>
              <w:pStyle w:val="Normal"/>
              <w:widowControl w:val="false"/>
              <w:numPr>
                <w:ilvl w:val="0"/>
                <w:numId w:val="2"/>
              </w:numPr>
              <w:bidi w:val="0"/>
              <w:rPr>
                <w:rFonts w:ascii="Arial" w:hAnsi="Arial" w:eastAsia="Times New Roman" w:cs="Times New Roman"/>
                <w:color w:val="000000"/>
                <w:sz w:val="24"/>
                <w:szCs w:val="24"/>
              </w:rPr>
            </w:pPr>
            <w:r>
              <w:rPr>
                <w:rFonts w:eastAsia="Times New Roman" w:cs="Times New Roman" w:ascii="Arial" w:hAnsi="Arial"/>
                <w:color w:val="000000"/>
                <w:sz w:val="24"/>
                <w:szCs w:val="24"/>
              </w:rPr>
              <w:t>Mudança de time.</w:t>
            </w:r>
          </w:p>
          <w:p>
            <w:pPr>
              <w:pStyle w:val="Normal"/>
              <w:widowControl w:val="false"/>
              <w:numPr>
                <w:ilvl w:val="0"/>
                <w:numId w:val="2"/>
              </w:numPr>
              <w:bidi w:val="0"/>
              <w:rPr>
                <w:rFonts w:ascii="Arial" w:hAnsi="Arial" w:eastAsia="Times New Roman" w:cs="Times New Roman"/>
                <w:color w:val="000000"/>
                <w:sz w:val="24"/>
                <w:szCs w:val="24"/>
              </w:rPr>
            </w:pPr>
            <w:r>
              <w:rPr>
                <w:rFonts w:eastAsia="Times New Roman" w:cs="Times New Roman" w:ascii="Arial" w:hAnsi="Arial"/>
                <w:color w:val="000000"/>
                <w:sz w:val="24"/>
                <w:szCs w:val="24"/>
              </w:rPr>
              <w:t>Alteração na área de atuação.</w:t>
            </w:r>
          </w:p>
          <w:p>
            <w:pPr>
              <w:pStyle w:val="Normal"/>
              <w:widowControl w:val="false"/>
              <w:numPr>
                <w:ilvl w:val="0"/>
                <w:numId w:val="2"/>
              </w:numPr>
              <w:bidi w:val="0"/>
              <w:rPr>
                <w:rFonts w:ascii="Arial" w:hAnsi="Arial" w:eastAsia="Times New Roman" w:cs="Times New Roman"/>
                <w:color w:val="000000"/>
                <w:sz w:val="24"/>
                <w:szCs w:val="24"/>
              </w:rPr>
            </w:pPr>
            <w:r>
              <w:rPr>
                <w:rFonts w:eastAsia="Times New Roman" w:cs="Times New Roman" w:ascii="Arial" w:hAnsi="Arial"/>
                <w:color w:val="000000"/>
                <w:sz w:val="24"/>
                <w:szCs w:val="24"/>
              </w:rPr>
              <w:t>Diversas áreas de atuação(Front, Back, Sustentação e etc).</w:t>
            </w:r>
          </w:p>
          <w:p>
            <w:pPr>
              <w:pStyle w:val="Normal"/>
              <w:widowControl w:val="false"/>
              <w:numPr>
                <w:ilvl w:val="0"/>
                <w:numId w:val="2"/>
              </w:numPr>
              <w:bidi w:val="0"/>
              <w:rPr>
                <w:rFonts w:ascii="Arial" w:hAnsi="Arial" w:eastAsia="Times New Roman" w:cs="Times New Roman"/>
                <w:color w:val="000000"/>
                <w:sz w:val="24"/>
                <w:szCs w:val="24"/>
              </w:rPr>
            </w:pPr>
            <w:r>
              <w:rPr>
                <w:rFonts w:eastAsia="Times New Roman" w:cs="Times New Roman" w:ascii="Arial" w:hAnsi="Arial"/>
                <w:color w:val="000000"/>
                <w:sz w:val="24"/>
                <w:szCs w:val="24"/>
              </w:rPr>
              <w:t>Comunicação constantes com os líderes.</w:t>
            </w:r>
          </w:p>
          <w:p>
            <w:pPr>
              <w:pStyle w:val="Normal"/>
              <w:widowControl w:val="false"/>
              <w:numPr>
                <w:ilvl w:val="0"/>
                <w:numId w:val="2"/>
              </w:numPr>
              <w:bidi w:val="0"/>
              <w:rPr>
                <w:rFonts w:ascii="Arial" w:hAnsi="Arial" w:eastAsia="Times New Roman" w:cs="Times New Roman"/>
                <w:color w:val="000000"/>
                <w:sz w:val="24"/>
                <w:szCs w:val="24"/>
              </w:rPr>
            </w:pPr>
            <w:r>
              <w:rPr>
                <w:rFonts w:eastAsia="Times New Roman" w:cs="Times New Roman" w:ascii="Arial" w:hAnsi="Arial"/>
                <w:color w:val="000000"/>
                <w:sz w:val="24"/>
                <w:szCs w:val="24"/>
              </w:rPr>
              <w:t>Feedbacks com os líderes.</w:t>
            </w:r>
          </w:p>
          <w:p>
            <w:pPr>
              <w:pStyle w:val="Normal"/>
              <w:widowControl w:val="false"/>
              <w:bidi w:val="0"/>
              <w:rPr>
                <w:rFonts w:ascii="Arial" w:hAnsi="Arial" w:eastAsia="Times New Roman" w:cs="Times New Roman"/>
                <w:color w:val="000000"/>
                <w:sz w:val="18"/>
                <w:szCs w:val="18"/>
              </w:rPr>
            </w:pPr>
            <w:r>
              <w:rPr>
                <w:rFonts w:eastAsia="Times New Roman" w:cs="Times New Roman" w:ascii="Arial" w:hAnsi="Arial"/>
                <w:color w:val="000000"/>
                <w:sz w:val="18"/>
                <w:szCs w:val="18"/>
              </w:rPr>
            </w:r>
          </w:p>
        </w:tc>
        <w:tc>
          <w:tcPr>
            <w:tcW w:w="7199" w:type="dxa"/>
            <w:tcBorders>
              <w:bottom w:val="single" w:sz="8" w:space="0" w:color="7A620E"/>
              <w:right w:val="single" w:sz="8" w:space="0" w:color="7A620E"/>
            </w:tcBorders>
            <w:shd w:color="000000" w:fill="FAF1D3" w:val="clear"/>
          </w:tcPr>
          <w:p>
            <w:pPr>
              <w:pStyle w:val="Normal"/>
              <w:widowControl w:val="false"/>
              <w:bidi w:val="0"/>
              <w:rPr>
                <w:rFonts w:ascii="Arial" w:hAnsi="Arial" w:eastAsia="Times New Roman" w:cs="Times New Roman"/>
                <w:color w:val="000000"/>
                <w:sz w:val="18"/>
                <w:szCs w:val="18"/>
              </w:rPr>
            </w:pPr>
            <w:r>
              <w:rPr>
                <w:rFonts w:eastAsia="Times New Roman" w:cs="Times New Roman" w:ascii="Arial" w:hAnsi="Arial"/>
                <w:color w:val="000000"/>
                <w:sz w:val="18"/>
                <w:szCs w:val="18"/>
              </w:rPr>
            </w:r>
          </w:p>
          <w:p>
            <w:pPr>
              <w:pStyle w:val="Normal"/>
              <w:widowControl w:val="false"/>
              <w:numPr>
                <w:ilvl w:val="0"/>
                <w:numId w:val="2"/>
              </w:numPr>
              <w:bidi w:val="0"/>
              <w:rPr>
                <w:rFonts w:ascii="ARial" w:hAnsi="ARial"/>
                <w:sz w:val="24"/>
                <w:szCs w:val="24"/>
              </w:rPr>
            </w:pPr>
            <w:r>
              <w:rPr>
                <w:rFonts w:ascii="ARial" w:hAnsi="ARial"/>
                <w:sz w:val="24"/>
                <w:szCs w:val="24"/>
              </w:rPr>
              <w:t>Layoff em massa.</w:t>
            </w:r>
          </w:p>
          <w:p>
            <w:pPr>
              <w:pStyle w:val="Normal"/>
              <w:widowControl w:val="false"/>
              <w:numPr>
                <w:ilvl w:val="0"/>
                <w:numId w:val="2"/>
              </w:numPr>
              <w:bidi w:val="0"/>
              <w:rPr>
                <w:rFonts w:ascii="ARial" w:hAnsi="ARial"/>
                <w:sz w:val="24"/>
                <w:szCs w:val="24"/>
              </w:rPr>
            </w:pPr>
            <w:r>
              <w:rPr>
                <w:rFonts w:ascii="ARial" w:hAnsi="ARial"/>
                <w:sz w:val="24"/>
                <w:szCs w:val="24"/>
              </w:rPr>
              <w:t>Provável ausência de vagas suficientes para júnior.</w:t>
            </w:r>
          </w:p>
          <w:p>
            <w:pPr>
              <w:pStyle w:val="Normal"/>
              <w:widowControl w:val="false"/>
              <w:numPr>
                <w:ilvl w:val="0"/>
                <w:numId w:val="2"/>
              </w:numPr>
              <w:bidi w:val="0"/>
              <w:rPr>
                <w:rFonts w:ascii="ARial" w:hAnsi="ARial"/>
                <w:sz w:val="24"/>
                <w:szCs w:val="24"/>
              </w:rPr>
            </w:pPr>
            <w:r>
              <w:rPr>
                <w:rFonts w:ascii="ARial" w:hAnsi="ARial"/>
                <w:sz w:val="24"/>
                <w:szCs w:val="24"/>
              </w:rPr>
              <w:t xml:space="preserve">Demissão de líderes, prejudicando o desenvolvimento </w:t>
            </w:r>
            <w:r>
              <w:rPr>
                <w:rFonts w:ascii="ARial" w:hAnsi="ARial"/>
                <w:sz w:val="24"/>
                <w:szCs w:val="24"/>
              </w:rPr>
              <w:t>dos estagiários.</w:t>
            </w:r>
          </w:p>
          <w:p>
            <w:pPr>
              <w:pStyle w:val="Normal"/>
              <w:widowControl w:val="false"/>
              <w:bidi w:val="0"/>
              <w:rPr>
                <w:rFonts w:ascii="Arial" w:hAnsi="Arial" w:eastAsia="Times New Roman" w:cs="Times New Roman"/>
                <w:color w:val="000000"/>
                <w:sz w:val="18"/>
                <w:szCs w:val="18"/>
              </w:rPr>
            </w:pPr>
            <w:r>
              <w:rPr>
                <w:rFonts w:eastAsia="Times New Roman" w:cs="Times New Roman" w:ascii="Arial" w:hAnsi="Arial"/>
                <w:color w:val="000000"/>
                <w:sz w:val="18"/>
                <w:szCs w:val="18"/>
              </w:rPr>
            </w:r>
          </w:p>
          <w:p>
            <w:pPr>
              <w:pStyle w:val="Normal"/>
              <w:widowControl w:val="false"/>
              <w:bidi w:val="0"/>
              <w:rPr>
                <w:rFonts w:ascii="Arial" w:hAnsi="Arial" w:eastAsia="Times New Roman" w:cs="Times New Roman"/>
                <w:color w:val="000000"/>
                <w:sz w:val="18"/>
                <w:szCs w:val="18"/>
              </w:rPr>
            </w:pPr>
            <w:r>
              <w:rPr>
                <w:rFonts w:eastAsia="Times New Roman" w:cs="Times New Roman" w:ascii="Arial" w:hAnsi="Arial"/>
                <w:color w:val="000000"/>
                <w:sz w:val="18"/>
                <w:szCs w:val="18"/>
              </w:rPr>
            </w:r>
          </w:p>
        </w:tc>
      </w:tr>
    </w:tbl>
    <w:tbl>
      <w:tblPr>
        <w:tblStyle w:val="TableGrid"/>
        <w:tblW w:w="13410" w:type="dxa"/>
        <w:jc w:val="left"/>
        <w:tblInd w:w="60" w:type="dxa"/>
        <w:tblLayout w:type="fixed"/>
        <w:tblCellMar>
          <w:top w:w="0" w:type="dxa"/>
          <w:left w:w="360" w:type="dxa"/>
          <w:bottom w:w="0" w:type="dxa"/>
          <w:right w:w="115" w:type="dxa"/>
        </w:tblCellMar>
        <w:tblLook w:val="04a0" w:noHBand="0" w:noVBand="1" w:firstColumn="1" w:lastRow="0" w:lastColumn="0" w:firstRow="1"/>
      </w:tblPr>
      <w:tblGrid>
        <w:gridCol w:w="13410"/>
      </w:tblGrid>
      <w:tr>
        <w:trPr>
          <w:trHeight w:val="2826" w:hRule="atLeast"/>
        </w:trPr>
        <w:tc>
          <w:tcPr>
            <w:tcW w:w="13410" w:type="dxa"/>
            <w:tcBorders>
              <w:top w:val="nil"/>
              <w:left w:val="single" w:sz="24" w:space="0" w:color="BFBFBF"/>
              <w:bottom w:val="nil"/>
              <w:right w:val="nil"/>
            </w:tcBorders>
          </w:tcPr>
          <w:p>
            <w:pPr>
              <w:pStyle w:val="Normal"/>
              <w:widowControl/>
              <w:bidi w:val="0"/>
              <w:spacing w:before="0" w:after="0"/>
              <w:jc w:val="center"/>
              <w:rPr>
                <w:rFonts w:ascii="Century Gothic" w:hAnsi="Century Gothic" w:cs="Arial"/>
                <w:b/>
                <w:b/>
                <w:sz w:val="20"/>
                <w:szCs w:val="20"/>
              </w:rPr>
            </w:pPr>
            <w:r>
              <w:rPr>
                <w:rFonts w:eastAsia="Calibri" w:cs="Arial" w:ascii="Century Gothic" w:hAnsi="Century Gothic"/>
                <w:b/>
                <w:kern w:val="0"/>
                <w:sz w:val="20"/>
                <w:szCs w:val="20"/>
                <w:lang w:val="en-US" w:eastAsia="en-US" w:bidi="ar-SA"/>
              </w:rPr>
              <w:t>DISCLAIMER</w:t>
            </w:r>
          </w:p>
          <w:p>
            <w:pPr>
              <w:pStyle w:val="Normal"/>
              <w:widowControl/>
              <w:bidi w:val="0"/>
              <w:spacing w:before="0" w:after="0"/>
              <w:jc w:val="left"/>
              <w:rPr>
                <w:rFonts w:ascii="Century Gothic" w:hAnsi="Century Gothic" w:cs="Arial"/>
                <w:szCs w:val="20"/>
              </w:rPr>
            </w:pPr>
            <w:r>
              <w:rPr>
                <w:rFonts w:eastAsia="Calibri" w:cs="Arial" w:ascii="Century Gothic" w:hAnsi="Century Gothic"/>
                <w:kern w:val="0"/>
                <w:sz w:val="22"/>
                <w:szCs w:val="22"/>
                <w:lang w:val="en-US" w:eastAsia="en-US" w:bidi="ar-SA"/>
              </w:rPr>
            </w:r>
          </w:p>
          <w:p>
            <w:pPr>
              <w:pStyle w:val="Normal"/>
              <w:widowControl/>
              <w:bidi w:val="0"/>
              <w:spacing w:before="0" w:after="0"/>
              <w:jc w:val="left"/>
              <w:rPr>
                <w:rFonts w:ascii="Century Gothic" w:hAnsi="Century Gothic" w:cs="Arial"/>
                <w:sz w:val="20"/>
                <w:szCs w:val="20"/>
              </w:rPr>
            </w:pPr>
            <w:r>
              <w:rPr>
                <w:rFonts w:eastAsia="Calibri" w:cs="Arial" w:ascii="Century Gothic" w:hAnsi="Century Gothic"/>
                <w:kern w:val="0"/>
                <w:sz w:val="22"/>
                <w:szCs w:val="20"/>
                <w:lang w:val="en-US" w:eastAsia="en-US" w:bidi="ar-SA"/>
              </w:rPr>
              <w:t>Todos os artigos, modelos ou informações fornecidos pelo Smartsheet no site são apenas para referência. Embora nos esforcemos para manter as informações atualizadas e corretas, não fazemos representações ou garantias de qualquer tipo, expressas ou implícitos, sobre a completude, precisão, confiabilidade, adequação ou disponibilidade em relação ao site ou às informações, artigos, modelos ou gráficos relacionados contidos no site. Qualquer dependência que você deposita em tais informações está, portanto, estritamente em seu próprio risco.</w:t>
            </w:r>
          </w:p>
        </w:tc>
      </w:tr>
    </w:tbl>
    <w:p>
      <w:pPr>
        <w:pStyle w:val="Normal"/>
        <w:rPr>
          <w:rFonts w:ascii="Century Gothic" w:hAnsi="Century Gothic"/>
        </w:rPr>
      </w:pPr>
      <w:r>
        <w:rPr>
          <w:rFonts w:ascii="Century Gothic" w:hAnsi="Century Gothic"/>
        </w:rPr>
      </w:r>
    </w:p>
    <w:p>
      <w:pPr>
        <w:pStyle w:val="Normal"/>
        <w:rPr>
          <w:rFonts w:ascii="Century Gothic" w:hAnsi="Century Gothic"/>
        </w:rPr>
      </w:pPr>
      <w:r>
        <w:rPr>
          <w:rFonts w:ascii="Century Gothic" w:hAnsi="Century Gothic"/>
        </w:rPr>
      </w:r>
    </w:p>
    <w:p>
      <w:pPr>
        <w:pStyle w:val="Normal"/>
        <w:rPr>
          <w:rFonts w:ascii="Arial" w:hAnsi="Arial" w:eastAsia="Times New Roman" w:cs="Times New Roman"/>
          <w:b/>
          <w:b/>
          <w:bCs/>
          <w:color w:val="385623" w:themeColor="accent6" w:themeShade="80"/>
          <w:sz w:val="44"/>
          <w:szCs w:val="44"/>
        </w:rPr>
      </w:pPr>
      <w:r>
        <w:rPr/>
      </w:r>
    </w:p>
    <w:sectPr>
      <w:type w:val="nextPage"/>
      <w:pgSz w:orient="landscape" w:w="15840" w:h="122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ARial">
    <w:charset w:val="01"/>
    <w:family w:val="swiss"/>
    <w:pitch w:val="default"/>
  </w:font>
  <w:font w:name="Times New Roman">
    <w:charset w:val="01"/>
    <w:family w:val="roman"/>
    <w:pitch w:val="variable"/>
  </w:font>
  <w:font w:name="Century Gothic">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cc11a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t.smartsheet.com/try-it?trp=57137&amp;utm_language=PT&amp;utm_source=integrated+content&amp;utm_campaign=/14-free-swot-analysis-templates&amp;utm_medium=ic+personal+swot+analysis+57137+word+pt&amp;lpa=ic+personal+swot+analysis+57137+word+p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IC-Personal-SWOT-Analysis-8629_Word.dotx</Template>
  <TotalTime>0</TotalTime>
  <Application>LibreOffice/7.3.7.2$Linux_X86_64 LibreOffice_project/30$Build-2</Application>
  <AppVersion>15.0000</AppVersion>
  <Pages>2</Pages>
  <Words>180</Words>
  <Characters>1043</Characters>
  <CharactersWithSpaces>1182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2022-02-09T00:40:00Z</dcterms:created>
  <dc:creator>Joshua Garrett</dc:creator>
  <dc:description/>
  <dc:language>pt-BR</dc:language>
  <cp:lastModifiedBy/>
  <dcterms:modified xsi:type="dcterms:W3CDTF">2023-10-30T21:26:53Z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