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3CE6" w14:textId="5656CC77" w:rsidR="00C92749" w:rsidRDefault="00C92749" w:rsidP="00C92749">
      <w:pPr>
        <w:jc w:val="both"/>
        <w:rPr>
          <w:b/>
          <w:bCs/>
        </w:rPr>
      </w:pPr>
      <w:r w:rsidRPr="00E17EA5">
        <w:rPr>
          <w:b/>
          <w:bCs/>
        </w:rPr>
        <w:t>Resumo Detalhado:</w:t>
      </w:r>
      <w:r w:rsidR="00AB053A">
        <w:rPr>
          <w:b/>
          <w:bCs/>
        </w:rPr>
        <w:t xml:space="preserve"> </w:t>
      </w:r>
      <w:r w:rsidR="00AB053A" w:rsidRPr="00AB053A">
        <w:rPr>
          <w:b/>
          <w:bCs/>
        </w:rPr>
        <w:t>Klein e Rubin (1947)</w:t>
      </w:r>
    </w:p>
    <w:p w14:paraId="2FBCC41F" w14:textId="77777777" w:rsidR="00107928" w:rsidRPr="00107928" w:rsidRDefault="00107928" w:rsidP="00107928">
      <w:pPr>
        <w:jc w:val="both"/>
        <w:rPr>
          <w:lang w:val="en-US"/>
        </w:rPr>
      </w:pPr>
      <w:r w:rsidRPr="00107928">
        <w:rPr>
          <w:b/>
          <w:bCs/>
          <w:lang w:val="en-US"/>
        </w:rPr>
        <w:t>Klein e Rubin (1947), "A Constant-Utility Index of the Cost of Living"</w:t>
      </w:r>
      <w:r w:rsidRPr="00107928">
        <w:rPr>
          <w:lang w:val="en-US"/>
        </w:rPr>
        <w:t xml:space="preserve"> </w:t>
      </w:r>
      <w:r w:rsidRPr="00107928">
        <w:rPr>
          <w:i/>
          <w:iCs/>
          <w:lang w:val="en-US"/>
        </w:rPr>
        <w:t>Review of Economic Studies</w:t>
      </w:r>
      <w:r w:rsidRPr="00107928">
        <w:rPr>
          <w:lang w:val="en-US"/>
        </w:rPr>
        <w:t>, vol. 15, pp. 84–87.</w:t>
      </w:r>
    </w:p>
    <w:p w14:paraId="77BC968D" w14:textId="77777777" w:rsidR="00107928" w:rsidRPr="00107928" w:rsidRDefault="00107928" w:rsidP="00107928">
      <w:pPr>
        <w:jc w:val="both"/>
      </w:pPr>
      <w:r w:rsidRPr="00107928">
        <w:t>O artigo é muito curto (4 páginas) e tem um objetivo preciso: derivar um índice do custo de vida que seja teoricamente consistente com a teoria do consumidor, dependendo apenas de preços observáveis e das propriedades das funções de demanda.</w:t>
      </w:r>
    </w:p>
    <w:p w14:paraId="18E88F65" w14:textId="77777777" w:rsidR="00107928" w:rsidRPr="00107928" w:rsidRDefault="00107928" w:rsidP="00107928">
      <w:pPr>
        <w:jc w:val="both"/>
      </w:pPr>
      <w:r w:rsidRPr="00107928">
        <w:rPr>
          <w:b/>
          <w:bCs/>
        </w:rPr>
        <w:t>Problema motivador</w:t>
      </w:r>
    </w:p>
    <w:p w14:paraId="2CD1C606" w14:textId="77777777" w:rsidR="00107928" w:rsidRPr="00107928" w:rsidRDefault="00107928" w:rsidP="00107928">
      <w:pPr>
        <w:jc w:val="both"/>
      </w:pPr>
      <w:r w:rsidRPr="00107928">
        <w:t xml:space="preserve">Índices tradicionais como </w:t>
      </w:r>
      <w:proofErr w:type="spellStart"/>
      <w:r w:rsidRPr="00107928">
        <w:t>Paasche</w:t>
      </w:r>
      <w:proofErr w:type="spellEnd"/>
      <w:r w:rsidRPr="00107928">
        <w:t xml:space="preserve"> e </w:t>
      </w:r>
      <w:proofErr w:type="spellStart"/>
      <w:r w:rsidRPr="00107928">
        <w:t>Laspeyres</w:t>
      </w:r>
      <w:proofErr w:type="spellEnd"/>
      <w:r w:rsidRPr="00107928">
        <w:t xml:space="preserve"> fornecem apenas limites superior e inferior para o custo de vida verdadeiro. O objetivo de Klein e Rubin é construir um índice que mantenha o nível de utilidade constante (daí "</w:t>
      </w:r>
      <w:proofErr w:type="spellStart"/>
      <w:r w:rsidRPr="00107928">
        <w:t>constant-utility</w:t>
      </w:r>
      <w:proofErr w:type="spellEnd"/>
      <w:r w:rsidRPr="00107928">
        <w:t>"), sem recorrer a conceitos subjetivos de utilidade diretamente.</w:t>
      </w:r>
    </w:p>
    <w:p w14:paraId="06A68DBA" w14:textId="77777777" w:rsidR="00107928" w:rsidRPr="00107928" w:rsidRDefault="00107928" w:rsidP="00107928">
      <w:pPr>
        <w:jc w:val="both"/>
      </w:pPr>
      <w:r w:rsidRPr="00107928">
        <w:rPr>
          <w:b/>
          <w:bCs/>
        </w:rPr>
        <w:t>Estrutura teórica</w:t>
      </w:r>
    </w:p>
    <w:p w14:paraId="3E97DF3A" w14:textId="77777777" w:rsidR="00107928" w:rsidRPr="00107928" w:rsidRDefault="00107928" w:rsidP="00107928">
      <w:pPr>
        <w:jc w:val="both"/>
      </w:pPr>
      <w:r w:rsidRPr="00107928">
        <w:t xml:space="preserve">Os autores partem do arcabouço padrão da teoria do consumidor: função utilidade, restrição orçamentária e condições de primeira ordem de maximização. O índice é definido como a razão entre a renda mínima necessária para manter o mesmo nível de utilidade do período base, a preços correntes, e a renda do período base. Isso leva a uma equação diferencial parcial do tipo </w:t>
      </w:r>
      <w:proofErr w:type="spellStart"/>
      <w:r w:rsidRPr="00107928">
        <w:t>Divisia</w:t>
      </w:r>
      <w:proofErr w:type="spellEnd"/>
      <w:r w:rsidRPr="00107928">
        <w:t xml:space="preserve"> para a renda ao longo de um nível de utilidade constante:</w:t>
      </w:r>
    </w:p>
    <w:p w14:paraId="635B98EC" w14:textId="1BA78C13" w:rsidR="00107928" w:rsidRPr="00107928" w:rsidRDefault="00107928" w:rsidP="00107928">
      <w:pPr>
        <w:jc w:val="both"/>
      </w:pPr>
      <m:oMathPara>
        <m:oMath>
          <m:r>
            <w:rPr>
              <w:rFonts w:ascii="Cambria Math" w:hAnsi="Cambria Math"/>
            </w:rPr>
            <m:t>dr=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,r)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nor/>
            </m:rPr>
            <m:t xml:space="preserve">com </m:t>
          </m:r>
          <m:r>
            <w:rPr>
              <w:rFonts w:ascii="Cambria Math" w:hAnsi="Cambria Math"/>
            </w:rPr>
            <m:t>u=</m:t>
          </m:r>
          <m:r>
            <m:rPr>
              <m:nor/>
            </m:rPr>
            <m:t>constante.</m:t>
          </m:r>
          <m:r>
            <w:br/>
          </m:r>
        </m:oMath>
      </m:oMathPara>
    </w:p>
    <w:p w14:paraId="4C06824E" w14:textId="7D7558DD" w:rsidR="00107928" w:rsidRPr="00107928" w:rsidRDefault="00107928" w:rsidP="00107928">
      <w:pPr>
        <w:jc w:val="both"/>
      </w:pPr>
      <w:r w:rsidRPr="00107928">
        <w:t xml:space="preserve">O desafio é que os pesos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107928">
        <w:t xml:space="preserve">precisam ser avaliados ao longo da curva de indiferença, portanto não são diretamente observáveis. A integrabilidade do sistema exige que a equação de Slutsky seja satisfeita, o que os autores demonstram ser sempre o caso dadas as propriedades das funções de demanda. </w:t>
      </w:r>
    </w:p>
    <w:p w14:paraId="30C1CBBE" w14:textId="77777777" w:rsidR="00107928" w:rsidRPr="00107928" w:rsidRDefault="00107928" w:rsidP="00107928">
      <w:pPr>
        <w:jc w:val="both"/>
      </w:pPr>
      <w:r w:rsidRPr="00107928">
        <w:rPr>
          <w:b/>
          <w:bCs/>
        </w:rPr>
        <w:t>O caso linear e o sistema LES</w:t>
      </w:r>
    </w:p>
    <w:p w14:paraId="15B216F6" w14:textId="77777777" w:rsidR="00107928" w:rsidRPr="00107928" w:rsidRDefault="00107928" w:rsidP="00107928">
      <w:pPr>
        <w:jc w:val="both"/>
      </w:pPr>
      <w:r w:rsidRPr="00107928">
        <w:t>Para obter uma forma fechada do índice, os autores assumem que as funções de demanda são lineares em preços e renda:</w:t>
      </w:r>
    </w:p>
    <w:p w14:paraId="6C279429" w14:textId="4C2179E0" w:rsidR="00107928" w:rsidRPr="00107928" w:rsidRDefault="00107928" w:rsidP="00107928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56BDCF5" w14:textId="231D39CF" w:rsidR="00107928" w:rsidRPr="00107928" w:rsidRDefault="00107928" w:rsidP="00107928">
      <w:pPr>
        <w:jc w:val="both"/>
      </w:pPr>
      <w:r w:rsidRPr="00107928">
        <w:t xml:space="preserve">Impondo as restrições de homogeneidade, aditividade orçamentária e simetria de Slutsky, chegam a que os coeficientes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107928">
        <w:t xml:space="preserve">devem ter a forma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107928">
        <w:t xml:space="preserve">para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j</m:t>
        </m:r>
      </m:oMath>
      <w:r w:rsidRPr="00107928">
        <w:t xml:space="preserve">. A forma resultante das funções de demanda é: </w:t>
      </w:r>
    </w:p>
    <w:p w14:paraId="56088AC7" w14:textId="4EF7F593" w:rsidR="00107928" w:rsidRPr="00107928" w:rsidRDefault="00107928" w:rsidP="00107928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20C0E417" w14:textId="77777777" w:rsidR="00107928" w:rsidRPr="00107928" w:rsidRDefault="00107928" w:rsidP="00107928">
      <w:pPr>
        <w:jc w:val="both"/>
      </w:pPr>
      <w:r w:rsidRPr="00107928">
        <w:t xml:space="preserve">que é precisamente o </w:t>
      </w:r>
      <w:r w:rsidRPr="00107928">
        <w:rPr>
          <w:b/>
          <w:bCs/>
        </w:rPr>
        <w:t xml:space="preserve">Linear </w:t>
      </w:r>
      <w:proofErr w:type="spellStart"/>
      <w:r w:rsidRPr="00107928">
        <w:rPr>
          <w:b/>
          <w:bCs/>
        </w:rPr>
        <w:t>Expenditure</w:t>
      </w:r>
      <w:proofErr w:type="spellEnd"/>
      <w:r w:rsidRPr="00107928">
        <w:rPr>
          <w:b/>
          <w:bCs/>
        </w:rPr>
        <w:t xml:space="preserve"> System (LES)</w:t>
      </w:r>
      <w:r w:rsidRPr="00107928">
        <w:t>, mais tarde associado a Stone (1954). O índice de custo de vida correspondente tem a forma:</w:t>
      </w:r>
    </w:p>
    <w:p w14:paraId="22FAFA22" w14:textId="5632FF56" w:rsidR="00107928" w:rsidRPr="00107928" w:rsidRDefault="00107928" w:rsidP="00107928">
      <w:pPr>
        <w:jc w:val="both"/>
      </w:pPr>
      <m:oMathPara>
        <m:oMath>
          <m:r>
            <w:rPr>
              <w:rFonts w:ascii="Cambria Math" w:hAnsi="Cambria Math"/>
            </w:rPr>
            <m:t>r=C</m:t>
          </m:r>
          <m:nary>
            <m:naryPr>
              <m:chr m:val="∏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bSup>
            </m:e>
          </m:nary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15AB189" w14:textId="223B4411" w:rsidR="00107928" w:rsidRPr="00107928" w:rsidRDefault="00107928" w:rsidP="00107928">
      <w:pPr>
        <w:jc w:val="both"/>
      </w:pPr>
      <w:r w:rsidRPr="00107928">
        <w:t xml:space="preserve">em que </w:t>
      </w:r>
      <m:oMath>
        <m:r>
          <w:rPr>
            <w:rFonts w:ascii="Cambria Math" w:hAnsi="Cambria Math"/>
          </w:rPr>
          <m:t>C</m:t>
        </m:r>
      </m:oMath>
      <w:r w:rsidRPr="00107928">
        <w:t xml:space="preserve">é uma constante de integração,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07928">
        <w:t xml:space="preserve">são as propensões marginais a gastar em cada bem,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07928">
        <w:t xml:space="preserve">são quantidades de subsistência. </w:t>
      </w:r>
    </w:p>
    <w:p w14:paraId="5F599DAC" w14:textId="77777777" w:rsidR="00107928" w:rsidRPr="00107928" w:rsidRDefault="00107928" w:rsidP="00107928">
      <w:pPr>
        <w:jc w:val="both"/>
      </w:pPr>
      <w:r w:rsidRPr="00107928">
        <w:rPr>
          <w:b/>
          <w:bCs/>
        </w:rPr>
        <w:t>Inferência estatística</w:t>
      </w:r>
    </w:p>
    <w:p w14:paraId="0C02C593" w14:textId="76100F6A" w:rsidR="00107928" w:rsidRPr="00107928" w:rsidRDefault="00107928" w:rsidP="00107928">
      <w:pPr>
        <w:jc w:val="both"/>
      </w:pPr>
      <w:r w:rsidRPr="00107928">
        <w:t xml:space="preserve">Os autores observam que, ao estimar os parâmetros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07928"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07928">
        <w:t xml:space="preserve">por dados de mercado, obtêm-se intervalos de confiança para o índice. Isso é uma vantagem em relação aos índices de Paasche/Laspeyres, que não oferecem simultaneamente limites superior e inferior sobre uma mesma base. </w:t>
      </w:r>
    </w:p>
    <w:p w14:paraId="61625611" w14:textId="77777777" w:rsidR="00107928" w:rsidRPr="00107928" w:rsidRDefault="00107928" w:rsidP="00107928">
      <w:pPr>
        <w:jc w:val="both"/>
      </w:pPr>
      <w:r w:rsidRPr="00107928">
        <w:rPr>
          <w:b/>
          <w:bCs/>
        </w:rPr>
        <w:t>Limitação reconhecida</w:t>
      </w:r>
    </w:p>
    <w:p w14:paraId="148CB6D3" w14:textId="77777777" w:rsidR="00107928" w:rsidRPr="00107928" w:rsidRDefault="00107928" w:rsidP="00107928">
      <w:pPr>
        <w:jc w:val="both"/>
      </w:pPr>
      <w:r w:rsidRPr="00107928">
        <w:t>O índice se aplica rigorosamente a um indivíduo. Os autores propõem a interpretação convencional: estimar as funções de demanda com dados per capita de mercado e interpretar os parâmetros como pertencentes a um "indivíduo médio representativo".</w:t>
      </w:r>
    </w:p>
    <w:p w14:paraId="754E7EA9" w14:textId="77777777" w:rsidR="00107928" w:rsidRPr="00107928" w:rsidRDefault="00107928" w:rsidP="00107928">
      <w:pPr>
        <w:jc w:val="both"/>
      </w:pPr>
      <w:r w:rsidRPr="00107928">
        <w:rPr>
          <w:b/>
          <w:bCs/>
        </w:rPr>
        <w:t>Legado</w:t>
      </w:r>
    </w:p>
    <w:p w14:paraId="5F5E1A92" w14:textId="77777777" w:rsidR="00107928" w:rsidRPr="00107928" w:rsidRDefault="00107928" w:rsidP="00107928">
      <w:pPr>
        <w:jc w:val="both"/>
      </w:pPr>
      <w:r w:rsidRPr="00107928">
        <w:t>O artigo é a semente do LES, um dos primeiros sistemas de demanda completos e teoricamente consistentes da literatura. Apesar de curto, seu impacto foi enorme: Stone (1954) o aplicou empiricamente ao Reino Unido, e o modelo tornou-se referência central em teoria do consumidor aplicada.</w:t>
      </w:r>
    </w:p>
    <w:p w14:paraId="6CB320A2" w14:textId="77777777" w:rsidR="00107928" w:rsidRPr="00107928" w:rsidRDefault="00107928" w:rsidP="00C92749">
      <w:pPr>
        <w:jc w:val="both"/>
      </w:pPr>
    </w:p>
    <w:p w14:paraId="2E9B5B63" w14:textId="77777777" w:rsidR="00AB053A" w:rsidRPr="00831A1F" w:rsidRDefault="00AB053A" w:rsidP="00C92749">
      <w:pPr>
        <w:jc w:val="both"/>
        <w:rPr>
          <w:b/>
          <w:bCs/>
        </w:rPr>
      </w:pPr>
    </w:p>
    <w:sectPr w:rsidR="00AB053A" w:rsidRPr="00831A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061C"/>
    <w:multiLevelType w:val="multilevel"/>
    <w:tmpl w:val="32E6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E6D6B"/>
    <w:multiLevelType w:val="multilevel"/>
    <w:tmpl w:val="026A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C2DC5"/>
    <w:multiLevelType w:val="multilevel"/>
    <w:tmpl w:val="42F0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61415"/>
    <w:multiLevelType w:val="multilevel"/>
    <w:tmpl w:val="2E42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70606"/>
    <w:multiLevelType w:val="multilevel"/>
    <w:tmpl w:val="8B2A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F3A24"/>
    <w:multiLevelType w:val="multilevel"/>
    <w:tmpl w:val="79F8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51C6C"/>
    <w:multiLevelType w:val="multilevel"/>
    <w:tmpl w:val="20C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246095">
    <w:abstractNumId w:val="6"/>
  </w:num>
  <w:num w:numId="2" w16cid:durableId="420641952">
    <w:abstractNumId w:val="4"/>
  </w:num>
  <w:num w:numId="3" w16cid:durableId="1473600929">
    <w:abstractNumId w:val="2"/>
  </w:num>
  <w:num w:numId="4" w16cid:durableId="1752894155">
    <w:abstractNumId w:val="5"/>
  </w:num>
  <w:num w:numId="5" w16cid:durableId="728500294">
    <w:abstractNumId w:val="0"/>
  </w:num>
  <w:num w:numId="6" w16cid:durableId="256912926">
    <w:abstractNumId w:val="3"/>
  </w:num>
  <w:num w:numId="7" w16cid:durableId="248272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49"/>
    <w:rsid w:val="00107928"/>
    <w:rsid w:val="00305F92"/>
    <w:rsid w:val="003C6A87"/>
    <w:rsid w:val="00652375"/>
    <w:rsid w:val="006B7E4C"/>
    <w:rsid w:val="007B5240"/>
    <w:rsid w:val="00831A1F"/>
    <w:rsid w:val="008D3628"/>
    <w:rsid w:val="00A17ECD"/>
    <w:rsid w:val="00A827CF"/>
    <w:rsid w:val="00AB053A"/>
    <w:rsid w:val="00B322D0"/>
    <w:rsid w:val="00B619C1"/>
    <w:rsid w:val="00C92749"/>
    <w:rsid w:val="00E17EA5"/>
    <w:rsid w:val="00E3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F01B5"/>
  <w15:chartTrackingRefBased/>
  <w15:docId w15:val="{B9909A75-C194-4A97-A375-CBFDA28AE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2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2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2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2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2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2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2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2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2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2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2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27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27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27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27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27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27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2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2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2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2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27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27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27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2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27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2749"/>
    <w:rPr>
      <w:b/>
      <w:bCs/>
      <w:smallCaps/>
      <w:color w:val="0F4761" w:themeColor="accent1" w:themeShade="BF"/>
      <w:spacing w:val="5"/>
    </w:rPr>
  </w:style>
  <w:style w:type="table" w:styleId="TabelaSimples4">
    <w:name w:val="Plain Table 4"/>
    <w:basedOn w:val="Tabelanormal"/>
    <w:uiPriority w:val="44"/>
    <w:rsid w:val="003C6A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507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Oliveira</dc:creator>
  <cp:keywords/>
  <dc:description/>
  <cp:lastModifiedBy>Rafael Oliveira</cp:lastModifiedBy>
  <cp:revision>3</cp:revision>
  <dcterms:created xsi:type="dcterms:W3CDTF">2026-04-13T15:08:00Z</dcterms:created>
  <dcterms:modified xsi:type="dcterms:W3CDTF">2026-04-13T15:16:00Z</dcterms:modified>
</cp:coreProperties>
</file>