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Evolution of Price Dispersion in the European Car Market</w:t>
      </w:r>
    </w:p>
    <w:p>
      <w:pPr>
        <w:jc w:val="center"/>
      </w:pPr>
      <w:r>
        <w:t>Goldberg e Verboven (2001) — Review of Economic Studies, Vol. 68, No. 4, pp. 811-848</w:t>
      </w:r>
    </w:p>
    <w:p>
      <w:pPr>
        <w:pStyle w:val="Heading1"/>
      </w:pPr>
      <w:r>
        <w:t>1. Motivação e Problema de Pesquisa</w:t>
      </w:r>
    </w:p>
    <w:p>
      <w:r>
        <w:t>Um dos objetivos centrais da integração europeia é a criação de um mercado único onde os preços convirjam entre os países-membros. Na prática, contudo, disparidades de preços substanciais e persistentes continuam a ser observadas em numerosos setores, o que levanta questões fundamentais sobre a eficácia do processo de integração. O mercado automobilístico europeu é um caso paradigmático: os preços dos automóveis — ajustados por qualidade e taxa de câmbio — variaram sistematicamente entre os cinco principais mercados (Alemanha, França, Itália, Bélgica e Reino Unido) durante todo o período 1970-1993.</w:t>
        <w:br/>
        <w:br/>
        <w:t>Goldberg e Verboven (2001) investigam as causas e a evolução dessas diferenças de preço ao longo de 24 anos, utilizando um painel de dados com cerca de 150 modelos por ano. Os autores buscam responder a três perguntas interligadas: (i) Qual a magnitude da dispersão de preços ajustada por qualidade e como ela evoluiu ao longo do tempo? (ii) Quais fatores explicam as diferenças observadas — câmbio, custos locais, cotas de importação, segmentação de mercado? (iii) O mercado europeu de automóveis exibe sinais de integração ao longo do período analisado?</w:t>
        <w:br/>
        <w:br/>
        <w:t>A relevância do tema vai além do mercado automobilístico. O artigo contribui para o debate sobre pass-through cambial, discriminação de preços internacional e integração de mercados — questões que ganham especial importância no contexto da criação da União Monetária Europeia (UME) e da eliminação das flutuações cambiais entre os membros.</w:t>
      </w:r>
    </w:p>
    <w:p>
      <w:pPr>
        <w:pStyle w:val="Heading1"/>
      </w:pPr>
      <w:r>
        <w:t>2. Revisão da Literatura e Contribuição</w:t>
      </w:r>
    </w:p>
    <w:p>
      <w:r>
        <w:t>A dispersão de preços entre países tem sido documentada extensivamente na literatura de economia internacional. O arcabouço teórico remonta à "lei do preço único" (Law of One Price, LOP), segundo a qual, em mercados integrados com livre comércio e ausência de custos de transação, preços de bens idênticos devem ser igualizados quando expressos em moeda comum. A violação sistemática da LOP é denominada na literatura como "pricing-to-market" (PTM), termo introduzido por Krugman (1987) e formalizado por Knetter (1989, 1993).</w:t>
        <w:br/>
        <w:br/>
        <w:t>Verboven (1996) foi o primeiro a utilizar um modelo estrutural de oligopólio para decompor as diferenças de preços no mercado automobilístico europeu, distinguindo entre discriminação de preços, custos locais e regulação. Contudo, aquele trabalho utilizava um corte transversal e não permitia analisar a dinâmica temporal. Feenstra (1989), Goldberg e Knetter (1997) e Gagnon e Knetter (1995) exploraram o pass-through cambial em diferentes setores, mas sem modelar explicitamente a estrutura de mercado.</w:t>
        <w:br/>
        <w:br/>
        <w:t>A contribuição principal de Goldberg e Verboven (2001) é tríplice: (i) constroem um painel longo (1970-1993) que permite analisar a convergência de preços ao longo do tempo; (ii) utilizam um modelo estrutural de demanda (logit aninhado bi-nível) estimado por GMM, que separa efeitos de demanda, custos e conduta das firmas; (iii) realizam uma decomposição estrutural que quantifica a contribuição relativa de cada fonte de diferença de preço (câmbio, custos locais, cotas, segmentação).</w:t>
        <w:br/>
        <w:br/>
        <w:t>Outros trabalhos contemporâneos incluem Gagnon e Knetter (1995) sobre pass-through no mercado automobilístico, e Engel e Rogers (1996) sobre fronteiras e preços. O artigo de Goldberg e Verboven é mais abrangente ao integrar tanto o lado da demanda quanto o da oferta em um framework estrutural coerente.</w:t>
      </w:r>
    </w:p>
    <w:p>
      <w:pPr>
        <w:pStyle w:val="Heading1"/>
      </w:pPr>
      <w:r>
        <w:t>3. Dados e Análise Descritiva: Dispersão de Preços Ajustada por Qualidade</w:t>
      </w:r>
    </w:p>
    <w:p>
      <w:r>
        <w:t>Os dados cobrem o mercado automobilístico de cinco países europeus — Alemanha (DE), França (FR), Itália (IT), Bélgica (BE) e Reino Unido (UK) — entre 1970 e 1993. A base de dados é construída a partir de publicações anuais da revista Autovisie (Holanda), suplementada por outras fontes para cobertura de modelos e países. Para cada modelo-mercado-ano, são observados: preço ao consumidor em moeda local, taxa de imposto sobre vendas (VAT), especificações físicas do veículo (cilindrada, potência, peso, comprimento, etc.) e identificação do fabricante e país de origem.</w:t>
        <w:br/>
        <w:br/>
        <w:t>O procedimento para construir um índice de preços ajustado por qualidade segue duas etapas. Na primeira, estima-se uma regressão hedônica:</w:t>
        <w:br/>
        <w:br/>
        <w:t>ln(p_jmt^ECU) = w_jmt * γ + δ * tax_mt + θ_c + θ_f + θ_st + θ_mt + ε_jmt</w:t>
        <w:br/>
        <w:br/>
        <w:t>onde p_jmt^ECU é o preço em ECU do modelo j no mercado m no ano t, w_jmt é o vetor de características físicas, tax_mt é a taxa de imposto no mercado m, e θ_c, θ_f, θ_st, θ_mt são efeitos fixos de classe, fabricante, estado estável e mercado-ano. Na segunda etapa, os preços ajustados por qualidade são obtidos como os resíduos em relação aos efeitos fixos de mercado-ano, isto é, as desvios do preço de cada modelo em relação à média do mercado naquele ano.</w:t>
        <w:br/>
        <w:br/>
        <w:t>A Tabela 1 do artigo apresenta estatísticas descritivas para o painel. O número de modelos varia entre 97 (1970) e 159 (1993), com uma média de aproximadamente 130 modelos por ano, totalizando cerca de 7.212 observações. Os preços são deflacionados para ECU de 1980 usando índices de preço ao consumidor de cada país.</w:t>
        <w:br/>
        <w:br/>
        <w:t>A análise descritiva revela quatro padrões principais: (i) Bélgica sistematicamente apresenta os menores preços ajustados por qualidade; (ii) Reino Unido e Itália apresentam os maiores preços; (iii) a dispersão total de preços é substancial e persistente ao longo do período; (iv) há uma tendência de ligeira convergência após 1987, mas sem eliminação das diferenças.</w:t>
        <w:br/>
        <w:br/>
        <w:t>A Tabela 2 mostra índices de preço relativo por país e por classe de veículo. Os preços no Reino Unido são em média 20-30% superiores aos da Bélgica; a Itália apresenta prêmio de 15-25% em relação à média. Diferenças variam por classe: são maiores para segmento pequeno/médio e menores para o segmento de luxo (onde a concorrência internacional é mais intensa).</w:t>
      </w:r>
    </w:p>
    <w:p>
      <w:pPr>
        <w:pStyle w:val="Heading1"/>
      </w:pPr>
      <w:r>
        <w:t>4. Papel das Taxas de Câmbio: Pricing-to-Market</w:t>
      </w:r>
    </w:p>
    <w:p>
      <w:r>
        <w:t>Uma das causas potenciais da dispersão de preços é a resposta assimétrica dos preços a variações cambiais — fenômeno denominado "pricing-to-market" (PTM). Se os fabricantes ajustam suas margens em função da taxa de câmbio de cada mercado, os preços em moeda comum não se equalizam mesmo sem barreiras ao comércio.</w:t>
        <w:br/>
        <w:br/>
        <w:t>Para medir o PTM, os autores estimam a seguinte equação hedônica em painel para cada par (fabricante, mercado de destino):</w:t>
        <w:br/>
        <w:br/>
        <w:t>ln(p_jmt^m) = w_jmt * γ_m + β_sm * ln(e_sm,t) + λ_t + ε_jmt</w:t>
        <w:br/>
        <w:br/>
        <w:t>onde p_jmt^m é o preço do modelo j no mercado m no ano t expresso em moeda doméstica, e_sm,t é a taxa de câmbio bilateral entre o país de origem s do fabricante e o mercado de destino m, β_sm é o coeficiente de PTM, e λ_t é um efeito fixo de ano. Um coeficiente β_sm = 0 indica pass-through completo (os preços em moeda local sobem 1% para cada 1% de depreciação da moeda doméstica); β_sm = 1 indica ausência total de pass-through (os preços em moeda do exportador permanecem constantes, absorvendo toda a variação cambial nas margens).</w:t>
        <w:br/>
        <w:br/>
        <w:t>Os resultados da Tabela 3 mostram coeficientes β_sm entre 0,30 e 0,65, com média ponderada de aproximadamente 0,46. Isso implica que apenas 54% de uma variação cambial é repassada para os preços ao consumidor, enquanto 46% é absorvida nas margens do fabricante. O PTM é mais intenso para fabricantes alemães exportando para mercados com câmbio volátil (especialmente UK e Itália) e menos intenso para fabricantes do país de destino.</w:t>
        <w:br/>
        <w:br/>
        <w:t>Um resultado crucial do artigo é a decomposição do coeficiente PTM. Usando o modelo estrutural (estimado na Seção 7), os autores mostram que uma parcela significativa do PTM — aproximadamente 37-39 pontos percentuais dos 46% observados — pode ser explicada pelo componente de custo marginal local (LWAGELOC: salário-hora local ponderado pelo conteúdo de trabalho do veículo). Isso significa que a absorção de choque cambial nas margens é parcialmente racional: quando a moeda local se aprecia, os custos locais de produção/distribuição caem, e isso justifica parte da redução das margens.</w:t>
        <w:br/>
        <w:br/>
        <w:t>Essa decomposição é teoricamente importante porque distingue o PTM "de custo" (endógeno à estrutura de custos) do PTM "de markup" (discriminação de preços pura), com implicações distintas para política de concorrência.</w:t>
      </w:r>
    </w:p>
    <w:p>
      <w:pPr>
        <w:pStyle w:val="Heading1"/>
      </w:pPr>
      <w:r>
        <w:t>5. Modelo de Oligopólio: Demanda com Logit Aninhado Bi-Nível</w:t>
      </w:r>
    </w:p>
    <w:p>
      <w:r>
        <w:t>O modelo de demanda segue a estrutura de logit aninhado de dois níveis (bi-level nested logit), derivada do modelo GEV (Generalized Extreme Value) de McFadden (1978). A intuição é que consumidores primeiro escolhem a classe do veículo (pequeno, médio, grande, luxo, sport) e, dentro da classe, escolhem entre fabricantes domésticos e estrangeiros.</w:t>
        <w:br/>
        <w:br/>
        <w:t>A estrutura de grupos e subgrupos é: G = {classes de veículo}, com cada grupo g particionado em dois subgrupos h ∈ {doméstico, estrangeiro}. O consumidor i escolhe o veículo j que maximiza a utilidade indireta:</w:t>
        <w:br/>
        <w:br/>
        <w:t>u_ijmt = α * p_jmt + x_jmt * β + ξ_jmt + ζ_igmt + (1 - ρ_c) * ζ_ihmt + (1 - ρ_f) * ε_ijmt</w:t>
        <w:br/>
        <w:br/>
        <w:t>onde ζ_igmt é o componente de utilidade específico da classe g, ζ_ihmt é o componente específico do subgrupo h (doméstico/estrangeiro), e ε_ijmt é o componente idiossincrático com distribuição valor extremo tipo I. Os parâmetros de correlação ρ_c ∈ [0,1] e ρ_f ∈ [0,1] capturam, respectivamente, a correlação intra-classe e intra-subgrupo (doméstico/estrangeiro). Quando ρ_c → 1, os produtos dentro da mesma classe são substitutos quase-perfeitos; quando ρ_f → 1, os produtos do mesmo fabricante (doméstico ou estrangeiro) são muito similares.</w:t>
        <w:br/>
        <w:br/>
        <w:t>A participação de mercado do produto j no mercado m no ano t é dada por:</w:t>
        <w:br/>
        <w:br/>
        <w:t>s_jmt = s_{j|hmt} * s_{h|gmt} * s_{gmt}</w:t>
        <w:br/>
        <w:br/>
        <w:t>onde s_{j|hmt} é a participação condicional no subgrupo h, s_{h|gmt} é a participação do subgrupo h dentro do grupo g, e s_{gmt} é a participação do grupo g no mercado total (incluindo a opção de não comprar).</w:t>
        <w:br/>
        <w:br/>
        <w:t>A forma log-linearizada para estimação é:</w:t>
        <w:br/>
        <w:br/>
        <w:t>ln(s_jmt) - ln(s_0mt) = α * p_jmt + x_jmt * β + ρ_c * ln(s_{j|gmt}) + (ρ_f - ρ_c) * ln(s_{j|hmt}) + ξ_jmt</w:t>
        <w:br/>
        <w:br/>
        <w:t>onde s_0mt é a participação do bem externo (não comprar). Esta equação linear em parâmetros permite estimação por variáveis instrumentais, com as participações de grupo e subgrupo tratadas como variáveis endógenas (pois dependem dos termos de demanda não observados ξ).</w:t>
        <w:br/>
        <w:br/>
        <w:t>O componente de qualidade não observada ξ_jmt segue um processo AR(1):</w:t>
        <w:br/>
        <w:t>ξ_jmt = ρ * ξ_jm,t-1 + ω_jmt</w:t>
        <w:br/>
        <w:br/>
        <w:t>Essa especificação é importante porque incorpora a persistência temporal da qualidade de cada modelo, evitando que desvios temporários de demanda contaminem as estimativas dos parâmetros estruturais.</w:t>
      </w:r>
    </w:p>
    <w:p>
      <w:pPr>
        <w:pStyle w:val="Heading1"/>
      </w:pPr>
      <w:r>
        <w:t>6. Custo Marginal: Especificação Cobb-Douglas e Componente Local</w:t>
      </w:r>
    </w:p>
    <w:p>
      <w:r>
        <w:t>O custo marginal de produção e distribuição do veículo j no mercado m no ano t é especificado como:</w:t>
        <w:br/>
        <w:br/>
        <w:t>ln(mc_jmt) = w_jmt * γ + LWAGELOC_jmt * φ + θ_f + θ_c + ω_jmt</w:t>
        <w:br/>
        <w:br/>
        <w:t>onde w_jmt é o vetor de características físicas do veículo, LWAGELOC_jmt é o logaritmo do salário-hora no mercado de destino m ponderado pelo conteúdo estimado de trabalho local (distribuição/pós-venda), θ_f e θ_c são efeitos fixos de fabricante e classe, e ω_jmt é o componente não observado de custo.</w:t>
        <w:br/>
        <w:br/>
        <w:t>A variável LWAGELOC captura a fração do custo marginal atribuível a trabalho no país de destino (mão de obra em concessionárias, peças de reposição, serviços). A intuição é que, mesmo que o carro seja fabricado no país de origem, uma parte do custo de entrega ao consumidor final envolve insumos locais. Quando a moeda local se aprecia, esses custos locais caem em termos da moeda do exportador, reduzindo o custo marginal.</w:t>
        <w:br/>
        <w:br/>
        <w:t>A derivação das equações de oferta parte das condições de primeira ordem de maximização de lucro em equilíbrio de Nash-Bertrand. Se a firma f é proprietária do conjunto de produtos J_f no mercado m no período t, ela escolhe preços para maximizar:</w:t>
        <w:br/>
        <w:br/>
        <w:t>π_fmt = Σ_{j ∈ J_f} (p_jmt - mc_jmt) * M_mt * s_jmt(p_mt)</w:t>
        <w:br/>
        <w:br/>
        <w:t>onde M_mt é o tamanho do mercado (população adulta). A condição de primeira ordem para o produto j implica:</w:t>
        <w:br/>
        <w:br/>
        <w:t>p_jmt - mc_jmt = - [Σ_{k ∈ J_f} s_kmt * (∂s_kmt/∂p_jmt)^{-1}]^{-1}</w:t>
        <w:br/>
        <w:br/>
        <w:t>que, após inversão analítica da matriz de derivadas de participações (possível na estrutura nested logit), produz uma expressão fechada para o markup:</w:t>
        <w:br/>
        <w:br/>
        <w:t>μ_jmt = (p_jmt - mc_jmt) / p_jmt = 1 / [α * p_jmt * (1/(1-ρ_f) - s_{j|hmt}/(1-ρ_f) - ρ_c/(1-ρ_c) * s_{j|gmt} + ...)]</w:t>
        <w:br/>
        <w:br/>
        <w:t>O markup depende, portanto, dos parâmetros de correlação ρ_c e ρ_f, da elasticidade-preço α, e das participações de mercado — todos identificados na estimação do lado da demanda.</w:t>
      </w:r>
    </w:p>
    <w:p>
      <w:pPr>
        <w:pStyle w:val="Heading1"/>
      </w:pPr>
      <w:r>
        <w:t>7. Estratégia de Estimação GMM e Identificação</w:t>
      </w:r>
    </w:p>
    <w:p>
      <w:r>
        <w:t>A estimação combina a equação de demanda (logit aninhado bi-nível) com as condições de primeira ordem de oferta (Nash-Bertrand), resultando em um sistema de equações sobreidentificado estimado por GMM (Generalized Method of Moments).</w:t>
        <w:br/>
        <w:br/>
        <w:t>O sistema de momentos é:</w:t>
        <w:br/>
        <w:br/>
        <w:t>E[Z_jmt^D * ξ_jmt(θ)] = 0   (momentos de demanda)</w:t>
        <w:br/>
        <w:t>E[Z_jmt^S * ω_jmt(θ)] = 0   (momentos de oferta)</w:t>
        <w:br/>
        <w:br/>
        <w:t>onde Z^D e Z^S são matrizes de instrumentos para, respectivamente, as equações de demanda e oferta, e ξ(θ) e ω(θ) são os resíduos estruturais que dependem dos parâmetros θ = (α, β, ρ_c, ρ_f, γ, φ).</w:t>
        <w:br/>
        <w:br/>
        <w:t>O estimador GMM minimiza a forma quadrática:</w:t>
        <w:br/>
        <w:br/>
        <w:t>θ̂ = argmin [m(θ)' W m(θ)]</w:t>
        <w:br/>
        <w:br/>
        <w:t>onde m(θ) é o vetor de momentos empíricos e W é a matriz de ponderação ótima (inversa da matriz de variância-covariância dos momentos, estimada na primeira etapa).</w:t>
        <w:br/>
        <w:br/>
        <w:t>A estratégia de identificação enfrenta dois desafios principais: (i) endogeneidade dos preços na equação de demanda (correlação entre p_jmt e ξ_jmt); (ii) endogeneidade das participações de grupo e subgrupo (correlação com ξ_jmt).</w:t>
        <w:br/>
        <w:br/>
        <w:t>Para o problema (i), os instrumentos utilizados são: (a) número de produtos por fabricante no mercado (BLP-style instruments); (b) características dos outros produtos do mesmo fabricante em outros mercados (soma das características dos produtos do mesmo grupo em mercados diferentes); (c) taxa de câmbio bilateral entre o país de origem do fabricante e o mercado de destino. A taxa de câmbio é um instrumento especialmente poderoso porque afeta os preços diretamente via custos, mas não está correlacionada com os choques de demanda idiossincráticos.</w:t>
        <w:br/>
        <w:br/>
        <w:t>Para o problema (ii) das participações, os instrumentos adicionais incluem o número de produtos nos subgrupos e grupos dos produtos rivais, além de características médias dos rivais dentro do mesmo subgrupo.</w:t>
        <w:br/>
        <w:br/>
        <w:t>A presença do processo AR(1) no componente não observado de qualidade implica que os momentos de demanda devem ser ortogonais tanto a ξ_jmt quanto a suas diferenças temporais. Os autores utilizam instrumentos defasados (valores lagged das características e preços de produtos rivais) para explorar a estrutura temporal dos dados de painel.</w:t>
        <w:br/>
        <w:br/>
        <w:t>Os autores também discutem identificação separada de PTM de demanda versus PTM de custo: enquanto a variação cambial identifica o pass-through total, a variação nos salários locais (LWAGELOC) identifica a componente de custo, permitindo separar os dois canais.</w:t>
      </w:r>
    </w:p>
    <w:p>
      <w:pPr>
        <w:pStyle w:val="Heading1"/>
      </w:pPr>
      <w:r>
        <w:t>8. Resultados: Estimativas da Demanda e Estrutura de Mercado</w:t>
      </w:r>
    </w:p>
    <w:p>
      <w:r>
        <w:t>A Tabela 4 apresenta as estimativas GMM do modelo de demanda. O parâmetro de sensibilidade ao preço α é negativo e significativo em todos os mercados, com magnitudes compatíveis com elasticidades-preço razoáveis. Os parâmetros de correlação são estimados como ρ_c ≈ 0,55 a 0,70 (correlação intra-classe) e ρ_f ≈ 0,70 a 0,80 (correlação intra-subgrupo doméstico/estrangeiro), todos estatisticamente significativos e dentro do intervalo [0,1] compatível com a teoria de utilidade aleatória.</w:t>
        <w:br/>
        <w:br/>
        <w:t>As elasticidades-preço próprias (own-price elasticities) variam entre -3,5 e -6,8, com valores mais negativos para veículos de segmento pequeno (maior sensibilidade ao preço) e menos negativos para o segmento de luxo. As elasticidades cruzadas entre produtos do mesmo subgrupo (doméstico/estrangeiro dentro de uma classe) são maiores do que entre produtos de subgrupos diferentes, refletindo a estrutura do modelo aninhado.</w:t>
        <w:br/>
        <w:br/>
        <w:t>A Tabela 5 reporta as participações de mercado simuladas versus observadas, confirmando o bom ajuste do modelo: as correlações entre participações simuladas e observadas superam 0,90 para todos os mercados.</w:t>
        <w:br/>
        <w:br/>
        <w:t>Um resultado importante é a heterogeneidade entre mercados nas elasticidades e parâmetros de correlação. O Reino Unido apresenta maior sensibilidade ao preço e menor correlação intra-subgrupo, o que reflete a maior diversidade de produtos disponíveis naquele mercado. A Itália apresenta parâmetros compatíveis com maior proteção da indústria doméstica (alta correlação intra-subgrupo para veículos italianos).</w:t>
        <w:br/>
        <w:br/>
        <w:t>As estimativas dos parâmetros de custo (Tabela 6) mostram que as características físicas do veículo (cilindrada, peso) têm efeitos positivos e significativos sobre o custo marginal, como esperado. O coeficiente do salário local (φ) é positivo e significativo, com magnitude que implica que aproximadamente 15-20% do custo marginal de veículos importados é atribuível a insumos locais no mercado de destino.</w:t>
      </w:r>
    </w:p>
    <w:p>
      <w:pPr>
        <w:pStyle w:val="Heading1"/>
      </w:pPr>
      <w:r>
        <w:t>9. Resultados: Custos, Cotas Japonesas e Efeitos Fixos por País</w:t>
      </w:r>
    </w:p>
    <w:p>
      <w:r>
        <w:t>A análise das cotas de importação japonesas é um elemento central do artigo. Itália e França mantinham cotas absolutas sobre importações japonesas (limites em número de unidades), enquanto Alemanha, Bélgica e Reino Unido tinham acordos mais brandos ("entendimentos voluntários"). A teoria prediz que cotas vinculantes geram uma renda de quota (rent) para os importadores japoneses, que se traduz em preços mais elevados nos mercados restritos.</w:t>
        <w:br/>
        <w:br/>
        <w:t>Os autores estimam os multiplicadores de Lagrange associados às restrições de cota. Para cotas absolutas (λ^a, em preço por unidade) e cotas percentuais (λ^r, como fração do preço), as condições de otimidade dos fabricantes japoneses se modificam para incluir o custo sombra da restrição:</w:t>
        <w:br/>
        <w:br/>
        <w:t>p_jmt = mc_jmt + markup_jmt + λ^a_mt / s_jmt   (cota absoluta)</w:t>
        <w:br/>
        <w:t>p_jmt = mc_jmt + markup_jmt + λ^r_mt * p_jmt      (cota percentual)</w:t>
        <w:br/>
        <w:br/>
        <w:t>Os resultados mostram que as cotas eram vinculantes (λ &gt; 0 e estatisticamente significativo) na Itália e França durante a maior parte do período 1970-1990, com multiplicadores que implicam prêmios de preço de 5-10% acima do que seria observado sem as restrições. Após o Acordo de Auto (1991), os multiplicadores convergem para zero.</w:t>
        <w:br/>
        <w:br/>
        <w:t>A Tabela 6 também reporta efeitos fixos de fabricante e de mercado. Os efeitos de mercado capturam diferenças sistemáticas de custo (inclusive tributação) não capturas pelas outras variáveis. Os efeitos de fabricante refletem diferenças de qualidade não observada e reputação de marca.</w:t>
        <w:br/>
        <w:br/>
        <w:t>A comparação dos markups estimados entre países revela padrões consistentes com discriminação de preços: os markups são sistematicamente maiores no Reino Unido e Itália (cerca de 20-25% do preço) e menores na Bélgica (15-18%), mesmo após controlar por custos, impostos e características de produto. Essas diferenças de markup persistem ao longo do tempo e são consistentes com segmentação de mercado.</w:t>
      </w:r>
    </w:p>
    <w:p>
      <w:pPr>
        <w:pStyle w:val="Heading1"/>
      </w:pPr>
      <w:r>
        <w:t>10. Fontes das Diferenças de Preço: Decomposição Estrutural</w:t>
      </w:r>
    </w:p>
    <w:p>
      <w:r>
        <w:t>A contribuição empírica mais importante do artigo é a decomposição estrutural das fontes de diferença de preço entre países. Usando o modelo estimado, os autores simulam contrafactuais para isolar a contribuição de cada fator:</w:t>
        <w:br/>
        <w:br/>
        <w:t>(i) Taxas de câmbio e PTM: Se todos os países tivessem a mesma moeda (câmbio fixo), qual seria a dispersão residual? Os resultados mostram que as flutuações cambiais explicam uma fração substancial (30-40%) da dispersão observada de preços em ECU. Isso implica que a convergência cambial associada à UME reduziria significativamente — mas não eliminaria — a dispersão de preços.</w:t>
        <w:br/>
        <w:br/>
        <w:t>(ii) Custos locais (LWAGELOC): O componente de custo local explica parte do PTM e das diferenças de nível de preços. Países com salários mais altos (DE, FR) têm custos de distribuição maiores, o que contribui para preços ao consumidor mais elevados mesmo antes da aplicação de markups.</w:t>
        <w:br/>
        <w:br/>
        <w:t>(iii) Cotas de importação: A remoção das cotas japonesas (contrafactual λ = 0) reduziria os preços em Itália e França em 3-7%, diminuindo a dispersão total.</w:t>
        <w:br/>
        <w:br/>
        <w:t>(iv) Segmentação de mercado (discriminação de preços pura): O resíduo da decomposição — a componente não atribuível a câmbio, custos ou regulação — é interpretado como discriminação de preços pura (diferenças de markup). Essa componente é positiva e persistente, especialmente para o UK e Itália, sugerindo que firmas exploram diferenças de elasticidade entre mercados.</w:t>
        <w:br/>
        <w:br/>
        <w:t>A Tabela 7 apresenta os resultados quantitativos da decomposição. Em média, para o período 1980-1993: câmbio e PTM explicam ~35% da dispersão; custos locais explicam ~15%; cotas explicam ~10%; discriminação de preços pura explica ~40% da dispersão residual. A decomposição revela que a integração europeia reduziu a fração explicada por cotas, mas não eliminou a discriminação de preços.</w:t>
        <w:br/>
        <w:br/>
        <w:t>Esse resultado tem implicações diretas para política: a eliminação das flutuações cambiais (UME) não garante convergência de preços, pois a maior fonte de dispersão é a discriminação de preços pura, que requer intervenção direta em política de concorrência.</w:t>
      </w:r>
    </w:p>
    <w:p>
      <w:pPr>
        <w:pStyle w:val="Heading1"/>
      </w:pPr>
      <w:r>
        <w:t>11. Estabilidade de Preços em Moeda Local e Implicações para a UME</w:t>
      </w:r>
    </w:p>
    <w:p>
      <w:r>
        <w:t>Uma questão complementar investigada pelos autores é: os preços em moeda local são estáveis ao longo do tempo, mesmo na presença de volatilidade cambial? A resposta tem implicações diretas para o debate sobre os custos e benefícios da União Monetária Europeia.</w:t>
        <w:br/>
        <w:br/>
        <w:t>A evidência descritiva mostra que os preços em moeda local são notavelmente estáveis no período 1970-1993: o desvio padrão dos preços em moeda local é substancialmente menor do que o das taxas de câmbio bilaterais. Isso é consistente com PTM elevado — os fabricantes ajustam suas margens para estabilizar os preços ao consumidor em cada mercado, absorvendo as flutuações cambiais.</w:t>
        <w:br/>
        <w:br/>
        <w:t>O modelo estrutural confirma essa intuição: as elasticidades simuladas dos preços em moeda local em relação às taxas de câmbio são próximas de zero para a maioria dos mercados, refletindo o alto grau de PTM documentado na Seção 4. A estabilidade é especialmente pronunciada para fabricantes alemães exportando para mercados com alta volatilidade (UK nos anos 1980).</w:t>
        <w:br/>
        <w:br/>
        <w:t>As implicações para a UME são de duas naturezas:</w:t>
        <w:br/>
        <w:br/>
        <w:t>Primeiro, se os preços em moeda local são estáveis apesar da volatilidade cambial, a eliminação dessa volatilidade com a UME não seria necessariamente desfavorável para os consumidores — mas também não garantiria convergência de preços, já que a estabilidade local é sustentada pela discriminação de preços.</w:t>
        <w:br/>
        <w:br/>
        <w:t>Segundo, com câmbio fixo, os fabricantes perdem um mecanismo de ajuste (a política de preços por mercado via markup), o que pode tanto aumentar a concorrência (se a segmentação se torna insustentável) quanto aumentar a volatilidade de quantidades vendidas (se choques de custo não podem mais ser absorvidos via markup).</w:t>
        <w:br/>
        <w:br/>
        <w:t>Os autores concluem que a convergência de preços pós-UME dependerá criticamente de: (i) se as autoridades de concorrência europeias conseguem fazer cumprir o princípio da livre revenda entre países-membros; (ii) se o Regulamento de Isenção por Categoria no setor automobilístico é reformado para facilitar a importação paralela. Sem esses complementos de política, a integração monetária será insuficiente para equalizar os preços no mercado automobilístico europeu.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