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3CE6" w14:textId="77777777" w:rsidR="00C92749" w:rsidRPr="00C92749" w:rsidRDefault="00C92749" w:rsidP="00C92749">
      <w:pPr>
        <w:jc w:val="both"/>
        <w:rPr>
          <w:b/>
          <w:bCs/>
        </w:rPr>
      </w:pPr>
      <w:r w:rsidRPr="00C92749">
        <w:rPr>
          <w:b/>
          <w:bCs/>
        </w:rPr>
        <w:t xml:space="preserve">Resumo Detalhado: Berry, Levinsohn e </w:t>
      </w:r>
      <w:proofErr w:type="spellStart"/>
      <w:r w:rsidRPr="00C92749">
        <w:rPr>
          <w:b/>
          <w:bCs/>
        </w:rPr>
        <w:t>Pakes</w:t>
      </w:r>
      <w:proofErr w:type="spellEnd"/>
      <w:r w:rsidRPr="00C92749">
        <w:rPr>
          <w:b/>
          <w:bCs/>
        </w:rPr>
        <w:t xml:space="preserve"> (1995)</w:t>
      </w:r>
    </w:p>
    <w:p w14:paraId="439EE4D3" w14:textId="77777777" w:rsidR="00C92749" w:rsidRPr="00C92749" w:rsidRDefault="00C92749" w:rsidP="00C92749">
      <w:pPr>
        <w:jc w:val="both"/>
      </w:pPr>
      <w:r w:rsidRPr="00C92749">
        <w:rPr>
          <w:b/>
          <w:bCs/>
        </w:rPr>
        <w:t>Referência:</w:t>
      </w:r>
      <w:r w:rsidRPr="00C92749">
        <w:t xml:space="preserve"> Berry, S., Levinsohn, J., e </w:t>
      </w:r>
      <w:proofErr w:type="spellStart"/>
      <w:r w:rsidRPr="00C92749">
        <w:t>Pakes</w:t>
      </w:r>
      <w:proofErr w:type="spellEnd"/>
      <w:r w:rsidRPr="00C92749">
        <w:t xml:space="preserve">, A. (1995). </w:t>
      </w:r>
      <w:r w:rsidRPr="00C92749">
        <w:rPr>
          <w:lang w:val="en-US"/>
        </w:rPr>
        <w:t xml:space="preserve">"Automobile Prices in Market Equilibrium." </w:t>
      </w:r>
      <w:proofErr w:type="spellStart"/>
      <w:r w:rsidRPr="00C92749">
        <w:rPr>
          <w:i/>
          <w:iCs/>
        </w:rPr>
        <w:t>Econometrica</w:t>
      </w:r>
      <w:proofErr w:type="spellEnd"/>
      <w:r w:rsidRPr="00C92749">
        <w:t>, 63(4), 841–890.</w:t>
      </w:r>
    </w:p>
    <w:p w14:paraId="41BD3F02" w14:textId="77777777" w:rsidR="00C92749" w:rsidRPr="00C92749" w:rsidRDefault="00C92749" w:rsidP="00C92749">
      <w:pPr>
        <w:jc w:val="both"/>
      </w:pPr>
      <w:r w:rsidRPr="00C92749">
        <w:pict w14:anchorId="77A34093">
          <v:rect id="_x0000_i1073" style="width:0;height:1.5pt" o:hralign="center" o:hrstd="t" o:hr="t" fillcolor="#a0a0a0" stroked="f"/>
        </w:pict>
      </w:r>
    </w:p>
    <w:p w14:paraId="1426FDBB" w14:textId="77777777" w:rsidR="00C92749" w:rsidRPr="00C92749" w:rsidRDefault="00C92749" w:rsidP="00C92749">
      <w:pPr>
        <w:jc w:val="both"/>
        <w:rPr>
          <w:b/>
          <w:bCs/>
        </w:rPr>
      </w:pPr>
      <w:r w:rsidRPr="00C92749">
        <w:rPr>
          <w:b/>
          <w:bCs/>
        </w:rPr>
        <w:t>1. Problema e Motivação</w:t>
      </w:r>
    </w:p>
    <w:p w14:paraId="36E0A5C8" w14:textId="77777777" w:rsidR="00C92749" w:rsidRPr="00C92749" w:rsidRDefault="00C92749" w:rsidP="00C92749">
      <w:pPr>
        <w:jc w:val="both"/>
      </w:pPr>
      <w:r w:rsidRPr="00C92749">
        <w:t>O artigo parte de dois problemas centrais que afetam a estimação de demanda em mercados com produtos diferenciados:</w:t>
      </w:r>
    </w:p>
    <w:p w14:paraId="6344C1FF" w14:textId="77777777" w:rsidR="00C92749" w:rsidRPr="00C92749" w:rsidRDefault="00C92749" w:rsidP="00C92749">
      <w:pPr>
        <w:jc w:val="both"/>
      </w:pPr>
      <w:r w:rsidRPr="00C92749">
        <w:rPr>
          <w:b/>
          <w:bCs/>
        </w:rPr>
        <w:t>Problema 1: Padrões de substituição implausíveis.</w:t>
      </w:r>
      <w:r w:rsidRPr="00C92749">
        <w:t xml:space="preserve"> O modelo </w:t>
      </w:r>
      <w:proofErr w:type="spellStart"/>
      <w:r w:rsidRPr="00C92749">
        <w:t>logit</w:t>
      </w:r>
      <w:proofErr w:type="spellEnd"/>
      <w:r w:rsidRPr="00C92749">
        <w:t xml:space="preserve"> simples implica que a elasticidade-preço cruzada entre dois produtos depende apenas de suas participações de mercado (</w:t>
      </w:r>
      <w:proofErr w:type="spellStart"/>
      <w:r w:rsidRPr="00C92749">
        <w:t>shares</w:t>
      </w:r>
      <w:proofErr w:type="spellEnd"/>
      <w:r w:rsidRPr="00C92749">
        <w:t xml:space="preserve">), e não das características dos produtos. Isso produz previsões absurdas: um aumento de preço de um BMW geraria o mesmo aumento de demanda para um </w:t>
      </w:r>
      <w:proofErr w:type="spellStart"/>
      <w:r w:rsidRPr="00C92749">
        <w:t>Yugo</w:t>
      </w:r>
      <w:proofErr w:type="spellEnd"/>
      <w:r w:rsidRPr="00C92749">
        <w:t xml:space="preserve"> e para um Mercedes, desde que tenham o mesmo </w:t>
      </w:r>
      <w:proofErr w:type="spellStart"/>
      <w:r w:rsidRPr="00C92749">
        <w:t>market</w:t>
      </w:r>
      <w:proofErr w:type="spellEnd"/>
      <w:r w:rsidRPr="00C92749">
        <w:t xml:space="preserve"> </w:t>
      </w:r>
      <w:proofErr w:type="spellStart"/>
      <w:r w:rsidRPr="00C92749">
        <w:t>share</w:t>
      </w:r>
      <w:proofErr w:type="spellEnd"/>
      <w:r w:rsidRPr="00C92749">
        <w:t xml:space="preserve">. A raiz do problema é a separabilidade aditiva do </w:t>
      </w:r>
      <w:proofErr w:type="spellStart"/>
      <w:r w:rsidRPr="00C92749">
        <w:t>logit</w:t>
      </w:r>
      <w:proofErr w:type="spellEnd"/>
      <w:r w:rsidRPr="00C92749">
        <w:t xml:space="preserve"> padrão, que gera a propriedade de "independência de alternativas irrelevantes" (IIA).</w:t>
      </w:r>
    </w:p>
    <w:p w14:paraId="5FD33365" w14:textId="77777777" w:rsidR="00C92749" w:rsidRPr="00C92749" w:rsidRDefault="00C92749" w:rsidP="00C92749">
      <w:pPr>
        <w:jc w:val="both"/>
      </w:pPr>
      <w:r w:rsidRPr="00C92749">
        <w:rPr>
          <w:b/>
          <w:bCs/>
        </w:rPr>
        <w:t>Problema 2: Endogeneidade de preços.</w:t>
      </w:r>
      <w:r w:rsidRPr="00C92749">
        <w:t xml:space="preserve"> Firmas conhecem atributos não observados pelo </w:t>
      </w:r>
      <w:proofErr w:type="spellStart"/>
      <w:r w:rsidRPr="00C92749">
        <w:t>econometrista</w:t>
      </w:r>
      <w:proofErr w:type="spellEnd"/>
      <w:r w:rsidRPr="00C92749">
        <w:t xml:space="preserve"> (design, prestígio, reputação) e os consideram ao fixar preços. Isso gera correlação entre preço e o termo de erro da demanda, tornando estimativas de OLS viesadas. Este é o análogo, em produtos diferenciados, do problema clássico de equações simultâneas em mercados homogêneos.</w:t>
      </w:r>
    </w:p>
    <w:p w14:paraId="446788C7" w14:textId="77777777" w:rsidR="00C92749" w:rsidRPr="00C92749" w:rsidRDefault="00C92749" w:rsidP="00C92749">
      <w:pPr>
        <w:jc w:val="both"/>
      </w:pPr>
      <w:r w:rsidRPr="00C92749">
        <w:t>O artigo desenvolve uma solução conjunta para ambos os problemas, aplicando-a ao mercado americano de automóveis com dados de 1971 a 1990.</w:t>
      </w:r>
    </w:p>
    <w:p w14:paraId="52F70106" w14:textId="77777777" w:rsidR="00C92749" w:rsidRPr="00C92749" w:rsidRDefault="00C92749" w:rsidP="00C92749">
      <w:pPr>
        <w:jc w:val="both"/>
      </w:pPr>
      <w:r w:rsidRPr="00C92749">
        <w:pict w14:anchorId="4CF14C06">
          <v:rect id="_x0000_i1074" style="width:0;height:1.5pt" o:hralign="center" o:hrstd="t" o:hr="t" fillcolor="#a0a0a0" stroked="f"/>
        </w:pict>
      </w:r>
    </w:p>
    <w:p w14:paraId="68EF2F00" w14:textId="77777777" w:rsidR="00C92749" w:rsidRPr="00C92749" w:rsidRDefault="00C92749" w:rsidP="00C92749">
      <w:pPr>
        <w:jc w:val="both"/>
        <w:rPr>
          <w:b/>
          <w:bCs/>
        </w:rPr>
      </w:pPr>
      <w:r w:rsidRPr="00C92749">
        <w:rPr>
          <w:b/>
          <w:bCs/>
        </w:rPr>
        <w:t>2. Modelo de Demanda</w:t>
      </w:r>
    </w:p>
    <w:p w14:paraId="3AEAFB73" w14:textId="77777777" w:rsidR="00C92749" w:rsidRPr="00C92749" w:rsidRDefault="00C92749" w:rsidP="00C92749">
      <w:pPr>
        <w:jc w:val="both"/>
        <w:rPr>
          <w:b/>
          <w:bCs/>
        </w:rPr>
      </w:pPr>
      <w:r w:rsidRPr="00C92749">
        <w:rPr>
          <w:b/>
          <w:bCs/>
        </w:rPr>
        <w:t>2.1. Especificação de Utilidade</w:t>
      </w:r>
    </w:p>
    <w:p w14:paraId="63BD4C8F" w14:textId="109FEB68" w:rsidR="00C92749" w:rsidRPr="00C92749" w:rsidRDefault="00C92749" w:rsidP="00C92749">
      <w:pPr>
        <w:jc w:val="both"/>
      </w:pPr>
      <w:r w:rsidRPr="00C92749">
        <w:t xml:space="preserve">A utilidade do consumidor </w:t>
      </w:r>
      <m:oMath>
        <m:r>
          <w:rPr>
            <w:rFonts w:ascii="Cambria Math" w:hAnsi="Cambria Math"/>
          </w:rPr>
          <m:t>i</m:t>
        </m:r>
      </m:oMath>
      <w:r w:rsidRPr="00C92749">
        <w:t xml:space="preserve">pelo produto </w:t>
      </w:r>
      <m:oMath>
        <m:r>
          <w:rPr>
            <w:rFonts w:ascii="Cambria Math" w:hAnsi="Cambria Math"/>
          </w:rPr>
          <m:t>j</m:t>
        </m:r>
      </m:oMath>
      <w:r w:rsidRPr="00C92749">
        <w:t xml:space="preserve">é: </w:t>
      </w:r>
    </w:p>
    <w:p w14:paraId="702EE55C" w14:textId="1075328D" w:rsidR="00C92749" w:rsidRPr="00C92749" w:rsidRDefault="00C92749" w:rsidP="00C92749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=α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β+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jk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ik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br/>
          </m:r>
        </m:oMath>
      </m:oMathPara>
    </w:p>
    <w:p w14:paraId="5221EB57" w14:textId="77777777" w:rsidR="00C92749" w:rsidRPr="00C92749" w:rsidRDefault="00C92749" w:rsidP="00C92749">
      <w:pPr>
        <w:jc w:val="both"/>
      </w:pPr>
      <w:r w:rsidRPr="00C92749">
        <w:t>onde:</w:t>
      </w:r>
    </w:p>
    <w:p w14:paraId="7A4E3840" w14:textId="2A19ECD8" w:rsidR="00C92749" w:rsidRPr="00C92749" w:rsidRDefault="00C92749" w:rsidP="00C92749">
      <w:pPr>
        <w:numPr>
          <w:ilvl w:val="0"/>
          <w:numId w:val="1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C92749">
        <w:t xml:space="preserve">é a renda do consumidor </w:t>
      </w:r>
      <m:oMath>
        <m:r>
          <w:rPr>
            <w:rFonts w:ascii="Cambria Math" w:hAnsi="Cambria Math"/>
          </w:rPr>
          <m:t>i</m:t>
        </m:r>
      </m:oMath>
    </w:p>
    <w:p w14:paraId="25D0F2AD" w14:textId="5D4861C3" w:rsidR="00C92749" w:rsidRPr="00C92749" w:rsidRDefault="00C92749" w:rsidP="00C92749">
      <w:pPr>
        <w:numPr>
          <w:ilvl w:val="0"/>
          <w:numId w:val="1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92749">
        <w:t xml:space="preserve">é o preço do produto </w:t>
      </w:r>
      <m:oMath>
        <m:r>
          <w:rPr>
            <w:rFonts w:ascii="Cambria Math" w:hAnsi="Cambria Math"/>
          </w:rPr>
          <m:t>j</m:t>
        </m:r>
      </m:oMath>
    </w:p>
    <w:p w14:paraId="5BFAA166" w14:textId="73B635F5" w:rsidR="00C92749" w:rsidRPr="00C92749" w:rsidRDefault="00C92749" w:rsidP="00C92749">
      <w:pPr>
        <w:numPr>
          <w:ilvl w:val="0"/>
          <w:numId w:val="1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92749">
        <w:t xml:space="preserve">é um vetor de características observáveis do produto (HP/peso, tamanho, ar-condicionado, MP$) </w:t>
      </w:r>
    </w:p>
    <w:p w14:paraId="390EBBFE" w14:textId="63AE16EC" w:rsidR="00C92749" w:rsidRPr="00C92749" w:rsidRDefault="00C92749" w:rsidP="00C92749">
      <w:pPr>
        <w:numPr>
          <w:ilvl w:val="0"/>
          <w:numId w:val="1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92749">
        <w:t xml:space="preserve">é o componente de utilidade não observado pelo econometrista, mas observado por consumidores e firmas (estilo, prestígio, reputação) </w:t>
      </w:r>
    </w:p>
    <w:p w14:paraId="054ED55F" w14:textId="04BB803A" w:rsidR="00C92749" w:rsidRPr="00C92749" w:rsidRDefault="00C92749" w:rsidP="00C92749">
      <w:pPr>
        <w:numPr>
          <w:ilvl w:val="0"/>
          <w:numId w:val="1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</m:oMath>
      <w:r w:rsidRPr="00C92749">
        <w:t xml:space="preserve">é um choque </w:t>
      </w:r>
      <w:proofErr w:type="gramStart"/>
      <w:r w:rsidRPr="00C92749">
        <w:t>idiossincrático</w:t>
      </w:r>
      <w:proofErr w:type="gramEnd"/>
      <w:r w:rsidRPr="00C92749">
        <w:t xml:space="preserve"> do consumidor </w:t>
      </w:r>
      <m:oMath>
        <m:r>
          <w:rPr>
            <w:rFonts w:ascii="Cambria Math" w:hAnsi="Cambria Math"/>
          </w:rPr>
          <m:t>i</m:t>
        </m:r>
      </m:oMath>
      <w:r w:rsidRPr="00C92749">
        <w:t xml:space="preserve">sobre a característica </w:t>
      </w:r>
      <m:oMath>
        <m:r>
          <w:rPr>
            <w:rFonts w:ascii="Cambria Math" w:hAnsi="Cambria Math"/>
          </w:rPr>
          <m:t>k</m:t>
        </m:r>
      </m:oMath>
      <w:r w:rsidRPr="00C92749">
        <w:t xml:space="preserve">, com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(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ik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)=1</m:t>
        </m:r>
      </m:oMath>
    </w:p>
    <w:p w14:paraId="3C5C45AD" w14:textId="6310B4C5" w:rsidR="00C92749" w:rsidRPr="00C92749" w:rsidRDefault="00C92749" w:rsidP="00C92749">
      <w:pPr>
        <w:numPr>
          <w:ilvl w:val="0"/>
          <w:numId w:val="1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C92749">
        <w:t xml:space="preserve">captura a dispersão das preferências pela característica </w:t>
      </w:r>
      <m:oMath>
        <m:r>
          <w:rPr>
            <w:rFonts w:ascii="Cambria Math" w:hAnsi="Cambria Math"/>
          </w:rPr>
          <m:t>k</m:t>
        </m:r>
      </m:oMath>
      <w:r w:rsidRPr="00C92749">
        <w:t xml:space="preserve">(coeficientes aleatórios) </w:t>
      </w:r>
    </w:p>
    <w:p w14:paraId="3AE9BF1C" w14:textId="5CA87B4F" w:rsidR="00C92749" w:rsidRPr="00C92749" w:rsidRDefault="00C92749" w:rsidP="00C92749">
      <w:pPr>
        <w:numPr>
          <w:ilvl w:val="0"/>
          <w:numId w:val="1"/>
        </w:numPr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C92749">
        <w:t xml:space="preserve">é um erro i.i.d. com distribuição extreme value tipo I (o que permite logit condicional em </w:t>
      </w:r>
      <m:oMath>
        <m:r>
          <w:rPr>
            <w:rFonts w:ascii="Cambria Math" w:hAnsi="Cambria Math"/>
          </w:rPr>
          <m:t>v</m:t>
        </m:r>
      </m:oMath>
      <w:r w:rsidRPr="00C92749">
        <w:t xml:space="preserve">) </w:t>
      </w:r>
    </w:p>
    <w:p w14:paraId="34557707" w14:textId="77777777" w:rsidR="00C92749" w:rsidRPr="00C92749" w:rsidRDefault="00C92749" w:rsidP="00C92749">
      <w:pPr>
        <w:jc w:val="both"/>
      </w:pPr>
      <w:r w:rsidRPr="00C92749">
        <w:t>A utilidade pode ser decomposta em:</w:t>
      </w:r>
    </w:p>
    <w:p w14:paraId="4DC429EC" w14:textId="02A0100B" w:rsidR="00C92749" w:rsidRPr="00C92749" w:rsidRDefault="00C92749" w:rsidP="00C92749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utilidade m</m:t>
              </m:r>
              <m:acc>
                <m:accPr>
                  <m:chr m:val="ˊ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nor/>
                    </m:rPr>
                    <m:t>e</m:t>
                  </m:r>
                </m:e>
              </m:acc>
              <m:r>
                <m:rPr>
                  <m:nor/>
                </m:rPr>
                <m:t>dia</m:t>
              </m:r>
            </m:lim>
          </m:limLow>
          <m: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desvio individual</m:t>
              </m:r>
            </m:lim>
          </m:limLow>
          <m:r>
            <w:br/>
          </m:r>
        </m:oMath>
      </m:oMathPara>
    </w:p>
    <w:p w14:paraId="79892F87" w14:textId="60F9DEDE" w:rsidR="00C92749" w:rsidRPr="00C92749" w:rsidRDefault="00C92749" w:rsidP="00C92749">
      <w:pPr>
        <w:jc w:val="both"/>
      </w:pPr>
      <w:r w:rsidRPr="00C92749">
        <w:t xml:space="preserve">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β-α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92749">
        <w:t xml:space="preserve">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ik</m:t>
            </m:r>
          </m:sub>
        </m:sSub>
      </m:oMath>
      <w:r w:rsidRPr="00C92749">
        <w:t xml:space="preserve">captura a interação entre características do produto e heterogeneidade do consumidor. </w:t>
      </w:r>
    </w:p>
    <w:p w14:paraId="1EF1445B" w14:textId="77777777" w:rsidR="00C92749" w:rsidRPr="00C92749" w:rsidRDefault="00C92749" w:rsidP="00C92749">
      <w:pPr>
        <w:jc w:val="both"/>
        <w:rPr>
          <w:b/>
          <w:bCs/>
        </w:rPr>
      </w:pPr>
      <w:r w:rsidRPr="00C92749">
        <w:rPr>
          <w:b/>
          <w:bCs/>
        </w:rPr>
        <w:t xml:space="preserve">2.2. Market </w:t>
      </w:r>
      <w:proofErr w:type="spellStart"/>
      <w:r w:rsidRPr="00C92749">
        <w:rPr>
          <w:b/>
          <w:bCs/>
        </w:rPr>
        <w:t>Shares</w:t>
      </w:r>
      <w:proofErr w:type="spellEnd"/>
    </w:p>
    <w:p w14:paraId="28D829B5" w14:textId="169CD0B8" w:rsidR="00C92749" w:rsidRPr="00C92749" w:rsidRDefault="00C92749" w:rsidP="00C92749">
      <w:pPr>
        <w:jc w:val="both"/>
      </w:pPr>
      <w:r w:rsidRPr="00C92749">
        <w:t xml:space="preserve">A participação de mercado do produto </w:t>
      </w:r>
      <m:oMath>
        <m:r>
          <w:rPr>
            <w:rFonts w:ascii="Cambria Math" w:hAnsi="Cambria Math"/>
          </w:rPr>
          <m:t>j</m:t>
        </m:r>
      </m:oMath>
      <w:r w:rsidRPr="00C92749">
        <w:t xml:space="preserve">é a integral: </w:t>
      </w:r>
    </w:p>
    <w:p w14:paraId="07C4C5A5" w14:textId="582CCBED" w:rsidR="00C92749" w:rsidRPr="00C92749" w:rsidRDefault="00C92749" w:rsidP="00C92749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(p,x,ξ;θ)=</m:t>
          </m:r>
          <m:nary>
            <m:naryPr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d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(v,ε)</m:t>
          </m:r>
          <m:r>
            <w:rPr>
              <w:i/>
            </w:rPr>
            <w:br/>
          </m:r>
        </m:oMath>
      </m:oMathPara>
    </w:p>
    <w:p w14:paraId="22DF09F5" w14:textId="355DC6FB" w:rsidR="00C92749" w:rsidRPr="00C92749" w:rsidRDefault="00C92749" w:rsidP="00C92749">
      <w:pPr>
        <w:jc w:val="both"/>
      </w:pPr>
      <w:r w:rsidRPr="00C92749">
        <w:t xml:space="preserve">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92749">
        <w:t xml:space="preserve">é o conjunto de tipos de consumidores que preferem </w:t>
      </w:r>
      <m:oMath>
        <m:r>
          <w:rPr>
            <w:rFonts w:ascii="Cambria Math" w:hAnsi="Cambria Math"/>
          </w:rPr>
          <m:t>j</m:t>
        </m:r>
      </m:oMath>
      <w:r w:rsidRPr="00C92749">
        <w:t xml:space="preserve">a todas as alternativas (incluindo a opção zero de não comprar). Para o modelo com coeficientes aleatórios, essa integral não tem forma fechada e é calculada por simulação via método de Monte Carlo. </w:t>
      </w:r>
    </w:p>
    <w:p w14:paraId="618DCCA0" w14:textId="0AAF82A3" w:rsidR="00C92749" w:rsidRPr="00C92749" w:rsidRDefault="00C92749" w:rsidP="00C92749">
      <w:pPr>
        <w:jc w:val="both"/>
      </w:pPr>
      <w:r w:rsidRPr="00C92749">
        <w:t xml:space="preserve">A lógica chave: 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C92749">
        <w:t xml:space="preserve">positivos fazem com que consumidores com preferência elevada por uma característica (ex: esportividade) sejam mais propensos a substituir para outros produtos com alta dose dessa mesma característica, gerando padrões de substituição realistas. </w:t>
      </w:r>
    </w:p>
    <w:p w14:paraId="17F0010D" w14:textId="77777777" w:rsidR="00C92749" w:rsidRPr="00C92749" w:rsidRDefault="00C92749" w:rsidP="00C92749">
      <w:pPr>
        <w:jc w:val="both"/>
      </w:pPr>
      <w:r w:rsidRPr="00C92749">
        <w:pict w14:anchorId="5FFE6F80">
          <v:rect id="_x0000_i1075" style="width:0;height:1.5pt" o:hralign="center" o:hrstd="t" o:hr="t" fillcolor="#a0a0a0" stroked="f"/>
        </w:pict>
      </w:r>
    </w:p>
    <w:p w14:paraId="6D650AEA" w14:textId="77777777" w:rsidR="00C92749" w:rsidRPr="00C92749" w:rsidRDefault="00C92749" w:rsidP="00C92749">
      <w:pPr>
        <w:jc w:val="both"/>
        <w:rPr>
          <w:b/>
          <w:bCs/>
        </w:rPr>
      </w:pPr>
      <w:r w:rsidRPr="00C92749">
        <w:rPr>
          <w:b/>
          <w:bCs/>
        </w:rPr>
        <w:t>3. Modelo de Oferta</w:t>
      </w:r>
    </w:p>
    <w:p w14:paraId="58609FE1" w14:textId="70F13589" w:rsidR="00C92749" w:rsidRPr="00C92749" w:rsidRDefault="00C92749" w:rsidP="00C92749">
      <w:pPr>
        <w:jc w:val="both"/>
      </w:pPr>
      <w:r w:rsidRPr="00C92749">
        <w:t xml:space="preserve">Assumindo Nash-Bertrand em preços, o lucro da firma </w:t>
      </w:r>
      <m:oMath>
        <m:r>
          <w:rPr>
            <w:rFonts w:ascii="Cambria Math" w:hAnsi="Cambria Math"/>
          </w:rPr>
          <m:t>f</m:t>
        </m:r>
      </m:oMath>
      <w:r w:rsidRPr="00C92749">
        <w:t xml:space="preserve">é: </w:t>
      </w:r>
    </w:p>
    <w:p w14:paraId="0DE251BC" w14:textId="51618CB4" w:rsidR="00C92749" w:rsidRPr="00C92749" w:rsidRDefault="00C92749" w:rsidP="00C92749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-m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(p,x,ξ;θ)</m:t>
          </m:r>
          <m:r>
            <w:rPr>
              <w:i/>
            </w:rPr>
            <w:br/>
          </m:r>
        </m:oMath>
      </m:oMathPara>
    </w:p>
    <w:p w14:paraId="3E66485A" w14:textId="14F88FFF" w:rsidR="00C92749" w:rsidRPr="00C92749" w:rsidRDefault="00C92749" w:rsidP="00C92749">
      <w:pPr>
        <w:jc w:val="both"/>
      </w:pPr>
      <w:r w:rsidRPr="00C92749">
        <w:t xml:space="preserve">A condição de primeira ordem para cada produto </w:t>
      </w:r>
      <m:oMath>
        <m:r>
          <w:rPr>
            <w:rFonts w:ascii="Cambria Math" w:hAnsi="Cambria Math"/>
          </w:rPr>
          <m:t>j</m:t>
        </m:r>
      </m:oMath>
      <w:r w:rsidRPr="00C92749">
        <w:t xml:space="preserve">da firma </w:t>
      </w:r>
      <m:oMath>
        <m:r>
          <w:rPr>
            <w:rFonts w:ascii="Cambria Math" w:hAnsi="Cambria Math"/>
          </w:rPr>
          <m:t>f</m:t>
        </m:r>
      </m:oMath>
      <w:r w:rsidRPr="00C92749">
        <w:t xml:space="preserve">é: </w:t>
      </w:r>
    </w:p>
    <w:p w14:paraId="74F2813B" w14:textId="3A805A80" w:rsidR="00C92749" w:rsidRPr="00C92749" w:rsidRDefault="00C92749" w:rsidP="00C92749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-m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16549ACA" w14:textId="77777777" w:rsidR="00C92749" w:rsidRPr="00C92749" w:rsidRDefault="00C92749" w:rsidP="00C92749">
      <w:pPr>
        <w:jc w:val="both"/>
      </w:pPr>
      <w:r w:rsidRPr="00C92749">
        <w:t>Em forma matricial, o markup de equilíbrio é:</w:t>
      </w:r>
    </w:p>
    <w:p w14:paraId="46C2EFA7" w14:textId="62A9C1E4" w:rsidR="00C92749" w:rsidRPr="00C92749" w:rsidRDefault="00C92749" w:rsidP="00C92749">
      <w:pPr>
        <w:jc w:val="both"/>
      </w:pPr>
      <m:oMathPara>
        <m:oMath>
          <m:r>
            <w:rPr>
              <w:rFonts w:ascii="Cambria Math" w:hAnsi="Cambria Math"/>
            </w:rPr>
            <m:t>p-mc=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(p,x,ξ;θ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s(p,x,ξ;θ)</m:t>
          </m:r>
          <m:r>
            <w:rPr>
              <w:i/>
            </w:rPr>
            <w:br/>
          </m:r>
        </m:oMath>
      </m:oMathPara>
    </w:p>
    <w:p w14:paraId="3F70C351" w14:textId="72AD5CBD" w:rsidR="00C92749" w:rsidRPr="00C92749" w:rsidRDefault="00C92749" w:rsidP="00C92749">
      <w:pPr>
        <w:jc w:val="both"/>
      </w:pPr>
      <w:r w:rsidRPr="00C92749">
        <w:t xml:space="preserve">onde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 w:rsidRPr="00C92749">
        <w:t xml:space="preserve">é uma matriz </w:t>
      </w:r>
      <m:oMath>
        <m:r>
          <w:rPr>
            <w:rFonts w:ascii="Cambria Math" w:hAnsi="Cambria Math"/>
          </w:rPr>
          <m:t>J×J</m:t>
        </m:r>
      </m:oMath>
      <w:r w:rsidRPr="00C92749">
        <w:t xml:space="preserve">cujo elemento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  <m:e>
            <m:r>
              <w:rPr>
                <w:rFonts w:ascii="Cambria Math" w:hAnsi="Cambria Math"/>
              </w:rPr>
              <m:t>r</m:t>
            </m:r>
          </m:e>
        </m:d>
      </m:oMath>
      <w:r w:rsidRPr="00C92749">
        <w:t xml:space="preserve">é 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/∂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92749">
        <w:t xml:space="preserve">se </w:t>
      </w:r>
      <m:oMath>
        <m:r>
          <w:rPr>
            <w:rFonts w:ascii="Cambria Math" w:hAnsi="Cambria Math"/>
          </w:rPr>
          <m:t>j</m:t>
        </m:r>
      </m:oMath>
      <w:r w:rsidRPr="00C92749">
        <w:t xml:space="preserve">e </w:t>
      </w:r>
      <m:oMath>
        <m:r>
          <w:rPr>
            <w:rFonts w:ascii="Cambria Math" w:hAnsi="Cambria Math"/>
          </w:rPr>
          <m:t>r</m:t>
        </m:r>
      </m:oMath>
      <w:r w:rsidRPr="00C92749">
        <w:t xml:space="preserve">são produzidos pela mesma firma, e zero caso contrário. </w:t>
      </w:r>
    </w:p>
    <w:p w14:paraId="6401D89C" w14:textId="77777777" w:rsidR="00C92749" w:rsidRPr="00C92749" w:rsidRDefault="00C92749" w:rsidP="00C92749">
      <w:pPr>
        <w:jc w:val="both"/>
      </w:pPr>
      <w:r w:rsidRPr="00C92749">
        <w:t>O custo marginal é log-linear nas características de custo:</w:t>
      </w:r>
    </w:p>
    <w:p w14:paraId="35DFBEE0" w14:textId="5651BE04" w:rsidR="00C92749" w:rsidRPr="00C92749" w:rsidRDefault="00C92749" w:rsidP="00C92749">
      <w:pPr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⁡(m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γ+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br/>
          </m:r>
        </m:oMath>
      </m:oMathPara>
    </w:p>
    <w:p w14:paraId="63AA67EC" w14:textId="77777777" w:rsidR="00C92749" w:rsidRPr="00C92749" w:rsidRDefault="00C92749" w:rsidP="00C92749">
      <w:pPr>
        <w:jc w:val="both"/>
      </w:pPr>
      <w:r w:rsidRPr="00C92749">
        <w:t xml:space="preserve">Com isso, a equação de </w:t>
      </w:r>
      <w:proofErr w:type="spellStart"/>
      <w:r w:rsidRPr="00C92749">
        <w:t>pricing</w:t>
      </w:r>
      <w:proofErr w:type="spellEnd"/>
      <w:r w:rsidRPr="00C92749">
        <w:t xml:space="preserve"> que vai aos dados é:</w:t>
      </w:r>
    </w:p>
    <w:p w14:paraId="1B61ACB1" w14:textId="442630C0" w:rsidR="00C92749" w:rsidRPr="00C92749" w:rsidRDefault="00C92749" w:rsidP="00C92749">
      <w:pPr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(p,x,ξ;θ))=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γ+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br/>
          </m:r>
        </m:oMath>
      </m:oMathPara>
    </w:p>
    <w:p w14:paraId="0D2AC19E" w14:textId="492C6603" w:rsidR="00C92749" w:rsidRPr="00C92749" w:rsidRDefault="00C92749" w:rsidP="00C92749">
      <w:pPr>
        <w:jc w:val="both"/>
      </w:pPr>
      <w:r w:rsidRPr="00C92749">
        <w:t xml:space="preserve">onde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92749">
        <w:t xml:space="preserve">é o markup de equilíbrio calculado a partir da demanda estimada. </w:t>
      </w:r>
    </w:p>
    <w:p w14:paraId="3C529088" w14:textId="77777777" w:rsidR="00C92749" w:rsidRPr="00C92749" w:rsidRDefault="00C92749" w:rsidP="00C92749">
      <w:pPr>
        <w:jc w:val="both"/>
      </w:pPr>
      <w:r w:rsidRPr="00C92749">
        <w:pict w14:anchorId="3F085BDD">
          <v:rect id="_x0000_i1076" style="width:0;height:1.5pt" o:hralign="center" o:hrstd="t" o:hr="t" fillcolor="#a0a0a0" stroked="f"/>
        </w:pict>
      </w:r>
    </w:p>
    <w:p w14:paraId="467F8BD8" w14:textId="77777777" w:rsidR="00C92749" w:rsidRPr="00C92749" w:rsidRDefault="00C92749" w:rsidP="00C92749">
      <w:pPr>
        <w:jc w:val="both"/>
        <w:rPr>
          <w:b/>
          <w:bCs/>
        </w:rPr>
      </w:pPr>
      <w:r w:rsidRPr="00C92749">
        <w:rPr>
          <w:b/>
          <w:bCs/>
        </w:rPr>
        <w:t>4. O Problema da Endogeneidade e os Instrumentos</w:t>
      </w:r>
    </w:p>
    <w:p w14:paraId="2624C087" w14:textId="04DDCDA3" w:rsidR="00C92749" w:rsidRPr="00C92749" w:rsidRDefault="00C92749" w:rsidP="00C92749">
      <w:pPr>
        <w:jc w:val="both"/>
      </w:pPr>
      <w:r w:rsidRPr="00C92749">
        <w:t xml:space="preserve">Como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92749">
        <w:t xml:space="preserve">é observado pelas firmas ao fixar preços, </w:t>
      </w:r>
      <w:proofErr w:type="spellStart"/>
      <m:oMath>
        <m:r>
          <m:rPr>
            <m:nor/>
          </m:rPr>
          <m:t>Cov</m:t>
        </m:r>
        <w:proofErr w:type="spellEnd"/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 w:rsidRPr="00C92749">
        <w:t xml:space="preserve">. A solução é uma abordagem GMM baseada na condição de momento: </w:t>
      </w:r>
    </w:p>
    <w:p w14:paraId="6AFAB376" w14:textId="770D70AA" w:rsidR="00C92749" w:rsidRPr="00C92749" w:rsidRDefault="00C92749" w:rsidP="00C92749">
      <w:pPr>
        <w:jc w:val="both"/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(θ)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z]=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</m:t>
          </m:r>
          <m: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(θ)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z]=0</m:t>
          </m:r>
          <m:r>
            <w:rPr>
              <w:i/>
            </w:rPr>
            <w:br/>
          </m:r>
        </m:oMath>
      </m:oMathPara>
    </w:p>
    <w:p w14:paraId="2EC3AD74" w14:textId="204DD77F" w:rsidR="00C92749" w:rsidRPr="00C92749" w:rsidRDefault="00C92749" w:rsidP="00C92749">
      <w:pPr>
        <w:jc w:val="both"/>
      </w:pPr>
      <w:r w:rsidRPr="00C92749">
        <w:t xml:space="preserve">onde </w:t>
      </w:r>
      <m:oMath>
        <m:r>
          <w:rPr>
            <w:rFonts w:ascii="Cambria Math" w:hAnsi="Cambria Math"/>
          </w:rPr>
          <m:t>z</m:t>
        </m:r>
      </m:oMath>
      <w:r w:rsidRPr="00C92749">
        <w:t xml:space="preserve">inclui características observáveis de todos os produtos (mas não preços e quantidades). </w:t>
      </w:r>
    </w:p>
    <w:p w14:paraId="23E21116" w14:textId="6471804D" w:rsidR="00C92749" w:rsidRPr="00C92749" w:rsidRDefault="00C92749" w:rsidP="00C92749">
      <w:pPr>
        <w:jc w:val="both"/>
      </w:pPr>
      <w:r w:rsidRPr="00C92749">
        <w:rPr>
          <w:b/>
          <w:bCs/>
        </w:rPr>
        <w:t>Instrumentos BLP:</w:t>
      </w:r>
      <w:r w:rsidRPr="00C92749">
        <w:t xml:space="preserve"> A inovação central na construção dos instrumentos é explorar a estrutura de oligopólio. O produto </w:t>
      </w:r>
      <m:oMath>
        <m:r>
          <w:rPr>
            <w:rFonts w:ascii="Cambria Math" w:hAnsi="Cambria Math"/>
          </w:rPr>
          <m:t>j</m:t>
        </m:r>
      </m:oMath>
      <w:r w:rsidRPr="00C92749">
        <w:t xml:space="preserve">compete com produtos de rivais e com outros produtos da mesma firma. Para cada característica observável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jk</m:t>
            </m:r>
          </m:sub>
        </m:sSub>
      </m:oMath>
      <w:r w:rsidRPr="00C92749">
        <w:t xml:space="preserve">e produto </w:t>
      </w:r>
      <m:oMath>
        <m:r>
          <w:rPr>
            <w:rFonts w:ascii="Cambria Math" w:hAnsi="Cambria Math"/>
          </w:rPr>
          <m:t>j</m:t>
        </m:r>
      </m:oMath>
      <w:r w:rsidRPr="00C92749">
        <w:t xml:space="preserve">da firma </w:t>
      </w:r>
      <m:oMath>
        <m:r>
          <w:rPr>
            <w:rFonts w:ascii="Cambria Math" w:hAnsi="Cambria Math"/>
          </w:rPr>
          <m:t>f</m:t>
        </m:r>
      </m:oMath>
      <w:r w:rsidRPr="00C92749">
        <w:t xml:space="preserve">, o vetor de instrumentos inclui três termos: </w:t>
      </w:r>
    </w:p>
    <w:p w14:paraId="32B63995" w14:textId="176E2CA2" w:rsidR="00C92749" w:rsidRPr="00C92749" w:rsidRDefault="00C92749" w:rsidP="00C92749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jk</m:t>
              </m:r>
            </m:sub>
          </m:sSub>
          <m:r>
            <w:rPr>
              <w:rFonts w:ascii="Cambria Math" w:hAnsi="Cambria Math"/>
            </w:rPr>
            <m:t>,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j,r∈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rk</m:t>
                  </m:r>
                </m:sub>
              </m:sSub>
            </m:e>
          </m:nary>
          <m:r>
            <w:rPr>
              <w:rFonts w:ascii="Cambria Math" w:hAnsi="Cambria Math"/>
            </w:rPr>
            <m:t>,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rk</m:t>
                  </m:r>
                </m:sub>
              </m:sSub>
            </m:e>
          </m:nary>
          <m:r>
            <w:br/>
          </m:r>
        </m:oMath>
      </m:oMathPara>
    </w:p>
    <w:p w14:paraId="13CBD2A3" w14:textId="0C096FDF" w:rsidR="00C92749" w:rsidRPr="00C92749" w:rsidRDefault="00C92749" w:rsidP="00C92749">
      <w:pPr>
        <w:jc w:val="both"/>
      </w:pPr>
      <w:r w:rsidRPr="00C92749">
        <w:t xml:space="preserve">A intuição econômica: produtos com muitos substitutos próximos (firmas rivais com características similares) terão markups menores. A soma das características de rivais (e da própria firma) é correlacionada com o markup de equilíbrio, mas não com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92749">
        <w:t xml:space="preserve">sob a hipótese de exogeneidade dos atributos observáveis. O artigo mostra que esses instrumentos aproximam os instrumentos eficientes de Chamberlain (1986), explorados pela estrutura de simetria do equilíbrio de Nash. </w:t>
      </w:r>
    </w:p>
    <w:p w14:paraId="0D5C71F6" w14:textId="77777777" w:rsidR="00C92749" w:rsidRPr="00C92749" w:rsidRDefault="00C92749" w:rsidP="00C92749">
      <w:pPr>
        <w:jc w:val="both"/>
      </w:pPr>
      <w:r w:rsidRPr="00C92749">
        <w:t>No total, o artigo usa 15 instrumentos do lado da demanda e 19 do lado de custos (34 restrições de momento).</w:t>
      </w:r>
    </w:p>
    <w:p w14:paraId="2E8CAD6E" w14:textId="77777777" w:rsidR="00C92749" w:rsidRPr="00C92749" w:rsidRDefault="00C92749" w:rsidP="00C92749">
      <w:pPr>
        <w:jc w:val="both"/>
      </w:pPr>
      <w:r w:rsidRPr="00C92749">
        <w:pict w14:anchorId="3EB9095F">
          <v:rect id="_x0000_i1077" style="width:0;height:1.5pt" o:hralign="center" o:hrstd="t" o:hr="t" fillcolor="#a0a0a0" stroked="f"/>
        </w:pict>
      </w:r>
    </w:p>
    <w:p w14:paraId="65E61E3D" w14:textId="77777777" w:rsidR="00C92749" w:rsidRPr="00C92749" w:rsidRDefault="00C92749" w:rsidP="00C92749">
      <w:pPr>
        <w:jc w:val="both"/>
        <w:rPr>
          <w:b/>
          <w:bCs/>
        </w:rPr>
      </w:pPr>
      <w:r w:rsidRPr="00C92749">
        <w:rPr>
          <w:b/>
          <w:bCs/>
        </w:rPr>
        <w:t>5. Algoritmo de Estimação</w:t>
      </w:r>
    </w:p>
    <w:p w14:paraId="4822FCBA" w14:textId="0F33D423" w:rsidR="00C92749" w:rsidRPr="00C92749" w:rsidRDefault="00C92749" w:rsidP="00C92749">
      <w:pPr>
        <w:jc w:val="both"/>
      </w:pPr>
      <w:r w:rsidRPr="00C92749">
        <w:t xml:space="preserve">O procedimento de estimação, que se tornou a rotina "BLP" amplamente usada, envolve quatro passos iterativos para cada candidato </w:t>
      </w:r>
      <m:oMath>
        <m:r>
          <w:rPr>
            <w:rFonts w:ascii="Cambria Math" w:hAnsi="Cambria Math"/>
          </w:rPr>
          <m:t>θ</m:t>
        </m:r>
      </m:oMath>
      <w:r w:rsidRPr="00C92749">
        <w:t xml:space="preserve">: </w:t>
      </w:r>
    </w:p>
    <w:p w14:paraId="01463B00" w14:textId="4F5F628C" w:rsidR="00C92749" w:rsidRPr="00C92749" w:rsidRDefault="00C92749" w:rsidP="00C92749">
      <w:pPr>
        <w:jc w:val="both"/>
      </w:pPr>
      <w:r w:rsidRPr="00C92749">
        <w:rPr>
          <w:b/>
          <w:bCs/>
        </w:rPr>
        <w:t xml:space="preserve">Passo 1 – Simulação de </w:t>
      </w:r>
      <w:proofErr w:type="spellStart"/>
      <w:r w:rsidRPr="00C92749">
        <w:rPr>
          <w:b/>
          <w:bCs/>
        </w:rPr>
        <w:t>market</w:t>
      </w:r>
      <w:proofErr w:type="spellEnd"/>
      <w:r w:rsidRPr="00C92749">
        <w:rPr>
          <w:b/>
          <w:bCs/>
        </w:rPr>
        <w:t xml:space="preserve"> </w:t>
      </w:r>
      <w:proofErr w:type="spellStart"/>
      <w:r w:rsidRPr="00C92749">
        <w:rPr>
          <w:b/>
          <w:bCs/>
        </w:rPr>
        <w:t>shares</w:t>
      </w:r>
      <w:proofErr w:type="spellEnd"/>
      <w:r w:rsidRPr="00C92749">
        <w:rPr>
          <w:b/>
          <w:bCs/>
        </w:rPr>
        <w:t>:</w:t>
      </w:r>
      <w:r w:rsidRPr="00C92749">
        <w:t xml:space="preserve"> Para um dado </w:t>
      </w:r>
      <m:oMath>
        <m:r>
          <w:rPr>
            <w:rFonts w:ascii="Cambria Math" w:hAnsi="Cambria Math"/>
          </w:rPr>
          <m:t>θ</m:t>
        </m:r>
      </m:oMath>
      <w:r w:rsidRPr="00C92749">
        <w:t xml:space="preserve">, simulam-se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C92749">
        <w:t xml:space="preserve">draws de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Pr="00C92749">
        <w:t xml:space="preserve">e calculam-se os shares simulados: </w:t>
      </w:r>
    </w:p>
    <w:p w14:paraId="7E5210CA" w14:textId="3627CF75" w:rsidR="00C92749" w:rsidRPr="00C92749" w:rsidRDefault="00C92749" w:rsidP="00C92749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(δ,θ)=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nary>
                    <m:naryPr>
                      <m:chr m:val="∑"/>
                      <m:limLoc m:val="undOvr"/>
                      <m:grow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ik</m:t>
                              </m:r>
                            </m:sub>
                          </m:sSub>
                        </m:sup>
                      </m:sSup>
                    </m:e>
                  </m:nary>
                </m:den>
              </m:f>
            </m:e>
          </m:nary>
          <m:r>
            <w:br/>
          </m:r>
        </m:oMath>
      </m:oMathPara>
    </w:p>
    <w:p w14:paraId="2D5B1284" w14:textId="598D3A8E" w:rsidR="00C92749" w:rsidRPr="00C92749" w:rsidRDefault="00C92749" w:rsidP="00C92749">
      <w:pPr>
        <w:jc w:val="both"/>
      </w:pPr>
      <w:r w:rsidRPr="00C92749">
        <w:rPr>
          <w:b/>
          <w:bCs/>
        </w:rPr>
        <w:t xml:space="preserve">Passo 2 – </w:t>
      </w:r>
      <w:proofErr w:type="spellStart"/>
      <w:r w:rsidRPr="00C92749">
        <w:rPr>
          <w:b/>
          <w:bCs/>
        </w:rPr>
        <w:t>Contraction</w:t>
      </w:r>
      <w:proofErr w:type="spellEnd"/>
      <w:r w:rsidRPr="00C92749">
        <w:rPr>
          <w:b/>
          <w:bCs/>
        </w:rPr>
        <w:t xml:space="preserve"> mapping para </w:t>
      </w:r>
      <m:oMath>
        <m:r>
          <w:rPr>
            <w:rFonts w:ascii="Cambria Math" w:hAnsi="Cambria Math"/>
          </w:rPr>
          <m:t>δ</m:t>
        </m:r>
      </m:oMath>
      <w:r w:rsidRPr="00C92749">
        <w:rPr>
          <w:b/>
          <w:bCs/>
        </w:rPr>
        <w:t xml:space="preserve">: </w:t>
      </w:r>
      <w:r w:rsidRPr="00C92749">
        <w:t xml:space="preserve">O vetor de utilidades médias </w:t>
      </w:r>
      <m:oMath>
        <m:r>
          <w:rPr>
            <w:rFonts w:ascii="Cambria Math" w:hAnsi="Cambria Math"/>
          </w:rPr>
          <m:t>δ</m:t>
        </m:r>
      </m:oMath>
      <w:r w:rsidRPr="00C92749">
        <w:t xml:space="preserve">é obtido resolvendo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s</m:t>
            </m:r>
          </m:e>
        </m:acc>
        <m:r>
          <w:rPr>
            <w:rFonts w:ascii="Cambria Math" w:hAnsi="Cambria Math"/>
          </w:rPr>
          <m:t>(δ,θ)</m:t>
        </m:r>
      </m:oMath>
      <w:r w:rsidRPr="00C92749">
        <w:t xml:space="preserve">via o operador de contração de Berry (1994): </w:t>
      </w:r>
    </w:p>
    <w:p w14:paraId="19E21E02" w14:textId="2AC595E2" w:rsidR="00C92749" w:rsidRPr="00C92749" w:rsidRDefault="00C92749" w:rsidP="00C92749">
      <w:pPr>
        <w:jc w:val="both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sepChr m:val="+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)-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δ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/>
            </w:rPr>
            <m:t>,θ))</m:t>
          </m:r>
          <m:r>
            <w:rPr>
              <w:i/>
            </w:rPr>
            <w:br/>
          </m:r>
        </m:oMath>
      </m:oMathPara>
    </w:p>
    <w:p w14:paraId="12A5F438" w14:textId="65E4AEDD" w:rsidR="00C92749" w:rsidRPr="00C92749" w:rsidRDefault="00C92749" w:rsidP="00C92749">
      <w:pPr>
        <w:jc w:val="both"/>
      </w:pPr>
      <w:r w:rsidRPr="00C92749">
        <w:t xml:space="preserve">O artigo prova que esse operador tem módulo menor que 1, garantindo convergência. Uma vez obtido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C92749">
        <w:t xml:space="preserve">, o erro de demanda é recuperado diretamente: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β+α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92749">
        <w:t xml:space="preserve">. </w:t>
      </w:r>
    </w:p>
    <w:p w14:paraId="0396B262" w14:textId="3DBE0BAF" w:rsidR="00C92749" w:rsidRPr="00C92749" w:rsidRDefault="00C92749" w:rsidP="00C92749">
      <w:pPr>
        <w:jc w:val="both"/>
      </w:pPr>
      <w:r w:rsidRPr="00C92749">
        <w:rPr>
          <w:b/>
          <w:bCs/>
        </w:rPr>
        <w:t>Passo 3 – Cálculo do markup e erro de custo:</w:t>
      </w:r>
      <w:r w:rsidRPr="00C92749">
        <w:t xml:space="preserve"> Com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C92749">
        <w:t xml:space="preserve">e as derivadas de market share em relação a preços (também simuladas), calculam-se os markups de equilíbrio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(⋅)</m:t>
        </m:r>
      </m:oMath>
      <w:r w:rsidRPr="00C92749">
        <w:t xml:space="preserve">e o erro de custo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γ</m:t>
        </m:r>
      </m:oMath>
      <w:r w:rsidRPr="00C92749">
        <w:t xml:space="preserve">. </w:t>
      </w:r>
    </w:p>
    <w:p w14:paraId="47460941" w14:textId="1A2CBFF3" w:rsidR="00C92749" w:rsidRPr="00C92749" w:rsidRDefault="00C92749" w:rsidP="00C92749">
      <w:pPr>
        <w:jc w:val="both"/>
      </w:pPr>
      <w:r w:rsidRPr="00C92749">
        <w:rPr>
          <w:b/>
          <w:bCs/>
        </w:rPr>
        <w:t>Passo 4 – Minimização GMM:</w:t>
      </w:r>
      <w:r w:rsidRPr="00C92749">
        <w:t xml:space="preserve"> Os erros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ξ</m:t>
            </m:r>
          </m:e>
          <m:e>
            <m:r>
              <w:rPr>
                <w:rFonts w:ascii="Cambria Math" w:hAnsi="Cambria Math"/>
              </w:rPr>
              <m:t>ω</m:t>
            </m:r>
          </m:e>
        </m:d>
      </m:oMath>
      <w:r w:rsidRPr="00C92749">
        <w:t xml:space="preserve">são interagidos com os instrumentos e minimiza-se a forma quadrática GMM: </w:t>
      </w:r>
    </w:p>
    <w:p w14:paraId="64DDF088" w14:textId="26984CF1" w:rsidR="00C92749" w:rsidRPr="00C92749" w:rsidRDefault="00C92749" w:rsidP="00C92749">
      <w:pPr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θ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θ</m:t>
              </m:r>
            </m:lim>
          </m:limLow>
          <m:r>
            <m:rPr>
              <m:nor/>
            </m:rPr>
            <w:rPr>
              <w:rFonts w:ascii="Arial" w:hAnsi="Arial" w:cs="Arial"/>
            </w:rPr>
            <m:t>  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  <m:r>
            <w:rPr>
              <w:rFonts w:ascii="Cambria Math" w:hAnsi="Cambria Math"/>
            </w:rPr>
            <m:t>(θ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w:rPr>
                  <w:rFonts w:ascii="Cambria Math" w:hAnsi="Cambria Math"/>
                </w:rPr>
                <m:t>J</m:t>
              </m:r>
            </m:sup>
          </m:sSup>
          <m:r>
            <w:rPr>
              <w:rFonts w:ascii="Cambria Math" w:hAnsi="Cambria Math"/>
            </w:rPr>
            <m:t>(θ)</m:t>
          </m:r>
          <m:r>
            <w:rPr>
              <w:i/>
            </w:rPr>
            <w:br/>
          </m:r>
        </m:oMath>
      </m:oMathPara>
    </w:p>
    <w:p w14:paraId="31617D28" w14:textId="76C715FE" w:rsidR="00C92749" w:rsidRPr="00C92749" w:rsidRDefault="00C92749" w:rsidP="00C92749">
      <w:pPr>
        <w:jc w:val="both"/>
      </w:pPr>
      <w:r w:rsidRPr="00C92749">
        <w:t>Parâmetros lineares (</w:t>
      </w:r>
      <m:oMath>
        <m:r>
          <w:rPr>
            <w:rFonts w:ascii="Cambria Math" w:hAnsi="Cambria Math"/>
          </w:rPr>
          <m:t>β,γ</m:t>
        </m:r>
      </m:oMath>
      <w:r w:rsidRPr="00C92749">
        <w:t xml:space="preserve">) são concentrados via 2SLS para cada valor de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</m:t>
            </m:r>
          </m:e>
          <m:e>
            <m:r>
              <w:rPr>
                <w:rFonts w:ascii="Cambria Math" w:hAnsi="Cambria Math"/>
              </w:rPr>
              <m:t>σ</m:t>
            </m:r>
          </m:e>
        </m:d>
      </m:oMath>
      <w:r w:rsidRPr="00C92749">
        <w:t xml:space="preserve">; a busca não-linear se limita a esses parâmetros escalares, feita pelo algoritmo Nelder-Mead. </w:t>
      </w:r>
    </w:p>
    <w:p w14:paraId="040B22A7" w14:textId="77777777" w:rsidR="00C92749" w:rsidRPr="00C92749" w:rsidRDefault="00C92749" w:rsidP="00C92749">
      <w:pPr>
        <w:jc w:val="both"/>
      </w:pPr>
      <w:r w:rsidRPr="00C92749">
        <w:pict w14:anchorId="5BA9646A">
          <v:rect id="_x0000_i1078" style="width:0;height:1.5pt" o:hralign="center" o:hrstd="t" o:hr="t" fillcolor="#a0a0a0" stroked="f"/>
        </w:pict>
      </w:r>
    </w:p>
    <w:p w14:paraId="3A3D2035" w14:textId="77777777" w:rsidR="00C92749" w:rsidRPr="00C92749" w:rsidRDefault="00C92749" w:rsidP="00C92749">
      <w:pPr>
        <w:jc w:val="both"/>
        <w:rPr>
          <w:b/>
          <w:bCs/>
        </w:rPr>
      </w:pPr>
      <w:r w:rsidRPr="00C92749">
        <w:rPr>
          <w:b/>
          <w:bCs/>
        </w:rPr>
        <w:t>6. Dados</w:t>
      </w:r>
    </w:p>
    <w:p w14:paraId="56096C4A" w14:textId="77777777" w:rsidR="00C92749" w:rsidRPr="00C92749" w:rsidRDefault="00C92749" w:rsidP="00C92749">
      <w:pPr>
        <w:jc w:val="both"/>
      </w:pPr>
      <w:r w:rsidRPr="00C92749">
        <w:t xml:space="preserve">O artigo usa dados de painel de todos os modelos de automóvel vendidos nos EUA entre 1971 e 1990 (com exceção de modelos exóticos de </w:t>
      </w:r>
      <w:proofErr w:type="spellStart"/>
      <w:r w:rsidRPr="00C92749">
        <w:t>market</w:t>
      </w:r>
      <w:proofErr w:type="spellEnd"/>
      <w:r w:rsidRPr="00C92749">
        <w:t xml:space="preserve"> </w:t>
      </w:r>
      <w:proofErr w:type="spellStart"/>
      <w:r w:rsidRPr="00C92749">
        <w:t>share</w:t>
      </w:r>
      <w:proofErr w:type="spellEnd"/>
      <w:r w:rsidRPr="00C92749">
        <w:t xml:space="preserve"> ínfimo). São 2.217 observações </w:t>
      </w:r>
      <w:proofErr w:type="spellStart"/>
      <w:r w:rsidRPr="00C92749">
        <w:t>modelo-ano</w:t>
      </w:r>
      <w:proofErr w:type="spellEnd"/>
      <w:r w:rsidRPr="00C92749">
        <w:t>, representando 997 modelos distintos.</w:t>
      </w:r>
    </w:p>
    <w:p w14:paraId="428C4752" w14:textId="77777777" w:rsidR="00C92749" w:rsidRPr="00C92749" w:rsidRDefault="00C92749" w:rsidP="00C92749">
      <w:pPr>
        <w:jc w:val="both"/>
      </w:pPr>
      <w:r w:rsidRPr="00C92749">
        <w:t xml:space="preserve">As variáveis incluem preço (preço de tabela em USD de 1983), volume de vendas, razão HP/peso, tamanho (comprimento × largura), </w:t>
      </w:r>
      <w:proofErr w:type="spellStart"/>
      <w:r w:rsidRPr="00C92749">
        <w:t>dummy</w:t>
      </w:r>
      <w:proofErr w:type="spellEnd"/>
      <w:r w:rsidRPr="00C92749">
        <w:t xml:space="preserve"> de ar-condicionado padrão, milhas por dólar de gasolina (MP$), MPG, e </w:t>
      </w:r>
      <w:proofErr w:type="spellStart"/>
      <w:r w:rsidRPr="00C92749">
        <w:t>dummies</w:t>
      </w:r>
      <w:proofErr w:type="spellEnd"/>
      <w:r w:rsidRPr="00C92749">
        <w:t xml:space="preserve"> de origem (doméstico, japonês, europeu). A distribuição de renda por ano é estimada diretamente do </w:t>
      </w:r>
      <w:proofErr w:type="spellStart"/>
      <w:r w:rsidRPr="00C92749">
        <w:t>Current</w:t>
      </w:r>
      <w:proofErr w:type="spellEnd"/>
      <w:r w:rsidRPr="00C92749">
        <w:t xml:space="preserve"> </w:t>
      </w:r>
      <w:proofErr w:type="spellStart"/>
      <w:r w:rsidRPr="00C92749">
        <w:t>Population</w:t>
      </w:r>
      <w:proofErr w:type="spellEnd"/>
      <w:r w:rsidRPr="00C92749">
        <w:t xml:space="preserve"> </w:t>
      </w:r>
      <w:proofErr w:type="spellStart"/>
      <w:r w:rsidRPr="00C92749">
        <w:t>Survey</w:t>
      </w:r>
      <w:proofErr w:type="spellEnd"/>
      <w:r w:rsidRPr="00C92749">
        <w:t xml:space="preserve"> (CPS de março), sendo modelada como log-normal.</w:t>
      </w:r>
    </w:p>
    <w:p w14:paraId="1A98F8F9" w14:textId="77777777" w:rsidR="00C92749" w:rsidRPr="00C92749" w:rsidRDefault="00C92749" w:rsidP="00C92749">
      <w:pPr>
        <w:jc w:val="both"/>
      </w:pPr>
      <w:r w:rsidRPr="00C92749">
        <w:pict w14:anchorId="0C7E2DB9">
          <v:rect id="_x0000_i1079" style="width:0;height:1.5pt" o:hralign="center" o:hrstd="t" o:hr="t" fillcolor="#a0a0a0" stroked="f"/>
        </w:pict>
      </w:r>
    </w:p>
    <w:p w14:paraId="7994164F" w14:textId="77777777" w:rsidR="00C92749" w:rsidRPr="00C92749" w:rsidRDefault="00C92749" w:rsidP="00C92749">
      <w:pPr>
        <w:jc w:val="both"/>
        <w:rPr>
          <w:b/>
          <w:bCs/>
        </w:rPr>
      </w:pPr>
      <w:r w:rsidRPr="00C92749">
        <w:rPr>
          <w:b/>
          <w:bCs/>
        </w:rPr>
        <w:t>7. Resultados Empíricos</w:t>
      </w:r>
    </w:p>
    <w:p w14:paraId="4128DB32" w14:textId="77777777" w:rsidR="00C92749" w:rsidRPr="00C92749" w:rsidRDefault="00C92749" w:rsidP="00C92749">
      <w:pPr>
        <w:jc w:val="both"/>
        <w:rPr>
          <w:b/>
          <w:bCs/>
        </w:rPr>
      </w:pPr>
      <w:r w:rsidRPr="00C92749">
        <w:rPr>
          <w:b/>
          <w:bCs/>
        </w:rPr>
        <w:t xml:space="preserve">7.1. </w:t>
      </w:r>
      <w:proofErr w:type="spellStart"/>
      <w:r w:rsidRPr="00C92749">
        <w:rPr>
          <w:b/>
          <w:bCs/>
        </w:rPr>
        <w:t>Logit</w:t>
      </w:r>
      <w:proofErr w:type="spellEnd"/>
      <w:r w:rsidRPr="00C92749">
        <w:rPr>
          <w:b/>
          <w:bCs/>
        </w:rPr>
        <w:t xml:space="preserve"> vs. IV </w:t>
      </w:r>
      <w:proofErr w:type="spellStart"/>
      <w:r w:rsidRPr="00C92749">
        <w:rPr>
          <w:b/>
          <w:bCs/>
        </w:rPr>
        <w:t>Logit</w:t>
      </w:r>
      <w:proofErr w:type="spellEnd"/>
    </w:p>
    <w:p w14:paraId="576DE8CD" w14:textId="77777777" w:rsidR="00C92749" w:rsidRPr="00C92749" w:rsidRDefault="00C92749" w:rsidP="00C92749">
      <w:pPr>
        <w:jc w:val="both"/>
      </w:pPr>
      <w:r w:rsidRPr="00C92749">
        <w:t xml:space="preserve">O </w:t>
      </w:r>
      <w:proofErr w:type="spellStart"/>
      <w:r w:rsidRPr="00C92749">
        <w:t>logit</w:t>
      </w:r>
      <w:proofErr w:type="spellEnd"/>
      <w:r w:rsidRPr="00C92749">
        <w:t xml:space="preserve"> OLS produz um coeficiente de preço muito pequeno em valor absoluto: 1.494 dos 2.217 modelos têm demanda inelástica, o que é inconsistente com maximização de lucros. Após instrumentação (IV </w:t>
      </w:r>
      <w:proofErr w:type="spellStart"/>
      <w:r w:rsidRPr="00C92749">
        <w:t>logit</w:t>
      </w:r>
      <w:proofErr w:type="spellEnd"/>
      <w:r w:rsidRPr="00C92749">
        <w:t>), o coeficiente de preço mais que dobra em valor absoluto e apenas 22 modelos apresentam demanda inelástica.</w:t>
      </w:r>
    </w:p>
    <w:p w14:paraId="2E88DFEF" w14:textId="4A3983ED" w:rsidR="00C92749" w:rsidRPr="00C92749" w:rsidRDefault="00C92749" w:rsidP="00C92749">
      <w:pPr>
        <w:jc w:val="both"/>
      </w:pPr>
      <w:r w:rsidRPr="00C92749">
        <w:t xml:space="preserve">O R² do </w:t>
      </w:r>
      <w:proofErr w:type="spellStart"/>
      <w:r w:rsidRPr="00C92749">
        <w:t>logit</w:t>
      </w:r>
      <w:proofErr w:type="spellEnd"/>
      <w:r w:rsidRPr="00C92749">
        <w:t xml:space="preserve"> é apenas 0,387, indicando que 61% da variância na utilidade média é explicada por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92749">
        <w:t xml:space="preserve">(características não observadas). Isso valida a importância de tratar a endogeneidade. </w:t>
      </w:r>
    </w:p>
    <w:p w14:paraId="54039709" w14:textId="77777777" w:rsidR="00C92749" w:rsidRPr="00C92749" w:rsidRDefault="00C92749" w:rsidP="00C92749">
      <w:pPr>
        <w:jc w:val="both"/>
      </w:pPr>
      <w:r w:rsidRPr="00C92749">
        <w:t xml:space="preserve">Apesar da melhora, o IV </w:t>
      </w:r>
      <w:proofErr w:type="spellStart"/>
      <w:r w:rsidRPr="00C92749">
        <w:t>logit</w:t>
      </w:r>
      <w:proofErr w:type="spellEnd"/>
      <w:r w:rsidRPr="00C92749">
        <w:t xml:space="preserve"> ainda gera markups implausíveis: BMW e Chevy </w:t>
      </w:r>
      <w:proofErr w:type="spellStart"/>
      <w:r w:rsidRPr="00C92749">
        <w:t>Cavalier</w:t>
      </w:r>
      <w:proofErr w:type="spellEnd"/>
      <w:r w:rsidRPr="00C92749">
        <w:t xml:space="preserve"> têm markups quase idênticos (~US$ 4.600–4.800), porque o </w:t>
      </w:r>
      <w:proofErr w:type="spellStart"/>
      <w:r w:rsidRPr="00C92749">
        <w:t>logit</w:t>
      </w:r>
      <w:proofErr w:type="spellEnd"/>
      <w:r w:rsidRPr="00C92749">
        <w:t xml:space="preserve"> não diferencia produtos por características observáveis além dos </w:t>
      </w:r>
      <w:proofErr w:type="spellStart"/>
      <w:r w:rsidRPr="00C92749">
        <w:t>shares</w:t>
      </w:r>
      <w:proofErr w:type="spellEnd"/>
      <w:r w:rsidRPr="00C92749">
        <w:t>.</w:t>
      </w:r>
    </w:p>
    <w:p w14:paraId="28C60B7D" w14:textId="77777777" w:rsidR="00C92749" w:rsidRPr="00C92749" w:rsidRDefault="00C92749" w:rsidP="00C92749">
      <w:pPr>
        <w:jc w:val="both"/>
        <w:rPr>
          <w:b/>
          <w:bCs/>
        </w:rPr>
      </w:pPr>
      <w:r w:rsidRPr="00C92749">
        <w:rPr>
          <w:b/>
          <w:bCs/>
        </w:rPr>
        <w:t>7.2. Resultados BLP (modelo completo)</w:t>
      </w:r>
    </w:p>
    <w:p w14:paraId="50B37E5F" w14:textId="77777777" w:rsidR="00C92749" w:rsidRPr="00C92749" w:rsidRDefault="00C92749" w:rsidP="00C92749">
      <w:pPr>
        <w:jc w:val="both"/>
      </w:pPr>
      <w:r w:rsidRPr="00C92749">
        <w:t>A Tabela IV reporta as estimativas conjuntas de demanda e custos. Destaques:</w:t>
      </w:r>
    </w:p>
    <w:p w14:paraId="1103D2B0" w14:textId="11F18D74" w:rsidR="00C92749" w:rsidRPr="00C92749" w:rsidRDefault="00C92749" w:rsidP="00C92749">
      <w:pPr>
        <w:numPr>
          <w:ilvl w:val="0"/>
          <w:numId w:val="2"/>
        </w:numPr>
        <w:jc w:val="both"/>
      </w:pPr>
      <w:r w:rsidRPr="00C92749">
        <w:t xml:space="preserve">As médias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C92749">
        <w:t xml:space="preserve">de Air e Size são positivas e significativas. HP/Weight e MP\$ têm média insignificante, mas </w:t>
      </w:r>
      <w:r w:rsidRPr="00C92749">
        <w:rPr>
          <w:b/>
          <w:bCs/>
        </w:rPr>
        <w:t>desvios-padrão</w:t>
      </w:r>
      <w:r w:rsidRPr="00C92749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C92749">
        <w:t xml:space="preserve">significativos, o que </w:t>
      </w:r>
      <w:r w:rsidRPr="00C92749">
        <w:lastRenderedPageBreak/>
        <w:t xml:space="preserve">implica heterogeneidade relevante nas preferências por essas características. </w:t>
      </w:r>
    </w:p>
    <w:p w14:paraId="5AB66B0D" w14:textId="30809135" w:rsidR="00C92749" w:rsidRPr="00C92749" w:rsidRDefault="00C92749" w:rsidP="00C92749">
      <w:pPr>
        <w:numPr>
          <w:ilvl w:val="0"/>
          <w:numId w:val="2"/>
        </w:numPr>
        <w:jc w:val="both"/>
      </w:pPr>
      <w:r w:rsidRPr="00C92749">
        <w:t xml:space="preserve">O coeficiente de </w:t>
      </w:r>
      <m:oMath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⁡(y-p)</m:t>
        </m:r>
      </m:oMath>
      <w:r w:rsidRPr="00C92749">
        <w:t xml:space="preserve">é estimado em 43,5, indicando que a utilidade marginal da renda cai com o preço do carro (especificação Cobb-Douglas). </w:t>
      </w:r>
    </w:p>
    <w:p w14:paraId="2335A5A5" w14:textId="77777777" w:rsidR="00C92749" w:rsidRPr="00C92749" w:rsidRDefault="00C92749" w:rsidP="00C92749">
      <w:pPr>
        <w:numPr>
          <w:ilvl w:val="0"/>
          <w:numId w:val="2"/>
        </w:numPr>
        <w:jc w:val="both"/>
      </w:pPr>
      <w:r w:rsidRPr="00C92749">
        <w:t>No lado de custos, HP/peso, ar-condicionado e tendência têm efeitos positivos e significativos sobre custo marginal. MPG tem coeficiente negativo, provavelmente por viés de escala (carros mais vendidos têm maior MPG).</w:t>
      </w:r>
    </w:p>
    <w:p w14:paraId="5C206F33" w14:textId="77777777" w:rsidR="00C92749" w:rsidRPr="00C92749" w:rsidRDefault="00C92749" w:rsidP="00C92749">
      <w:pPr>
        <w:jc w:val="both"/>
      </w:pPr>
      <w:r w:rsidRPr="00C92749">
        <w:rPr>
          <w:b/>
          <w:bCs/>
        </w:rPr>
        <w:t>Elasticidades-preço próprias</w:t>
      </w:r>
      <w:r w:rsidRPr="00C92749">
        <w:t xml:space="preserve"> (Tabela V, 1990): variam de –6,5 (Mazda 323, </w:t>
      </w:r>
      <w:proofErr w:type="spellStart"/>
      <w:r w:rsidRPr="00C92749">
        <w:t>Sentra</w:t>
      </w:r>
      <w:proofErr w:type="spellEnd"/>
      <w:r w:rsidRPr="00C92749">
        <w:t>) a –3,0 (Lexus LS400, BMW 735i). Todos os 2.217 modelos têm demanda elástica, consistente com Nash-Bertrand.</w:t>
      </w:r>
    </w:p>
    <w:p w14:paraId="6356E392" w14:textId="77777777" w:rsidR="00C92749" w:rsidRPr="00C92749" w:rsidRDefault="00C92749" w:rsidP="00C92749">
      <w:pPr>
        <w:jc w:val="both"/>
      </w:pPr>
      <w:r w:rsidRPr="00C92749">
        <w:rPr>
          <w:b/>
          <w:bCs/>
        </w:rPr>
        <w:t>Elasticidades cruzadas</w:t>
      </w:r>
      <w:r w:rsidRPr="00C92749">
        <w:t xml:space="preserve"> (Tabela VI): exibem o padrão esperado. Um aumento de US$ 1.000 no preço de um Mazda 323 aumenta o </w:t>
      </w:r>
      <w:proofErr w:type="spellStart"/>
      <w:r w:rsidRPr="00C92749">
        <w:t>share</w:t>
      </w:r>
      <w:proofErr w:type="spellEnd"/>
      <w:r w:rsidRPr="00C92749">
        <w:t xml:space="preserve"> do </w:t>
      </w:r>
      <w:proofErr w:type="spellStart"/>
      <w:r w:rsidRPr="00C92749">
        <w:t>Sentra</w:t>
      </w:r>
      <w:proofErr w:type="spellEnd"/>
      <w:r w:rsidRPr="00C92749">
        <w:t xml:space="preserve"> em 0,705 pontos percentuais, mas praticamente não afeta o BMW (0,000). O inverso também se verifica: choque de preço no BMW aumenta levemente a demanda por </w:t>
      </w:r>
      <w:proofErr w:type="spellStart"/>
      <w:r w:rsidRPr="00C92749">
        <w:t>Sentra</w:t>
      </w:r>
      <w:proofErr w:type="spellEnd"/>
      <w:r w:rsidRPr="00C92749">
        <w:t xml:space="preserve"> (0,002) mas tem efeito substancial sobre </w:t>
      </w:r>
      <w:proofErr w:type="spellStart"/>
      <w:r w:rsidRPr="00C92749">
        <w:t>Seville</w:t>
      </w:r>
      <w:proofErr w:type="spellEnd"/>
      <w:r w:rsidRPr="00C92749">
        <w:t xml:space="preserve"> e Lexus. Isso contrasta radicalmente com o </w:t>
      </w:r>
      <w:proofErr w:type="spellStart"/>
      <w:r w:rsidRPr="00C92749">
        <w:t>logit</w:t>
      </w:r>
      <w:proofErr w:type="spellEnd"/>
      <w:r w:rsidRPr="00C92749">
        <w:t xml:space="preserve">, onde os efeitos seriam proporcionais apenas aos </w:t>
      </w:r>
      <w:proofErr w:type="spellStart"/>
      <w:r w:rsidRPr="00C92749">
        <w:t>shares</w:t>
      </w:r>
      <w:proofErr w:type="spellEnd"/>
      <w:r w:rsidRPr="00C92749">
        <w:t>.</w:t>
      </w:r>
    </w:p>
    <w:p w14:paraId="17655566" w14:textId="77777777" w:rsidR="00C92749" w:rsidRPr="00C92749" w:rsidRDefault="00C92749" w:rsidP="00C92749">
      <w:pPr>
        <w:jc w:val="both"/>
      </w:pPr>
      <w:r w:rsidRPr="00C92749">
        <w:rPr>
          <w:b/>
          <w:bCs/>
        </w:rPr>
        <w:t>Markups:</w:t>
      </w:r>
      <w:r w:rsidRPr="00C92749">
        <w:t xml:space="preserve"> o modelo completo implica markups heterogêneos e economicamente plausíveis, maiores para produtos de luxo com poucos substitutos próximos e menores para compactos em segmentos congestionados.</w:t>
      </w:r>
    </w:p>
    <w:p w14:paraId="2589D91D" w14:textId="77777777" w:rsidR="00C92749" w:rsidRPr="00C92749" w:rsidRDefault="00C92749" w:rsidP="00C92749">
      <w:pPr>
        <w:jc w:val="both"/>
      </w:pPr>
      <w:r w:rsidRPr="00C92749">
        <w:pict w14:anchorId="5FACC54E">
          <v:rect id="_x0000_i1080" style="width:0;height:1.5pt" o:hralign="center" o:hrstd="t" o:hr="t" fillcolor="#a0a0a0" stroked="f"/>
        </w:pict>
      </w:r>
    </w:p>
    <w:p w14:paraId="345AE3B6" w14:textId="77777777" w:rsidR="00C92749" w:rsidRPr="00C92749" w:rsidRDefault="00C92749" w:rsidP="00C92749">
      <w:pPr>
        <w:jc w:val="both"/>
        <w:rPr>
          <w:b/>
          <w:bCs/>
        </w:rPr>
      </w:pPr>
      <w:r w:rsidRPr="00C92749">
        <w:rPr>
          <w:b/>
          <w:bCs/>
        </w:rPr>
        <w:t>8. Contribuição Metodológica e Legado</w:t>
      </w:r>
    </w:p>
    <w:p w14:paraId="1DDE7D1C" w14:textId="77777777" w:rsidR="00C92749" w:rsidRPr="00C92749" w:rsidRDefault="00C92749" w:rsidP="00C92749">
      <w:pPr>
        <w:jc w:val="both"/>
      </w:pPr>
      <w:r w:rsidRPr="00C92749">
        <w:t>BLP (1995) estabeleceu um novo padrão metodológico em Organização Industrial Empírica com três contribuições independentes que se reforçam mutuamente:</w:t>
      </w:r>
    </w:p>
    <w:p w14:paraId="7B72534A" w14:textId="77777777" w:rsidR="00C92749" w:rsidRPr="00C92749" w:rsidRDefault="00C92749" w:rsidP="00C92749">
      <w:pPr>
        <w:jc w:val="both"/>
      </w:pPr>
      <w:r w:rsidRPr="00C92749">
        <w:rPr>
          <w:b/>
          <w:bCs/>
        </w:rPr>
        <w:t>Coeficientes aleatórios com dados agregados:</w:t>
      </w:r>
      <w:r w:rsidRPr="00C92749">
        <w:t xml:space="preserve"> ao interagir características dos produtos com heterogeneidade dos consumidores, o modelo gera padrões de substituição baseados em similaridade de produto, sem exigir dados individuais (microdados). A distribuição de renda de fontes externas (CPS) aumenta a eficiência.</w:t>
      </w:r>
    </w:p>
    <w:p w14:paraId="6BF23FF5" w14:textId="2C7E8E12" w:rsidR="00C92749" w:rsidRPr="00C92749" w:rsidRDefault="00C92749" w:rsidP="00C92749">
      <w:pPr>
        <w:jc w:val="both"/>
      </w:pPr>
      <w:r w:rsidRPr="00C92749">
        <w:rPr>
          <w:b/>
          <w:bCs/>
        </w:rPr>
        <w:t xml:space="preserve">Inversão de </w:t>
      </w:r>
      <w:proofErr w:type="spellStart"/>
      <w:r w:rsidRPr="00C92749">
        <w:rPr>
          <w:b/>
          <w:bCs/>
        </w:rPr>
        <w:t>market</w:t>
      </w:r>
      <w:proofErr w:type="spellEnd"/>
      <w:r w:rsidRPr="00C92749">
        <w:rPr>
          <w:b/>
          <w:bCs/>
        </w:rPr>
        <w:t xml:space="preserve"> </w:t>
      </w:r>
      <w:proofErr w:type="spellStart"/>
      <w:r w:rsidRPr="00C92749">
        <w:rPr>
          <w:b/>
          <w:bCs/>
        </w:rPr>
        <w:t>shares</w:t>
      </w:r>
      <w:proofErr w:type="spellEnd"/>
      <w:r w:rsidRPr="00C92749">
        <w:rPr>
          <w:b/>
          <w:bCs/>
        </w:rPr>
        <w:t xml:space="preserve"> (</w:t>
      </w:r>
      <w:proofErr w:type="spellStart"/>
      <w:r w:rsidRPr="00C92749">
        <w:rPr>
          <w:b/>
          <w:bCs/>
        </w:rPr>
        <w:t>contraction</w:t>
      </w:r>
      <w:proofErr w:type="spellEnd"/>
      <w:r w:rsidRPr="00C92749">
        <w:rPr>
          <w:b/>
          <w:bCs/>
        </w:rPr>
        <w:t xml:space="preserve"> mapping):</w:t>
      </w:r>
      <w:r w:rsidRPr="00C92749">
        <w:t xml:space="preserve"> a rotina de Berry (1994), aqui implementada e provada, permite recuperar os termos de erro estruturais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92749">
        <w:t xml:space="preserve">) implicitamente definidos pela igualdade entre shares observados e preditos. Esse passo é essencial para usar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92749">
        <w:t xml:space="preserve">como variável dependente na estimação GMM sem viés. </w:t>
      </w:r>
    </w:p>
    <w:p w14:paraId="478C806E" w14:textId="77777777" w:rsidR="00C92749" w:rsidRPr="00C92749" w:rsidRDefault="00C92749" w:rsidP="00C92749">
      <w:pPr>
        <w:jc w:val="both"/>
      </w:pPr>
      <w:r w:rsidRPr="00C92749">
        <w:rPr>
          <w:b/>
          <w:bCs/>
        </w:rPr>
        <w:t>Instrumentos de características de produtos rivais:</w:t>
      </w:r>
      <w:r w:rsidRPr="00C92749">
        <w:t xml:space="preserve"> a construção de instrumentos a partir de somas de características de concorrentes dentro e fora da </w:t>
      </w:r>
      <w:r w:rsidRPr="00C92749">
        <w:lastRenderedPageBreak/>
        <w:t>mesma firma fornece variação exógena para preços via estrutura de oligopólio, sem necessidade de instrumentos externos custosos ou inexistentes na maioria dos contextos.</w:t>
      </w:r>
    </w:p>
    <w:p w14:paraId="7427E17C" w14:textId="77777777" w:rsidR="00C92749" w:rsidRPr="00C92749" w:rsidRDefault="00C92749" w:rsidP="00C92749">
      <w:pPr>
        <w:jc w:val="both"/>
      </w:pPr>
      <w:r w:rsidRPr="00C92749">
        <w:t>O modelo tornou-se a infraestrutura padrão para análise de fusões e exercícios de bem-estar em mercados diferenciados, sendo amplamente aplicado em setores como automóveis, cervejas, cereais matinais, planos de saúde, televisores e telecomunicações. Sua influência na política antitruste é direta: a estimação de elasticidades cruzadas e markups contrafactuais é insumo central para simulações de fusões (como em Nevo (2000) e Miller &amp; Weinberg (2017)).</w:t>
      </w:r>
    </w:p>
    <w:p w14:paraId="274433BE" w14:textId="77777777" w:rsidR="006B7E4C" w:rsidRDefault="006B7E4C"/>
    <w:sectPr w:rsidR="006B7E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70606"/>
    <w:multiLevelType w:val="multilevel"/>
    <w:tmpl w:val="8B2A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651C6C"/>
    <w:multiLevelType w:val="multilevel"/>
    <w:tmpl w:val="20C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246095">
    <w:abstractNumId w:val="1"/>
  </w:num>
  <w:num w:numId="2" w16cid:durableId="42064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749"/>
    <w:rsid w:val="00305F92"/>
    <w:rsid w:val="006B7E4C"/>
    <w:rsid w:val="007B5240"/>
    <w:rsid w:val="008D3628"/>
    <w:rsid w:val="00A17ECD"/>
    <w:rsid w:val="00C92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F01B5"/>
  <w15:chartTrackingRefBased/>
  <w15:docId w15:val="{B9909A75-C194-4A97-A375-CBFDA28A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9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92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9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92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9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9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9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9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2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2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92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927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927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927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927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927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927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9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9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9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9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9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927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27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927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92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927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92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1740</Words>
  <Characters>9396</Characters>
  <Application>Microsoft Office Word</Application>
  <DocSecurity>0</DocSecurity>
  <Lines>78</Lines>
  <Paragraphs>22</Paragraphs>
  <ScaleCrop>false</ScaleCrop>
  <Company/>
  <LinksUpToDate>false</LinksUpToDate>
  <CharactersWithSpaces>11114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Oliveira</dc:creator>
  <cp:keywords/>
  <dc:description/>
  <cp:lastModifiedBy>Rafael Oliveira</cp:lastModifiedBy>
  <cp:revision>1</cp:revision>
  <dcterms:created xsi:type="dcterms:W3CDTF">2026-04-09T23:33:00Z</dcterms:created>
  <dcterms:modified xsi:type="dcterms:W3CDTF">2026-04-09T23:39:00Z</dcterms:modified>
</cp:coreProperties>
</file>