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 Segmentation and the Sources of Rents from Innovation: Personal Computers in the Late 1980's</w:t>
      </w:r>
    </w:p>
    <w:p>
      <w:pPr>
        <w:jc w:val="center"/>
      </w:pPr>
      <w:r>
        <w:t>Bresnahan, Stern e Trajtenberg (1997) — NBER Working Paper 5726</w:t>
      </w:r>
    </w:p>
    <w:p>
      <w:pPr>
        <w:pStyle w:val="Heading1"/>
      </w:pPr>
      <w:r>
        <w:t>1. Motivação e Problema de Pesquisa</w:t>
      </w:r>
    </w:p>
    <w:p>
      <w:r>
        <w:t>O artigo parte de um paradoxo aparente: o mercado de microcomputadores pessoais (PCs) nos Estados Unidos durante o final dos anos 1980 era simultaneamente um dos mais inovadores e um dos mais competitivos da economia. Como é possível que empresas invistam pesado em inovação num mercado onde a concorrência intensa dissipa rapidamente os lucros? A resposta de Arrow (1962) para esse paradoxo é que os inovadores precisam de algum grau de poder de mercado transitório para cobrir os custos da inovação — mas a fonte desse poder de mercado não é necessariamente a proteção formal por patentes ou marcas registradas.</w:t>
        <w:br/>
        <w:br/>
        <w:t>No setor de PCs do final dos anos 1980, patentes desempenharam papel menor: a indústria se organizou em torno de um padrão técnico aberto (IBM-compatible), o que facilitou a imitação. Os autores identificam dois mecanismos alternativos de apropriabilidade: (i) posicionamento na fronteira tecnológica (Frontier, F), definida aqui como a adoção do novo microprocessador Intel 80386 antes dos concorrentes; (ii) reputação de marca (Branded, B), exemplificada por empresas como IBM, Compaq, AT&amp;T e Hewlett-Packard.</w:t>
        <w:br/>
        <w:br/>
        <w:t>A pergunta central do artigo é: em que medida esses dois atributos — Frontier e Branded — proporcionavam isolamento da concorrência e, portanto, poder de mercado transitório? Para responder, os autores estimam um modelo estrutural de demanda que quantifica os padrões de substituição dentro e entre os quatro clusters definidos pelas duas dimensões: {B,F}, {B,NF}, {NB,F} e {NB,NF} (onde NB = Non-Branded e NF = Non-Frontier).</w:t>
      </w:r>
    </w:p>
    <w:p>
      <w:pPr>
        <w:pStyle w:val="Heading1"/>
      </w:pPr>
      <w:r>
        <w:t>2. Revisão da Literatura e Contribuição</w:t>
      </w:r>
    </w:p>
    <w:p>
      <w:r>
        <w:t>O artigo se situa na interseção de duas literaturas: (i) a literatura sobre modelos de demanda para produtos diferenciados; (ii) a literatura sobre fontes de renda da inovação e estrutura de mercado.</w:t>
        <w:br/>
        <w:br/>
        <w:t>Na frente metodológica, os autores constroem sobre Bresnahan (1981, 1987), Trajtenberg (1990), Berry (1994) e Berry, Levinsohn e Pakes (1995 — BLP). Berry (1994) propôs um procedimento GMM para estimar modelos de escolha discreta com dados agregados ao nível do produto, lidando com a endogeneidade dos preços. BLP (1995) generalizou essa abordagem para o caso de preferências heterogêneas com distribuição mista.</w:t>
        <w:br/>
        <w:br/>
        <w:t>A inovação metodológica central deste artigo é o modelo PD GEV (Principles of Differentiation Generalized Extreme Value). Modelos de logit aninhado (NML) tradicionais são hierárquicos: exigem que o modelador defina uma ordem de aninhamento que, por construção, trata as duas dimensões de diferenciação de forma assimétrica. O PD GEV, baseado no Teorema 1 de McFadden (1978), supera essa limitação permitindo correlações não-aninhadas e simétricas entre produtos que compartilham qualquer um dos dois princípios de diferenciação.</w:t>
        <w:br/>
        <w:br/>
        <w:t>Na frente empírica, o artigo contribui com evidência sobre as fontes de poder de mercado no setor de tecnologia. Os resultados sugerem que: (i) a vantagem de ser Branded consistia principalmente em deslocar para fora a curva de demanda (maior volume); (ii) a vantagem de ser Frontier consistia principalmente em tornar a curva de demanda mais inclinada (maior disposição a pagar dos compradores que já queriam 386). Essa distinção tem implicações para a política de concorrência e para o entendimento das estratégias de apropriação de renda da inovação.</w:t>
      </w:r>
    </w:p>
    <w:p>
      <w:pPr>
        <w:pStyle w:val="Heading1"/>
      </w:pPr>
      <w:r>
        <w:t>3. O Mercado de PCs no Final dos Anos 1980: Heterogeneidade e Clusters</w:t>
      </w:r>
    </w:p>
    <w:p>
      <w:r>
        <w:t>O snapshot do mercado utilizado pelos autores corresponde a 1987 e 1988 — período em que o processador Intel 80386 (lançado em fins de 1986) estava sendo gradualmente incorporado aos PCs de alto desempenho. A adoção do 80386 exigia substancial esforço de P&amp;D por parte dos fabricantes, de modo que apenas as empresas mais tecnicamente capazes o fizeram inicialmente. Ao final de 1986, apenas um punhado havia lançado sistemas baseados no 386.</w:t>
        <w:br/>
        <w:br/>
        <w:t>A heterogeneidade entre compradores é crucial para explicar por que os clusters F e B coexistem com NF e NB sem que um grupo elimine o outro. No caso do Frontier, havia compradores que enxergavam o 386 apenas como uma versão mais rápida do 286 (com pouca disposição a pagar pelo prêmio), enquanto outros — que planejavam rodar softwares mais exigentes, como o nascente ambiente Windows — o viam como necessidade. No caso do Branded, grandes organizações (Fortune 500) valorizavam muito a reputação de IBM e Compaq por serviço, suporte e confiabilidade, enquanto pequenas empresas preferiam clones mais baratos.</w:t>
        <w:br/>
        <w:br/>
        <w:t>A decisão histórica da IBM de adotar arquitetura aberta teve uma implicação analítica importante: atributos como RAM, disco rígido e velocidade (MHZ) podiam ser reconfigurados no mercado pós-venda, eliminando a possibilidade de premium de preço sustentável com base nesses componentes. Por isso, apenas Frontier (processador 386, não reempacotável) e Branded (reputação, por definição não reempacotável) são tratados como fontes de segmentação. Os demais atributos são tratados como hedônicos — deslocam o nível da demanda mas não o padrão de substituição.</w:t>
      </w:r>
    </w:p>
    <w:p>
      <w:pPr>
        <w:pStyle w:val="Heading1"/>
      </w:pPr>
      <w:r>
        <w:t>4. Dados: Amostra, Variáveis e Estatísticas Descritivas</w:t>
      </w:r>
    </w:p>
    <w:p>
      <w:r>
        <w:t>A amostra cobre todos os modelos de PC para os quais dados confiáveis de preço e características foram obtidos para 1987 e 1988, com foco nos 25 maiores vendedores. O critério de inclusão exigiu pelo menos 300 unidades vendidas (≈ US$ 1 milhão em vendas). Resultado: 121 modelos em 1987 e 137 em 1988.</w:t>
        <w:br/>
        <w:br/>
        <w:t>Quantidades: base COMTEC Market Analysis Services — pesquisa de estabelecimentos comerciais com mais de 6.000 observações ponderadas. O mercado potencial é definido como o total de trabalhadores de escritório nos EUA (39 milhões), incluindo o "bem externo" (opção de não comprar).</w:t>
        <w:br/>
        <w:br/>
        <w:t>Preços e características: GML MicroComputer Guide, complementado por DataSources, PC World, PC Tech Journal, históricos de fabricantes e a base de Berndt e Griliches (1993). Características utilizadas na estimação: FRONTIER (dummy para 386), BRANDED (dummy para IBM, AT&amp;T, HP, Compaq), PRICE, RAM (KB), MHZ, DISK (MB).</w:t>
        <w:br/>
        <w:br/>
        <w:t>Estatísticas descritivas (Tabela 2): em 1987, preço médio de US$ 3.226; RAM média de 611 KB; 10% dos produtos eram Frontier; 30% eram Branded. Em 1988, preço médio praticamente idêntico (US$ 3.205), mas RAM média saltou para 688 KB e FRONTIER chegou a 15% dos modelos, refletindo rápida difusão da tecnologia 386. A Tabela 4 mostra que, entre os clusters, o {B,F} tem o maior preço médio (≈ US$ 7.600) e o {NB,NF} (clones) o menor (≈ US$ 2.786 em 1987).</w:t>
      </w:r>
    </w:p>
    <w:p>
      <w:pPr>
        <w:pStyle w:val="Heading1"/>
      </w:pPr>
      <w:r>
        <w:t>5. O Modelo de Demanda: Utilidade Aleatória e o PD GEV</w:t>
      </w:r>
    </w:p>
    <w:p>
      <w:r>
        <w:t>O modelo parte de um framework de utilidade aleatória (Quandt, 1956) na tradição do Generalized Extreme Value (GEV) de McFadden (1978). Cada comprador i maximiza a utilidade indireta escolhendo entre Jₜ produtos mais a opção de não comprar (j = 0):</w:t>
        <w:br/>
        <w:br/>
        <w:t>Vᵢⱼ = Xⱼ'β + αpⱼ + ξⱼ + ηᵢⱼ   (equação 1)</w:t>
        <w:br/>
        <w:br/>
        <w:t>onde Xⱼ é o vetor de características observáveis, pⱼ é o preço, ξⱼ é a qualidade não observada (interpretada como o desvio da utilidade média do produto), e ηᵢⱼ é o componente idiossincrático. A utilidade média é decomposta como:</w:t>
        <w:br/>
        <w:br/>
        <w:t>δⱼ = Xⱼ'β + αpⱼ + ξⱼ   (equação 2)</w:t>
        <w:br/>
        <w:br/>
        <w:t>A chave do modelo está na distribuição de ηᵢⱼ. No logit multinomial simples, ηᵢⱼ é i.i.d. (problema do ônibus vermelho/azul: entrada de um produto afeta proporcionalmente todos os outros). No PD GEV, a distribuição permite correlação entre os ηᵢⱼ de produtos que compartilham F ou B — o que modela a segmentação como dependência no componente aleatório de preferências.</w:t>
        <w:br/>
        <w:br/>
        <w:t>O Teorema 1 de McFadden (1978) estabelece que, para qualquer função G: ℝᴶ⁺¹ → ℝ não-negativa, homogênea de grau 1 e satisfazendo condições de regularidade, a função de distribuição acumulada correspondente é compatível com maximização de utilidade aleatória, e a participação de mercado do produto j é dada por:</w:t>
        <w:br/>
        <w:br/>
        <w:t>sⱼ = eᵟʲ Gⱼ(eᵟ⁰, ..., eᵟᴶ) / G(eᵟ⁰, ..., eᵟᴶ)   (equação 4)</w:t>
        <w:br/>
        <w:br/>
        <w:t>onde Gⱼ é a derivada parcial de G em relação ao j-ésimo argumento. A escolha da função G determina o padrão de substituição.</w:t>
      </w:r>
    </w:p>
    <w:p>
      <w:pPr>
        <w:pStyle w:val="Heading1"/>
      </w:pPr>
      <w:r>
        <w:t>6. A Função G(·) do PD GEV e a Equação de Participação de Mercado</w:t>
      </w:r>
    </w:p>
    <w:p>
      <w:r>
        <w:t>Para incorporar dois princípios de diferenciação simultaneamente de forma simétrica, os autores especificam G(·) como soma ponderada de duas funções NML de um nível:</w:t>
        <w:br/>
        <w:br/>
        <w:t>G(eᵟ) = aF · [(Σⱼ∈F eᵟʲ/ρF)^ρF + (Σⱼ∈NF eᵟʲ/ρF)^ρF] + aB · [(Σⱼ∈B eᵟʲ/ρB)^ρB + (Σⱼ∈NB eᵟʲ/ρB)^ρB] + eᵟ⁰   (equação 6)</w:t>
        <w:br/>
        <w:br/>
        <w:t>onde ρF, ρB ∈ [0,1] parametrizam o grau de substitutabilidade intra-grupo (quanto menor o ρ, mais segmentado o mercado) e aF = (1-ρF)/(2-ρF-ρB), aB = (1-ρB)/(2-ρF-ρB) são pesos que garantem as propriedades de Proposição 1.</w:t>
        <w:br/>
        <w:br/>
        <w:t>A equação de participação de mercado resultante (equação 7) tem dois termos, um para F e um para B. Para um produto j no cluster {B(j), F(j)}: mudanças nos atributos de produtos no mesmo cluster têm efeito relativamente forte sobre sⱼ; produtos que não compartilham nem B(j) nem F(j) têm efeito mínimo; produtos que compartilham apenas um PD têm efeito intermediário. Cada efeito é mais forte quanto menor o ρ relevante.</w:t>
        <w:br/>
        <w:br/>
        <w:t>Essa estrutura produz padrões de elasticidades cruzadas assimétricos (equação 10) que o NML não consegue capturar: εbf,bf ≥ (εnbf,bf, εbnf,bf) ≥ εnbnf,bf, com εnbf,bf não restrito a ser igual a εbnf,bf. Essa simetria no tratamento de F e B é a principal vantagem do PD GEV sobre o NML — no NML, a ordem de aninhamento força uma das dimensões a ser mais importante por construção.</w:t>
      </w:r>
    </w:p>
    <w:p>
      <w:pPr>
        <w:pStyle w:val="Heading1"/>
      </w:pPr>
      <w:r>
        <w:t>7. PD GEV versus Modelos Alternativos: NML e VPD</w:t>
      </w:r>
    </w:p>
    <w:p>
      <w:r>
        <w:t>Os autores comparam o PD GEV com dois concorrentes: (i) o modelo de diferenciação vertical unidimensional (VPD — Bresnahan 1981, 1987), que usa um único parâmetro distribucional para capturar variação na preferência por qualidade geral; (ii) o logit aninhado multinomial de dois níveis (NML).</w:t>
        <w:br/>
        <w:br/>
        <w:t>O VPD é inadequado porque exige uma única dimensão de diferenciação — impossível capturar simultaneamente Branded e Frontier como princípios distintos.</w:t>
        <w:br/>
        <w:br/>
        <w:t>O NML de dois níveis (Figura 1 do artigo) é o concorrente mais direto. Se B/NB está no nível superior: ρB determina quanto os produtos que compartilham B e F são mais substitutos do que os que compartilham só B. Mas, nessa especificação, a mudança de preço de um produto {B,F} tem o mesmo efeito sobre o cluster {NB,F} que sobre {NB,NF} — o que é implausível (F compartilhado deveria gerar maior substituição). Reverter a ordem de aninhamento gera o problema simétrico: ρF fica artificialmente pequeno e ρB grande.</w:t>
        <w:br/>
        <w:br/>
        <w:t>Os resultados (Tabela 7) confirmam essa sensibilidade: com B/NB no topo (Modelo 5), ρB = 0,04 e ρF = 0,23; com F/NF no topo (Modelo 6), os parâmetros se invertem (ρB = 0,94, ρF = 0,42). Os dois modelos são contraditórios e não há como escolher entre eles sem informação externa sobre qual dimensão é mais importante — que é precisamente o que se quer estimar. O PD GEV resolve esse impasse tratando as duas dimensões simetricamente.</w:t>
      </w:r>
    </w:p>
    <w:p>
      <w:pPr>
        <w:pStyle w:val="Heading1"/>
      </w:pPr>
      <w:r>
        <w:t>8. Implementação GMM e Estratégia de Instrumentos</w:t>
      </w:r>
    </w:p>
    <w:p>
      <w:r>
        <w:t>O procedimento de estimação segue Berry (1994): "inverte" o sistema de equações de participação de mercado para isolar ξⱼ como função dos dados e dos parâmetros, e então constrói estimador GMM:</w:t>
        <w:br/>
        <w:br/>
        <w:t>min ξ̂'(ZΩ⁻¹Z')ξ̂   (equação 15)</w:t>
        <w:br/>
        <w:br/>
        <w:t>onde Z é a matriz de instrumentos e Ω é a matriz de ponderação ótima. A inversão é viável em forma fechada para o PD GEV (ao contrário do modelo de BLP (1995), que requer integração numérica), poupando substancialmente em custo computacional.</w:t>
        <w:br/>
        <w:br/>
        <w:t>A estratégia de identificação enfrenta dois desafios: (i) endogeneidade de preços (cov(p, ξ) &gt; 0, pois firmas cobram mais por produtos de qualidade não observada mais alta); (ii) endogeneidade das participações de grupo (as somas Σⱼ∈F(j) eᵟ no denominador dependem de ξ).</w:t>
        <w:br/>
        <w:br/>
        <w:t>Os instrumentos (Tabela 5) são construídos a partir de exogeneidade das características observadas X:</w:t>
        <w:br/>
        <w:t>— Contagens e médias de X para produtos que compartilham o cluster F(j) e/ou B(j);</w:t>
        <w:br/>
        <w:t>— Contagens e médias de X para produtos da mesma firma (ownership instruments, derivados da CPO de Nash-Bertrand multiproduct);</w:t>
        <w:br/>
        <w:t>— Contagens e médias de X para produtos que compartilham tanto cluster quanto firma.</w:t>
        <w:br/>
        <w:br/>
        <w:t>O uso de instrumentos PD-específicos explora variação diferencial na entrada entre clusters: o cluster Frontier viu muito mais entrada entre 1987 e 1988 do que o NF, o que faz variar a pressão competitiva local (e portanto o markup) de forma exógena. Os resultados de robustez (Tabela 8) mostram que remover os instrumentos de ownership (Modelo 8) ou os PD-específicos (Modelo 9) reduz drasticamente a precisão das estimativas — evidência de que ambas as fontes de identificação são necessárias.</w:t>
      </w:r>
    </w:p>
    <w:p>
      <w:pPr>
        <w:pStyle w:val="Heading1"/>
      </w:pPr>
      <w:r>
        <w:t>9. Resultados Principais: Estimativas do PD GEV e Robustez</w:t>
      </w:r>
    </w:p>
    <w:p>
      <w:r>
        <w:t>Os principais resultados são apresentados na Tabela 6 (renomeada Table 5 no paper) com quatro especificações. O modelo base (Modelo 1, com DISK como controle técnico) produz:</w:t>
        <w:br/>
        <w:br/>
        <w:t>Parâmetros de substitutabilidade:</w:t>
        <w:br/>
        <w:t>— ρF = 0,13 (e.p. = 0,18): muito próximo de 0 → alta segmentação ao longo da dimensão Frontier</w:t>
        <w:br/>
        <w:t>— ρB = 0,34 (e.p. = 0,08): muito próximo de 0 e precisamente estimado → alta segmentação ao longo da dimensão Branded</w:t>
        <w:br/>
        <w:t>— Rejeição de H₀: ρF = ρB = 1 em todos os modelos (sem segmentação)</w:t>
        <w:br/>
        <w:br/>
        <w:t>Coeficiente de preço: α = -0,00017 (e.p. = 0,00008) — negativo e estável entre especificações; modelos sem IV produzem α muito menor em valor absoluto, confirmando endogeneidade de preços.</w:t>
        <w:br/>
        <w:br/>
        <w:t>Coeficientes de nível de demanda:</w:t>
        <w:br/>
        <w:t>— βBRANDED = 0,57 (e.p. = 0,10): positivo, grande e significativo → Branded desloca para fora a curva de demanda</w:t>
        <w:br/>
        <w:t>— βFRONTIER = -0,03 (e.p. = 0,32): próximo de zero e impreciso → Frontier não desloca significativamente o nível da demanda</w:t>
        <w:br/>
        <w:t>— βIBM = 0,27 (e.p. = 0,15): adicional 27% de utilidade para produtos IBM acima do Branded genérico</w:t>
        <w:br/>
        <w:br/>
        <w:t>Teste de Wald rejeita H₀: ρF = ρB, βF = βB a 90% (estatística = 5,22; χ²(0,90;2) = 4,61). A heterogeneidade qualitativa entre as duas fontes de poder de mercado é, portanto, estatisticamente detectável: Frontier confere isolamento da concorrência (curva de demanda mais íngreme) sem deslocar a demanda; Branded confere ambos os benefícios.</w:t>
      </w:r>
    </w:p>
    <w:p>
      <w:pPr>
        <w:pStyle w:val="Heading1"/>
      </w:pPr>
      <w:r>
        <w:t>10. Curvas de Demanda e Simulações Contrafactuais</w:t>
      </w:r>
    </w:p>
    <w:p>
      <w:r>
        <w:t>Para dar intuição aos parâmetros estimados, os autores constroem curvas de demanda hipotéticas (Figura 2). Comparando um produto típico IBM/NF com um produto típico NB/Frontier: a curva de demanda da IBM tem inclinação moderada mas nível alto (grande quantidade mesmo a preço elevado — resultado de βBRANDED grande); a curva do produto Frontier/NB tem inclinação acentuada (curva íngreme — resultado de ρF pequeno) mas nível baixo (βFRONTIER ≈ 0). Isso explica o coeficiente negativo da IBM na regressão hedônica (Tabela 3): IBM cobrava preços abaixo do que os atributos justificariam porque preferia maximizar volume, enquanto os pioneiros de 386 cobravam preços premium para um público pequeno mas altamente disposto a pagar.</w:t>
        <w:br/>
        <w:br/>
        <w:t>Os contrafactuais (Tabela 9) introduzem hipotéticos novos produtos em cada cluster e calculam mudanças de participação. Resultados principais:</w:t>
        <w:br/>
        <w:t>— Entrada de produto {F,B}: 8.569 unidades vendidas; 5.390 (63%) roubadas de dentro do cluster {F,B}; apenas 16 unidades roubadas do cluster completamente não-correspondente {NF,NB}.</w:t>
        <w:br/>
        <w:t>— Entrada de clone {NF,NB}: 2.502 unidades; apenas 31 unidades roubadas de produtos Branded (clusters B/F e B/NF).</w:t>
        <w:br/>
        <w:t>— Menos de 5% do market share de um clone hipotético viria de outros clusters.</w:t>
        <w:br/>
        <w:br/>
        <w:t>A estatística de segmentação (Tabela 9E) — razão entre percentual de queda das vendas intra-cluster e percentual de crescimento total de PCs — confirma alta segmentação em todos os experimentos. Isso implica que clones não constituíam ameaça competitiva real para produtos Branded ou Frontier, contrariando percepções amplamente difundidas na época.</w:t>
      </w:r>
    </w:p>
    <w:p>
      <w:pPr>
        <w:pStyle w:val="Heading1"/>
      </w:pPr>
      <w:r>
        <w:t>11. Conclusões e Legado do Artigo</w:t>
      </w:r>
    </w:p>
    <w:p>
      <w:r>
        <w:t>O artigo demonstra que, no mercado de PCs de 1987-1988, a concorrência não era um fenômeno que permeava homogeneamente o mercado — ela estava largamente confinada dentro dos clusters definidos pelos princípios de diferenciação. Isso resolve o paradoxo inicial: mesmo num mercado altamente competitivo em seu conjunto, as firmas inovadoras (Branded e/ou Frontier) desfrutavam de poder de mercado transitório suficiente para justificar o investimento em inovação.</w:t>
        <w:br/>
        <w:br/>
        <w:t>Um resultado contra-intuitivo marcante: a ascensão e queda da IBM como líder absoluta do setor não foi causada pela concorrência dos clones (que operam num cluster separado), mas pela erosão da posição da IBM dentro do seu próprio cluster {Branded, NF} — primeiro pela Compaq e depois por outras firmas que investiram em construir reputação de marca e posicionamento na fronteira tecnológica.</w:t>
        <w:br/>
        <w:br/>
        <w:t>Legado metodológico: o PD GEV representou avanço em relação ao NML ao: (i) tratar múltiplos princípios de diferenciação simetricamente; (ii) usar apenas dados agregados ao nível do produto; (iii) incorporar priors sobre estrutura de mercado diretamente na especificação da função G(·) e nos instrumentos. O modelo antecipa a literatura subsequente sobre modelos GEV não-aninhados e a literatura sobre identificação em modelos de escolha discreta com múltiplas dimensões de heterogeneidade.</w:t>
        <w:br/>
        <w:br/>
        <w:t>Limitações reconhecidas: a amostra cobre apenas dois anos e um mercado em transição acelerada; os resultados são específicos ao momento histórico da adoção do 386. Os autores alertam contra generalização temporal excessiva, mas argumentam que o valor de renda por período é exatamente o que importa para os incentivos ao investimento em inovação.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