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Measuring Substitution Patterns in Differentiated-Products Industries</w:t>
      </w:r>
    </w:p>
    <w:p>
      <w:pPr>
        <w:pStyle w:val="Heading1"/>
      </w:pPr>
      <w:r>
        <w:t>1. Motivação e Problema de Pesquisa</w:t>
      </w:r>
    </w:p>
    <w:p>
      <w:r>
        <w:t>Gandhi e Houde (2019) abordam um problema central em Organização Industrial Empírica: como estimar padrões de substituição entre produtos diferenciados de forma precisa e estatisticamente confiável. O arcabouço de Berry (1994) e Berry, Levinsohn e Pakes (1995) — conhecido como BLP — é a abordagem padrão para estimação de demanda com dados agregados de participações de mercado. Ele relaxa a hipótese de Independência das Alternativas Irrelevantes (IIA), presente em modelos logit/CES, permitindo padrões de substituição ricos entre produtos com características similares.</w:t>
        <w:br/>
        <w:br/>
        <w:t>Contudo, essa flexibilidade vem a um custo econométrico: a introdução de preferências não-IIA cria um problema de simultaneidade. As participações de mercado dos produtos rivais entram de forma não linear na equação de demanda inversa e são correlacionadas com o resíduo do modelo (qualidade não observada ξⱼₜ). Isso exige o uso de variáveis instrumentais (IV) excluídas. O problema é que os estimadores não lineares de GMM são notoriamente sensíveis à identificação fraca — e esse problema tem sido amplamente ignorado na literatura empírica.</w:t>
        <w:br/>
        <w:br/>
        <w:t>Uma revisão dos trabalhos que utilizam o arcabouço BLP revela pouquíssimos casos de desvios estatisticamente e economicamente significativos da IIA usando apenas restrições do lado da demanda. Sintomas adicionais de identificação fraca são frequentes: problemas numéricos de otimização (múltiplos mínimos locais, soluções de canto em que λ̂ → 0), intervalos de confiança muito amplos, e distribuição empírica dos estimadores não aproximada pela normal assintótica.</w:t>
        <w:br/>
        <w:br/>
        <w:t>O objetivo central do paper é desenvolver uma nova classe de instrumentos fortes — os Differentiation IVs — que resolvem o problema de identificação fraca e permitem estimar padrões de substituição de forma precisa, a partir de restrições exclusivamente do lado da demanda e sem depender de modelos de equilíbrio de supply-side ou dados de pesquisa domiciliar (micro-momentos).</w:t>
      </w:r>
    </w:p>
    <w:p>
      <w:pPr>
        <w:pStyle w:val="Heading1"/>
      </w:pPr>
      <w:r>
        <w:t>2. Revisão da Literatura e Contribuição</w:t>
      </w:r>
    </w:p>
    <w:p>
      <w:r>
        <w:t>O paper dialoga com duas principais correntes de literatura. A primeira trata da eficiência de instrumentos em modelos BLP: Reynaert e Verboven (2013) documentam perdas de eficiência com os instrumentos padrão e propõem uma aproximação heurística aos IV ótimos de Berry, Levinsohn e Pakes (1999). Salanie e Wolak (2019) propõem estimação via regressão de Gauss-Newton. Conlon e Gortmaker (2019) estabelecem o "best practice" empírico atual. Esses métodos melhoram a eficiência, mas todos dependem de estimativas iniciais consistentes — que, por sua vez, requerem instrumentos fortes de partida, criando circularidade.</w:t>
        <w:br/>
        <w:br/>
        <w:t>A segunda corrente inclui Berry (1994), Bresnahan, Stern e Trajtenberg (1997), e modelos de diferenciação espacial (Pinkse, Slade e Brett 2002, Davis 2006, Houde 2012), que já utilizavam medidas de diferenciação como instrumentos em contextos específicos. A contribuição de Gandhi e Houde é demonstrar formalmente por que essa intuição funciona, generalizando-a ao modelo geral de coeficientes aleatórios e resolvendo o problema de maldição da dimensionalidade com rigor teórico.</w:t>
        <w:br/>
        <w:br/>
        <w:t>As três contribuições principais do paper são:</w:t>
        <w:br/>
        <w:br/>
        <w:t>1. Differentiation IVs: nova classe de instrumentos fortes baseados na distribuição de diferenças de características entre produtos rivais no mercado. São derivados de dois pressupostos padrão do modelo BLP — utilidade indireta linear em características e permutabilidade dos choques não observados — e não dependem do valor dos parâmetros nem da distribuição dos coeficientes aleatórios.</w:t>
        <w:br/>
        <w:br/>
        <w:t>2. Teste IIA: um teste prático de relevância dos instrumentos baseado na hipótese de preferências IIA. Testa se os Differentiation IVs são capazes de rejeitar a hipótese nula de logit multinomial, o que equivale a detectar desvios estatisticamente significativos da IIA na forma reduzida do modelo.</w:t>
        <w:br/>
        <w:br/>
        <w:t>3. Prova teórica: demonstração de que a forma reduzida do modelo BLP é uma função vetorial simétrica das diferenças de características entre produtos — propriedade que elimina a maldição da dimensionalidade e justifica o uso de funções de base de baixa ordem para aproximar a forma reduzida.</w:t>
      </w:r>
    </w:p>
    <w:p>
      <w:pPr>
        <w:pStyle w:val="Heading1"/>
      </w:pPr>
      <w:r>
        <w:t>3. Arcabouço Teórico e Modelo de Demanda</w:t>
      </w:r>
    </w:p>
    <w:p>
      <w:r>
        <w:t>O modelo considera um painel de T mercados independentes, cada um com Jₜ produtos. O vetor de características observadas do produto j no mercado t é xⱼₜ ∈ ℝᴷ, com atributo não observado ξⱼₜ. Define-se xₜ = (x₁ₜ, ..., xⱼₜ) como a menu completa de características do mercado (matriz Jₜ × K).</w:t>
        <w:br/>
        <w:br/>
        <w:t>Assumption 1 — Utilidade Indireta Linear em Características:</w:t>
        <w:br/>
        <w:br/>
        <w:t xml:space="preserve">    uᵢⱼₜ = δⱼₜ + νᵢₚpⱼₜ + Σₖ νᵢₖ xⱼₜ,ₖ⁽²⁾ + εᵢⱼₜ</w:t>
        <w:br/>
        <w:br/>
        <w:t>onde δⱼₜ = xⱼₜ'β + ξⱼₜ é a "utilidade média" do produto j, xⱼₜ⁽²⁾ é o subvetor de características não lineares, εᵢⱼₜ ~ T1EV, e νᵢ = {νᵢₚ, νᵢ₂, ..., νᵢₖ₂} é o vetor de coeficientes aleatórios do consumidor i. Quando εᵢⱼₜ ~ T1EV, a demanda agregada por j é:</w:t>
        <w:br/>
        <w:br/>
        <w:t xml:space="preserve">    σⱼ(δₜ, xₜ⁽²⁾, pₜ; λ) = ∫ [exp(νᵢₚpⱼₜ + Σₖ νᵢₖxⱼₜ,ₖ⁽²⁾ + δⱼₜ) / (1 + Σⱼ' exp(νᵢₚpⱼ'ₜ + Σₖ νᵢₖxⱼ'ₜ,ₖ⁽²⁾ + δⱼ'ₜ))] dF(νᵢ; λ)</w:t>
        <w:br/>
        <w:br/>
        <w:t>Intuição: δⱼₜ captura a qualidade média do produto. Os coeficientes aleatórios νᵢ capturam heterogeneidade nos gostos dos consumidores — produtos com características similares terão elasticidades cruzadas maiores para consumidores com gostos similares.</w:t>
        <w:br/>
        <w:br/>
        <w:t>Assumption 2 — Restrição de Momento Condicional:</w:t>
        <w:br/>
        <w:br/>
        <w:t xml:space="preserve">    E[ξⱼₜ | xₜ, wₜ] = 0</w:t>
        <w:br/>
        <w:br/>
        <w:t>onde wₜ são instrumentos de preço excluídos. A qualidade não observada é ortogonal às características do mercado e aos instrumentos de preço. Duas fontes são reconhecidas para instrumentos de preço válidos: (i) deslocadores de markup; (ii) deslocadores de custo.</w:t>
        <w:br/>
        <w:br/>
        <w:t>Assumption 3 — Permutabilidade (Exchangeability): A distribuição conjunta dos choques não observados ξ é exchangeable — a identidade dos produtos rivais é irrelevante para prever a distribuição dos atributos não observados. Isso não exclui efeitos fixos de marca ou produto.</w:t>
        <w:br/>
        <w:br/>
        <w:t>Seguindo Berry (1994), a equação residual do modelo é:</w:t>
        <w:br/>
        <w:br/>
        <w:t xml:space="preserve">    ρⱼ(sₜ, xₜ, pₜ; θ) = σⱼ⁻¹(sₜ, xₜ⁽²⁾, pₜ; λ) - xⱼₜβ</w:t>
        <w:br/>
        <w:br/>
        <w:t>A função de demanda inversa σⱼ⁻¹ atribui níveis de qualidade δⱼₜ a cada produto para igualar as participações observadas, dado o vetor de parâmetros candidato (β, λ). O estimador GMM minimiza:</w:t>
        <w:br/>
        <w:br/>
        <w:t xml:space="preserve">    Q(θ) = n · gₙ(θ) Wₙ gₙ(θ)ᵀ</w:t>
        <w:br/>
        <w:br/>
        <w:t>onde gₙ(θ) = ρ(θ)ᵀZ/n são as condições de momento empíricas e Wₙ é a matriz de ponderação eficiente. Mesmo sem endogeneidade de preços, mínimos quadrados não lineares (NLS) leva a estimativas viesadas porque as participações sⱼₜ dos rivais entram em σⱼ⁻¹(·) e são correlacionadas com ξⱼₜ.</w:t>
      </w:r>
    </w:p>
    <w:p>
      <w:pPr>
        <w:pStyle w:val="Heading1"/>
      </w:pPr>
      <w:r>
        <w:t>4. Identificação e o Problema de Instrumentos Fracos</w:t>
      </w:r>
    </w:p>
    <w:p>
      <w:r>
        <w:t>O estimador GMM depende criticamente da escolha da função instrumental Aⱼ(xₜ, wₜ) que aparece no vetor de momentos excluídos zⱼₜ = {xⱼₜ, Aⱼ(xₜ, wₜ)}.</w:t>
        <w:br/>
        <w:br/>
        <w:t>O Problema de Dimensionalidade: A forma reduzida do modelo — πⱼ(xₜ, wₜ; λ) = E[σⱼ⁻¹(sₜ, xₜ⁽²⁾, pₜ; λ) | xₜ, wₜ] — depende de toda a menu de K × Jₜ características do mercado. Em muitas aplicações, o número de produtos cresce com o número de mercados, tornando impossível aproximar a forma reduzida sem restrições adicionais: o número de termos de base cresce exponencialmente com Jₜ.</w:t>
        <w:br/>
        <w:br/>
        <w:t>Identificação Fraca: Ocorre quando as condições de momento são (aproximadamente) satisfeitas fora do valor verdadeiro θ⁰:</w:t>
        <w:br/>
        <w:br/>
        <w:t xml:space="preserve">    l(zⱼₜ; θ) ≈ 0 se θ ≠ θ⁰</w:t>
        <w:br/>
        <w:br/>
        <w:t>Consequências práticas documentadas via Monte Carlo com J = 15, T = 100 (N = 1.500 obs.), usando Sum IV (instrumento padrão BLP):</w:t>
        <w:br/>
        <w:t>- RMSE de λ̂ₖ: 2.2–2.6 (mais de 50% do valor verdadeiro λᵏ = 4)</w:t>
        <w:br/>
        <w:t>- Frequência de mínimos locais: até 66% quando K₂ = 4 coeficientes aleatórios</w:t>
        <w:br/>
        <w:t>- Distribuição empírica de λ̂: não Gaussiana, com massa em zero (soluções de canto)</w:t>
        <w:br/>
        <w:t>- Rank-test (Cragg-Donald): não rejeita subidentificação em 60%–92% das amostras</w:t>
        <w:br/>
        <w:t>- Teste IIA: p-values entre 0.24 e 0.43 — não há evidência de desvios da IIA</w:t>
        <w:br/>
        <w:br/>
        <w:t>O instrumento-padrão BLP — soma das características dos rivais Σⱼ'≠ⱼ xⱼ'ₜ — é fracamente correlacionado com a forma reduzida do modelo. Figura 1a do paper: R² da regressão IIA com Sum IV ≈ 0.0006, slope ≈ 0. O instrumento de distância euclidiana (Differentiation IV): R² ≈ 0.364, slope significativamente positivo.</w:t>
        <w:br/>
        <w:br/>
        <w:t>Intuição para o sinal positivo: Produtos isolados no espaço de características (alta distância euclidiana dos rivais) têm participações relativamente altas dado seu nível de qualidade observada. O modelo logit avaliado em λ = 0 atribui qualidade alta a esses produtos para racionalizar as participações — gerando correlação positiva com a forma reduzida. Esta é uma violação clara das condições de momento do logit, indicando desvios da IIA.</w:t>
      </w:r>
    </w:p>
    <w:p>
      <w:pPr>
        <w:pStyle w:val="Heading1"/>
      </w:pPr>
      <w:r>
        <w:t>5. Proposições Centrais: Forma Reduzida como Função Simétrica</w:t>
      </w:r>
    </w:p>
    <w:p>
      <w:r>
        <w:t>A contribuição teórica central do paper consiste em duas proposições que estabelecem a estrutura simétrica da forma reduzida do modelo BLP.</w:t>
        <w:br/>
        <w:br/>
        <w:t>Definições preliminares: Define-se dⱼₜ,ₖ = xₖₜ - xⱼₜ o vetor de diferenças de características entre j e k no mercado t, e dⱼₜ = {dⱼₜ,ₖ}ₖ≠ⱼ a matriz de todas as diferenças relativas a j. O vetor de estado do rival k para o produto j é ωⱼₜ,ₖ = (sₖₜ, dⱼₜ,ₖ⁽²⁾).</w:t>
        <w:br/>
        <w:br/>
        <w:t>Proposição 1 — Simetria da Demanda Inversa: Sob o modelo de utilidade aleatória linear em características, a demanda inversa pode ser escrita como:</w:t>
        <w:br/>
        <w:br/>
        <w:t xml:space="preserve">    σⱼ⁻¹(sₜ, xₜ⁽²⁾; λ) = f(ωⱼₜ; λ) + Cₜ(λ)</w:t>
        <w:br/>
        <w:br/>
        <w:t>onde Cₜ(λ) é uma constante específica ao mercado e f é uma função simétrica de ωⱼₜ = {sₖₜ, dⱼₜ,ₖ⁽²⁾}ₖ≠ⱼ.</w:t>
        <w:br/>
        <w:br/>
        <w:t>Intuição: A identidade dos produtos é irrelevante para a escolha discreta dos consumidores — o que importa são as diferenças de características relativas a j. Re-parametrizando a utilidade em τⱼₜ = exp(δⱼₜ)/(1 + Σⱼ' exp(δⱼ'ₜ)), que trata o bem externo simetricamente com os bens internos, a função de demanda passa a ser permutável em relação aos produtos rivais. A demanda inversa herda as propriedades de simetria e anonimidade.</w:t>
        <w:br/>
        <w:br/>
        <w:t>Proposição 2 — Simetria da Forma Reduzida: Se a distribuição de {ξ₁ₜ, ..., ξⱼₜ,ₜ} é exchangeable, a expectativa condicional da demanda inversa é uma função simétrica da matriz de diferenças de características:</w:t>
        <w:br/>
        <w:br/>
        <w:t xml:space="preserve">    πⱼ(xₜ; λ) = g(dⱼₜ; λ) + cₜ(λ)</w:t>
        <w:br/>
        <w:br/>
        <w:t>onde cₜ é uma constante de mercado.</w:t>
        <w:br/>
        <w:br/>
        <w:t>Por que resolve a maldição da dimensionalidade? Considere uma aproximação polinomial de segunda ordem com um único atributo x. Sem simetria, precisaríamos de O(Jₜ²) parâmetros. Com simetria, todos os coeficientes dos termos cruzados são iguais entre si — reduzindo o número de funções de base a no máximo 3 termos:</w:t>
        <w:br/>
        <w:br/>
        <w:t xml:space="preserve">    g(dⱼₜ; λ) ≈ γ₁ · (Σⱼ'≠ⱼ dⱼₜ,ⱼ') + γ₂ · (Σⱼ'≠ⱼ (dⱼₜ,ⱼ')²) + γ₃ · (Σⱼ'≠ⱼ dⱼₜ,ⱼ')²</w:t>
        <w:br/>
        <w:br/>
        <w:t>O termo γ₂ — soma dos quadrados das diferenças, ou distância euclidiana ao quadrado — é o mais informativo para variação entre produtos dentro de um mercado e é a base dos Differentiation IVs.</w:t>
        <w:br/>
        <w:br/>
        <w:t>Corolário 1: A expectativa condicional do Jacobiano da função residual também é simétrica em dⱼₜ:</w:t>
        <w:br/>
        <w:t xml:space="preserve">    E[∂ρⱼₜ(sₜ, xₜ; θ)/∂λₖ | xₜ] = gₖ(dⱼₜ; λ) + cₜ,ₖ(λ)</w:t>
        <w:br/>
        <w:t>Isso permite aproximar os IV ótimos de Amemiya (1977) e Chamberlain (1987) usando Differentiation IVs como primeiro estágio, sem maldição da dimensionalidade.</w:t>
      </w:r>
    </w:p>
    <w:p>
      <w:pPr>
        <w:pStyle w:val="Heading1"/>
      </w:pPr>
      <w:r>
        <w:t>6. Instrumentos de Diferenciação (Differentiation IVs)</w:t>
      </w:r>
    </w:p>
    <w:p>
      <w:r>
        <w:t>Com base nas Proposições 1 e 2, os autores propõem duas classes de funções instrumentais que satisfazem a propriedade de simetria e exibem variação entre produtos.</w:t>
        <w:br/>
        <w:br/>
        <w:t>Para preços endógenos: Constrói-se p̂ⱼₜ ≈ E(pⱼₜ|xₜ, wₜ) por regressão OLS com cost-shifters e características próprias. As diferenças de preço previsto dⱼₜ,ⱼ'ᵖ̂ = p̂ⱼ'ₜ - p̂ⱼₜ entram na construção dos IVs, garantindo E[ξⱼₜ|xₜ, p̂ₜ] = 0.</w:t>
        <w:br/>
        <w:br/>
        <w:t>Tipo 1 — Differentiation IV Quadrático (Polinômio de Segunda Ordem):</w:t>
        <w:br/>
        <w:br/>
        <w:t xml:space="preserve">    Aⱼ(xₜ, wₜ) = {wⱼₜ; Σⱼ'≠ⱼ (dⱼₜ,ⱼ'ᵖ̂)²; Σⱼ'≠ⱼ (dⱼₜ,ⱼ'ᵏ)², ∀k; Σⱼ'≠ⱼ dⱼₜ,ⱼ'ᵏ × dⱼₜ,ⱼ'ˡ, ∀k≠l}</w:t>
        <w:br/>
        <w:br/>
        <w:t>O termo Σⱼ'≠ⱼ (dⱼₜ,ⱼ'ᵏ)² mede a distância euclidiana quadrática de j ao longo da dimensão k. Os termos de interação capturam a covariância entre dimensões de diferenciação. Interpretação econômica: produtos isolados no espaço de características têm maior distância euclidiana dos rivais, competem menos intensamente e tendem a ter maior participação de mercado dado seu nível de qualidade média.</w:t>
        <w:br/>
        <w:br/>
        <w:t>Tipo 2 — Differentiation IV Local (B-Spline):</w:t>
        <w:br/>
        <w:br/>
        <w:t xml:space="preserve">    Aⱼ(xₜ, wₜ) = {wⱼₜ; Σⱼ'≠ⱼ 1(|dⱼₜ,ⱼ'ᵖ̂| &lt; κᵖ̂); Σⱼ'≠ⱼ 1(|dⱼₜ,ⱼ'ᵏ| &lt; κᵏ), ∀k; Σⱼ'≠ⱼ 1(|dⱼₜ,ⱼ'ˡ| &lt; κᵏ) × dⱼₜ,ⱼ'ˡ, ∀k≠l}</w:t>
        <w:br/>
        <w:br/>
        <w:t>onde κᵏ é o desvio-padrão de xⱼₜ,ₖ (limiar de proximidade). O segundo elemento conta o número de rivais "próximos" ao longo de cada dimensão — quando características são discretas, 1(dⱼₜ,ⱼ'ᵏ = 0) define um indicador de segmento.</w:t>
        <w:br/>
        <w:br/>
        <w:t>Intuição para produtos com características de mercado invariantes no tempo (como em Nevo 2001): A variação exógena de preços entre mercados, interagida com indicadores de proximidade ao longo de cada dimensão de características, identifica o parâmetro de heterogeneidade associado a essa dimensão.</w:t>
        <w:br/>
        <w:br/>
        <w:t>Extensão para demografias: Quando os coeficientes aleatórios incluem componente demográfico bᵢₜ = λᵧyᵢₜ + ηᵢ com yᵢₜ = mₜ + sdₜ · eᵢ, a forma reduzida torna-se:</w:t>
        <w:br/>
        <w:br/>
        <w:t xml:space="preserve">    πⱼₜ(xₜ; λ) = g(dⱼₜ, sdₜ · dⱼₜ⁽²⁾; λ) + cₜ(λ)</w:t>
        <w:br/>
        <w:br/>
        <w:t>Implicação: momentos da distribuição demográfica devem entrar na função instrumental como termos de interação com características e medidas de diferenciação, não como variáveis independentes.</w:t>
      </w:r>
    </w:p>
    <w:p>
      <w:pPr>
        <w:pStyle w:val="Heading1"/>
      </w:pPr>
      <w:r>
        <w:t>7. Implicações Adicionais: IV Ótimo, Estimação Não-Paramétrica e Teste IIA</w:t>
      </w:r>
    </w:p>
    <w:p>
      <w:r>
        <w:t>IV Ótimo e Complementaridade (Seção 3.1):</w:t>
        <w:br/>
        <w:br/>
        <w:t>O estimador GMM eficiente usa instrumentos ótimos A*ⱼ(xₜ) = E[∂ρⱼₜ/∂θ | xₜ]. A heurística BLP/Reynaert-Verboven aproxima isso por Ãⱼ(xⱼₜ|θ¹) = ∂ρⱼ(sₜ, p̂ₜ, xₜ; θ)/∂θ|ξ=0, avaliado em θ¹. Dois estágios: (i) estimar θ¹ com Differentiation IVs; (ii) usar Ãⱼ(xⱼₜ|θ¹) no segundo estágio GMM.</w:t>
        <w:br/>
        <w:br/>
        <w:t>O Corolário 1 garante que A*ⱼ(xₜ) pode ser aproximado sem maldição da dimensionalidade. Simulações (Tabela 7) mostram que a aproximação é sensível ao sinal de θ¹ no modelo de Hotelling (erro de sinal → RMSE 10× maior), enquanto o modelo Normal RC é robusto. A Tabela 8 confirma para coeficientes correlacionados: com θ¹ ~ N(0,4), as RMSEs dos elementos de Σ ficam centenas de vezes maiores que com Differentiation IVs diretos.</w:t>
        <w:br/>
        <w:br/>
        <w:t>Conclusão prática: Differentiation IVs devem ser usados no primeiro estágio para garantir estimativas iniciais consistentes antes de aplicar a aproximação ao IV ótimo. Essa complementaridade é agora considerada best practice (Conlon e Gortmaker 2019).</w:t>
        <w:br/>
        <w:br/>
        <w:t>Estimação Não-Paramétrica (Seção 3.2):</w:t>
        <w:br/>
        <w:br/>
        <w:t>As Proposições 1 e 2 implicam que é possível construir um estimador semi-paramétrico consistente do modelo de coeficientes aleatórios. A demanda inversa pode ser escrita como um modelo de regressão parcialmente linear com função não-paramétrica endógena:</w:t>
        <w:br/>
        <w:br/>
        <w:t xml:space="preserve">    pⱼₜ = xⱼₜβ - σⱼ⁻¹(sₜ, x⁽²⁾) + ξⱼₜ</w:t>
        <w:br/>
        <w:br/>
        <w:t>Tratando a distribuição de heterogeneidade como não-paramétrica, o estimador Sieve Minimum Distance (Ai e Chen 2003) pode ser aplicado, usando funções de base que satisfazem as condições de exchangeabilidade das Proposições 1 e 2.</w:t>
        <w:br/>
        <w:br/>
        <w:t>Teste IIA (Seção 3.3 — Definition 1):</w:t>
        <w:br/>
        <w:br/>
        <w:t>Um instrumento é fraco se falha em rejeitar a hipótese nula de preferências IIA. O teste estima a seguinte regressão da forma reduzida sob λ = 0 (logit):</w:t>
        <w:br/>
        <w:br/>
        <w:t xml:space="preserve">    E[ln sⱼₜ/s₀ₜ | xₜ, wₜ] ≈ xⱼₜγ₁ + γₚ p̂ⱼₜ + Aⱼ⁻ʷ(xₜ, wₜ)γ₂</w:t>
        <w:br/>
        <w:br/>
        <w:t>H₀: γ̂₂ = 0 (preferências IIA — instrumentos irrelevantes para identificar λ).</w:t>
        <w:br/>
        <w:br/>
        <w:t>Implementações equivalentes: (a) 2SLS do logit controlando para Differentiation IVs — teste Wald sobre γ₂; (b) teste de sobreidentificação Sargan-Hansen usando custo-shifters e IVs de diferenciação conjuntamente.</w:t>
        <w:br/>
        <w:br/>
        <w:t>O sinal de γ₂ é informativo sobre a estrutura de demanda: coeficiente positivo na distância euclidiana indica que produtos similares são substitutos próximos (consistente com random-coefficient model). Coeficiente negativo seria inconsistente com o modelo e indicaria violação da hipótese de independência condicional.</w:t>
      </w:r>
    </w:p>
    <w:p>
      <w:pPr>
        <w:pStyle w:val="Heading1"/>
      </w:pPr>
      <w:r>
        <w:t>8. Simulações de Monte Carlo</w:t>
      </w:r>
    </w:p>
    <w:p>
      <w:r>
        <w:t>Os autores realizam quatro grupos de simulações com 1.000 replicações cada, usando algoritmo Gauss-Newton iterativo (GNR) combinado com Newton-Raphson para inversão da demanda.</w:t>
        <w:br/>
        <w:br/>
        <w:t>Cenário 1 — Coeficientes Aleatórios Independentes (J = 15, T = 100, λᵏ = 4 ∀k):</w:t>
        <w:br/>
        <w:br/>
        <w:t>O modelo de utilidade é uᵢⱼₜ = β₀ + β₁xⱼₜ⁽¹⁾ + Σₖ (β₂,ₖ + λₖηᵢₖ)xⱼₜ,ₖ⁽²⁾ + ξⱼₜ + εᵢⱼₜ, com ηᵢₖ ~ N(0,1).</w:t>
        <w:br/>
        <w:br/>
        <w:t>Com Sum IV (instrumento fraco): RMSE de λ̂ₖ entre 2.2 e 2.6 (&gt;50% do valor verdadeiro). Frequência de mínimos locais: 19%–66% conforme K₂ cresce de 1 a 4. Rank-test (Cragg-Donald): não rejeita subidentificação em 60%–92% das amostras.</w:t>
        <w:br/>
        <w:br/>
        <w:t>Com Differentiation IVs (Quadrático ou Local): RMSE de λ̂ₖ entre 0.03 e 0.05. Zero mínimos locais em todas as especificações. Ambos rejeitam fortemente H₀ de IIA e H₀ de subidentificação. Melhora de precisão: ~17 vezes sobre o Sum IV.</w:t>
        <w:br/>
        <w:br/>
        <w:t>A Tabela 4 compara GMM vs NLS: GMM com IVs fortes elimina o viés de simultaneidade (bias de NLS ≈ 10%), com padrão de erro assintótico comparável.</w:t>
        <w:br/>
        <w:br/>
        <w:t>Cenário 2 — Coeficientes Correlacionados (J = 50, T = 100, K₂ = 4, Σ = 4I com covariâncias ±0.5):</w:t>
        <w:br/>
        <w:br/>
        <w:t>Usando 15 IVs excluídos (quadráticos + interações de pares), os Differentiation IVs identificam corretamente magnitude e sinal de todos os 10 elementos independentes de Σ. RMSE médio: 0.13–0.23 para os elementos da matriz. Especificação mais rica do que qualquer modelo de coeficientes aleatórios estimado com dados agregados na literatura.</w:t>
        <w:br/>
        <w:br/>
        <w:t>Cenário 3 — Preços Endógenos com Nash-Bertrand (J = 15, T = 100, λₚ = -4, βₚ = -0.2):</w:t>
        <w:br/>
        <w:br/>
        <w:t>Com Local Diff IV: RMSE de λₚ = 0.28, bias = 0.02. Com Sum IV: RMSE = 2.10, bias = 1.03 (viés de atenuação — modelo subestima heterogeneidade em sensibilidade a preço). Melhora em precisão para λₚ: 7.5× (Local IV) e 4× (Quadratic IV) sobre Sum IV. Cragg-Donald com Sum IV (= 4.09) &lt; critical value Stock-Yogo 10% (= 13.43) — identificação fraca confirmada.</w:t>
        <w:br/>
        <w:br/>
        <w:t>Cenário 4 — Experimento Natural (Hotelling, entrada exógena x* = 5):</w:t>
        <w:br/>
        <w:br/>
        <w:t>GMM de diferença-em-diferenças usando distância ao novo entrante como instrumento elimina o viés de simultaneidade (correlação a = -0.25 entre ξ e distância euclidiana). Resultado: bias &lt; 1%, RMSE = 0.406. IVs de diferenciação completos sem controle de efeitos fixos: bias = -2.11 (viés de atenuação severo) — confirmando necessidade de quasi-experimento quando características são endógenas.</w:t>
        <w:br/>
        <w:br/>
        <w:t>Cenário 5 — Comparação com IV Ótimo Aproximado (Tabela 7–9):</w:t>
        <w:br/>
        <w:br/>
        <w:t>No modelo de Hotelling com λ⁰ = 2: IV Ótimo com θ¹ = verdadeiro → RMSE = 0.126; com θ¹ = -1 (sinal errado) → RMSE = 1.687 (&gt;10× maior). Differentiation IVs: RMSE = 0.310 (estável, independe do valor de θ). No modelo de preços endógenos: segundo estágio com IV Ótimo reduz RMSE de λₚ em ~50% adicional quando Diff IVs são usados no primeiro estágio.</w:t>
      </w:r>
    </w:p>
    <w:p>
      <w:pPr>
        <w:pStyle w:val="Heading1"/>
      </w:pPr>
      <w:r>
        <w:t>9. Aplicação: Demanda por Automóveis</w:t>
      </w:r>
    </w:p>
    <w:p>
      <w:r>
        <w:t>Dados: painel BLP original com dados anuais de vendas de carros nos EUA entre 1971 e 1990 (2.217 observações produto-ano). O modelo estimado enriquece BLP (1995) com efeitos fixos de marca e ano, seguindo Nevo (2001):</w:t>
        <w:br/>
        <w:br/>
        <w:t xml:space="preserve">    uᵢⱼₜ = xⱼₜβ + βₚpⱼₜ + Make FE + Year FE + ξⱼₜ + λₚpⱼₜ/yᵢ + Σᵏ λₖxⱼₜ,ₖηᵢₖ + εᵢⱼₜ</w:t>
        <w:br/>
        <w:br/>
        <w:t>onde yᵢ ~ LN(μₜʸ, σₜʸ) e ηᵢₖ ~ N(0,1). Usam-se 500 draws de Halton para integração. Os coeficientes aleatórios são especificados sobre preço, número de portas e ar-condicionado.</w:t>
        <w:br/>
        <w:br/>
        <w:t>Instrumentos de Preço (Equação 26):</w:t>
        <w:br/>
        <w:t xml:space="preserve">    pⱼₜ = xⱼₜπ₁ + wⱼₜπ₂ + Make FE + Year FE + uⱼₜ</w:t>
        <w:br/>
        <w:br/>
        <w:t>Dois custo-shifters: (i) peso do carro interagido com razão de preços de aço e bauxita; (ii) indicador de produção nos EUA por marca estrangeira (10 modelos, 1979–1989). Kleibergen-Paap statistic: 34–57 → instrumentos de preço fortes.</w:t>
        <w:br/>
        <w:br/>
        <w:t>Teste IIA — Regressão Logit Reduzida (Tabela 10, Equação 27):</w:t>
        <w:br/>
        <w:t xml:space="preserve">    ln sⱼₜ/s₀ₜ = βₚpⱼₜ + xⱼₜβₓ + zⱼₜᵈⁱˢᵗγ + Make FE + Year FE + eⱼₜ</w:t>
        <w:br/>
        <w:br/>
        <w:t>Resultados do Teste IIA:</w:t>
        <w:br/>
        <w:t>- Distância euclidiana em preço previsto: γ̂ = 0.016*** → isolamento em preço aumenta participação</w:t>
        <w:br/>
        <w:t>- Distância em número de portas: γ̂ = 0.027** → efeito positivo, menos preciso</w:t>
        <w:br/>
        <w:t>- Número de carros com mesmo atributo de ar condicionado: γ̂ = 0.009**</w:t>
        <w:br/>
        <w:t>- Teste conjunto H₀: γ₂ = 0: chi² = 17.56, p-value &lt; 0.01% → rejeição forte</w:t>
        <w:br/>
        <w:br/>
        <w:t>Desvios estatisticamente significativos da IIA ao longo de (pelo menos) três dimensões: preço, tamanho do carro (portas) e ar-condicionado.</w:t>
        <w:br/>
        <w:br/>
        <w:t>Resultados do Mixed Logit GMM (Tabela 11), especificação preferida:</w:t>
        <w:br/>
        <w:t>- λₚ (coeficiente aleatório de preço): -2.525** a -0.854** → heterogeneidade alta em sensibilidade a preço</w:t>
        <w:br/>
        <w:t>- λdoor (coeficiente aleatório de portas): 0.456–0.631*** → forte diferenciação horizontal</w:t>
        <w:br/>
        <w:t>- βₚ (nível médio de preço): 0.059–0.143*** → após controle de efeitos fixos de marca</w:t>
        <w:br/>
        <w:t>- Elasticidade-preço mediana em 1990: -1.2 (variando entre -0.3 e -3)</w:t>
        <w:br/>
        <w:br/>
        <w:t>A comparação NLS vs GMM confirma viés de atenuação dos coeficientes aleatórios sem IVs adequados. Os erros-padrão assintóticos são comparáveis entre NLS e GMM, confirmando força dos instrumentos. O modelo identifica padrões de substituição ricos sem qualquer restrição de equilíbrio de supply-side e sem dados de micromomentos (pesquisas domiciliares).</w:t>
      </w:r>
    </w:p>
    <w:p>
      <w:pPr>
        <w:pStyle w:val="Heading1"/>
      </w:pPr>
      <w:r>
        <w:t>10. Limitações, Extensões e Legado</w:t>
      </w:r>
    </w:p>
    <w:p>
      <w:r>
        <w:t>Limitações do Arcabouço:</w:t>
        <w:br/>
        <w:br/>
        <w:t>A simetria da forma reduzida com preços endógenos requer uma heurística — substituir pⱼₜ por preços previstos p̂ⱼₜ antes de calcular as diferenças. Isso implica que a forma reduzida com preços endógenos só é aproximadamente simétrica, não exatamente, pois a distribuição de markups depende da identidade/propriedade dos produtos. O teste IIA não possui critério estatístico formal para determinar "quão fraco é fraco demais" — ele provê evidência qualitativa, não um limiar. O modelo permanece subespecificado em alguns segmentos (elasticidades inelásticas em parte do mercado de automóveis).</w:t>
        <w:br/>
        <w:br/>
        <w:t>Identificação baseada exclusivamente em restrições de demanda pode ser menos precisa que abordagens que incorporam restrições de supply-side ou micro-momentos. A abordagem de experimento natural (DiD) com instrumentos de diferenciação, embora elimine o viés de simultaneidade de características endógenas, é menos precisa e pode requerer amostras maiores.</w:t>
        <w:br/>
        <w:br/>
        <w:t>Legado e Impacto:</w:t>
        <w:br/>
        <w:br/>
        <w:t>Os Differentiation IVs são agora considerados "best practice" empírica por Conlon e Gortmaker (2019) no pacote pyblp — implementação de referência do estimador BLP. Foram adotados em múltiplos estudos: demanda por automóveis (Miravete, Moral e Thurk 2018; Cosar, Grieco e Tintelnot 2018), dados de scanner (Miller e Weinberg 2017; Sullivan 2020; Dube, Hortacsu e Joo 2020) e escolha escolar (Singleton 2019).</w:t>
        <w:br/>
        <w:br/>
        <w:t>O paper formaliza a intuição por trás dos instrumentos de modelos logit aninhado (Berry 1994, Bresnahan et al. 1997) e de diferenciação espacial (Houde 2012), generalizando-a ao modelo de coeficientes aleatórios. A abordagem sequencial — teste IIA → especificação do modelo → estimação GMM com Differentiation IVs → segundo estágio com IV ótimo aproximado — constitui um protocolo empírico robusto para pesquisa em demanda com dados agregados que se tornou padrão na literatura de OI empírica.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