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28"/>
        </w:rPr>
        <w:t>The Differential Approach to Demand Analysis and the Rotterdam Model</w:t>
      </w:r>
    </w:p>
    <w:p>
      <w:pPr>
        <w:jc w:val="center"/>
      </w:pPr>
      <w:r>
        <w:rPr>
          <w:i/>
          <w:sz w:val="22"/>
        </w:rPr>
        <w:t>Barnett, William A. e Serletis, Apostolos (2008)</w:t>
      </w:r>
    </w:p>
    <w:p/>
    <w:p>
      <w:pPr>
        <w:pStyle w:val="Heading1"/>
      </w:pPr>
      <w:r>
        <w:rPr>
          <w:color w:val="1F497D"/>
        </w:rPr>
        <w:t>1. Motivação e Problema de Pesquisa</w:t>
      </w:r>
    </w:p>
    <w:p>
      <w:r>
        <w:t>A análise empírica de demanda possui duas tradições. A tradição mais antiga especifica equações de demanda sem referência a uma função utilidade. O sistema log-log é um exemplo:</w:t>
      </w:r>
    </w:p>
    <w:p>
      <w:pPr>
        <w:ind w:left="720"/>
      </w:pPr>
      <w:r>
        <w:t>log xᵢ = αᵢ + ηᵢᵧ log y + Σⱼ ηᵢⱼ log pⱼ,   i = 1,...,n</w:t>
      </w:r>
    </w:p>
    <w:p>
      <w:r>
        <w:t>onde ηᵢᵧ é a elasticidade-renda e ηᵢⱼ é a elasticidade-preço cruzada não compensada (Cournot), capturando simultaneamente efeitos renda e substituição. Outro exemplo é o modelo de Working (1943):</w:t>
      </w:r>
    </w:p>
    <w:p>
      <w:pPr>
        <w:ind w:left="720"/>
      </w:pPr>
      <w:r>
        <w:t>wᵢ = αᵢ + βᵢ log y</w:t>
      </w:r>
    </w:p>
    <w:p>
      <w:r>
        <w:t>que expressa a participação orçamentária wᵢ = pᵢxᵢ/y como função linear de log y — aplicável a dados de cross-section com pouca variação de preços. Esses modelos univariados ignoram restrições de cross-equation como simetria de Slutsky. A abordagem moderna, de sistema completo (system-wide), assume um agente representativo que maximiza utilidade sujeito à restrição orçamentária. Sua origem está no trabalho de Theil (1965) e no Modelo de Rotterdam — que evita a necessidade de especificar uma forma funcional particular para a função utilidade.</w:t>
      </w:r>
    </w:p>
    <w:p>
      <w:r>
        <w:t>Objetivo: Apresentar a abordagem diferencial à análise de demanda e o Modelo de Rotterdam, derivar suas versões em preços relativos e absolutos, discutir estimação e demonstrar que — ao contrário de sistemas paramétricos e semi-não-paramétricos concorrentes — o Modelo de Rotterdam é econometricamente regular.</w:t>
      </w:r>
    </w:p>
    <w:p>
      <w:pPr>
        <w:pStyle w:val="Heading1"/>
      </w:pPr>
      <w:r>
        <w:rPr>
          <w:color w:val="1F497D"/>
        </w:rPr>
        <w:t>2. Revisão da Literatura e Contribuição do Artigo</w:t>
      </w:r>
    </w:p>
    <w:p>
      <w:r>
        <w:t>As referências fundacionais do artigo incluem: Theil (1965, 1967, 1975, 1976, 1980) — introdução e exploração sistemática da abordagem diferencial e do Modelo de Rotterdam; Barten (1964, 1966, 1969) — equação fundamental matricial, derivação do modelo em preços absolutos e estimação por máxima verossimilhança; Houthakker (1960) — independência de preferências e terminologia de substitutos/complementos específicos; Slutsky (1915) — decomposição do efeito total em substituição e renda; Frisch (1932) — índice de preços ponderado por participações marginais; Divisia (1925) — índice de preços/quantidades para agregação; Lewbel e Ng (2005) — crítica da não-estacionariedade nos sistemas de demanda existentes; Barnett e Serletis (2008) — survey sobre procedimentos de estimação.</w:t>
      </w:r>
    </w:p>
    <w:p>
      <w:r>
        <w:t>Contribuição: Artigo didático que unifica derivação teórica rigorosa (via Lagrangiano, equação de Slutsky, equação fundamental de Barten) com a aplicação prática do Modelo de Rotterdam, explicitando sua vantagem decisiva de regularidade econométrica frente a todos os sistemas concorrentes.</w:t>
      </w:r>
    </w:p>
    <w:p>
      <w:pPr>
        <w:pStyle w:val="Heading1"/>
      </w:pPr>
      <w:r>
        <w:rPr>
          <w:color w:val="1F497D"/>
        </w:rPr>
        <w:t>3. Teoria Neoclássica do Consumidor</w:t>
      </w:r>
    </w:p>
    <w:p>
      <w:r>
        <w:t>O consumidor resolve: max u(x) sujeito a p'x = y, onde x é o vetor n×1 de bens, p o vetor de preços, y a renda nominal e u(x) a função utilidade.</w:t>
      </w:r>
    </w:p>
    <w:p>
      <w:r>
        <w:t>As condições de primeira ordem, via Lagrangiano ℒ = u(x) + λ(y − p'x):</w:t>
      </w:r>
    </w:p>
    <w:p>
      <w:pPr>
        <w:ind w:left="720"/>
      </w:pPr>
      <w:r>
        <w:t>∂u(x)/∂xᵢ = λpᵢ,   i = 1,...,n</w:t>
        <w:br/>
        <w:t>p'x = y</w:t>
      </w:r>
    </w:p>
    <w:p>
      <w:r>
        <w:t>Intuição econômica: λ é a utilidade marginal da renda — o "preço-sombra" da restrição orçamentária. No ótimo, a razão entre utilidade marginal e preço deve ser igual para todos os bens (lei de equimarginalidade). O sistema de demanda marshalliana resultante é xᵢ = xᵢ(p, y).</w:t>
      </w:r>
    </w:p>
    <w:p>
      <w:r>
        <w:t>Equação fundamental de Barten (1964): A diferenciação total das condições de primeira ordem gera um sistema matricial que relaciona variações de quantidades demandadas a variações de renda e preços. Resolvendo, obtêm-se as derivadas do sistema de demanda:</w:t>
      </w:r>
    </w:p>
    <w:p>
      <w:pPr>
        <w:ind w:left="720"/>
      </w:pPr>
      <w:r>
        <w:t>xᵧ = λᵧ U⁻¹p   (derivadas-renda)</w:t>
      </w:r>
    </w:p>
    <w:p>
      <w:pPr>
        <w:ind w:left="720"/>
      </w:pPr>
      <w:r>
        <w:t>Xₚ = λU⁻¹ − (λ/λᵧ) xᵧ xᵧ' − xᵧ x'   (equação de Slutsky)</w:t>
      </w:r>
    </w:p>
    <w:p>
      <w:r>
        <w:t>Equação de Slutsky: Xₚ = K − xᵧ x', onde K = λU⁻¹ − (λ/λᵧ) xᵧ xᵧ' é a matriz de Slutsky (substituição compensada) e xᵧ x' é a matriz de efeitos-renda. Em forma escalar: ∂xᵢ/∂pⱼ = kᵢⱼ − (∂xᵢ/∂y) xⱼ. O efeito total de uma variação de preço decompõe-se em: (i) efeito renda — a renda real cai, reduzindo xᵢ para bens normais; (ii) efeito substituição compensado — com renda real constante, a demanda muda conforme a relação de substitutibilidade/complementaridade entre i e j.</w:t>
      </w:r>
    </w:p>
    <w:p>
      <w:pPr>
        <w:pStyle w:val="Heading1"/>
      </w:pPr>
      <w:r>
        <w:rPr>
          <w:color w:val="1F497D"/>
        </w:rPr>
        <w:t>4. A Abordagem Diferencial da Análise de Demanda</w:t>
      </w:r>
    </w:p>
    <w:p>
      <w:r>
        <w:t>Introduzida por Theil (1965) e Barten (1966). Escrevendo o sistema de demanda em diferenciais logarítmicos — multiplicando a expansão de demanda por pᵢ/y e usando a identidade dz = z d log z:</w:t>
      </w:r>
    </w:p>
    <w:p>
      <w:pPr>
        <w:ind w:left="720"/>
      </w:pPr>
      <w:r>
        <w:t>wᵢ d log xᵢ = θᵢ d log y + Σⱼ (pᵢpⱼ/y)(∂xᵢ/∂pⱼ) d log pⱼ</w:t>
      </w:r>
    </w:p>
    <w:p>
      <w:r>
        <w:t>onde wᵢ = pᵢxᵢ/y é a participação orçamentária e θᵢ = pᵢ(∂xᵢ/∂y) é a participação orçamentária marginal. As participações orçamentárias somam a unidade (Σwᵢ = 1) e são sempre positivas. As participações marginais também somam a unidade (Σθᵢ = 1), mas podem ser negativas para bens inferiores.</w:t>
      </w:r>
    </w:p>
    <w:p>
      <w:r>
        <w:t>Dois índices de preços centrais:</w:t>
      </w:r>
    </w:p>
    <w:p>
      <w:pPr>
        <w:ind w:left="720"/>
      </w:pPr>
      <w:r>
        <w:t>Índice Divisia: d log P = Σⱼ wⱼ d log pⱼ   (ponderado por participações orçamentárias)</w:t>
        <w:br/>
        <w:t>Índice Divisia de Quantidade: d log Q = Σⱼ wⱼ d log xⱼ  →  d log Q + d log P = d log y</w:t>
        <w:br/>
        <w:t>Índice de Frisch: d log Pᶠ = Σⱼ θⱼ d log pⱼ   (ponderado por participações marginais)</w:t>
      </w:r>
    </w:p>
    <w:p>
      <w:r>
        <w:t>O índice Divisia transforma a variação da renda nominal em variação de renda real. O índice de Frisch usa as participações marginais como pesos e transforma preços absolutos em preços relativos. Definindo vᵢⱼ = λpᵢpⱼuᵢⱼ/y (elementos da matriz [vᵢⱼ] = (λ/y) P'U⁻¹P, simétrica e negativa definida) e φ = (λ/y)/(∂λ/∂y), com a propriedade Σⱼ vᵢⱼ = φθᵢ, o sistema diferencial generalizado torna-se:</w:t>
      </w:r>
    </w:p>
    <w:p>
      <w:pPr>
        <w:ind w:left="720"/>
      </w:pPr>
      <w:r>
        <w:t>wᵢ d log xᵢ = θᵢ d log Q + Σⱼ vᵢⱼ d log pⱼ − φθᵢ Σⱼ θⱼ d log pⱼ</w:t>
      </w:r>
    </w:p>
    <w:p>
      <w:pPr>
        <w:pStyle w:val="Heading1"/>
      </w:pPr>
      <w:r>
        <w:rPr>
          <w:color w:val="1F497D"/>
        </w:rPr>
        <w:t>5. Sistemas de Demanda em Preços Relativos e Absolutos</w:t>
      </w:r>
    </w:p>
    <w:p>
      <w:r>
        <w:t>Sistema em Preços Relativos: Usando o índice de Frisch e a propriedade Σⱼ vᵢⱼ = φθᵢ, o sistema simplifica-se:</w:t>
      </w:r>
    </w:p>
    <w:p>
      <w:pPr>
        <w:ind w:left="720"/>
      </w:pPr>
      <w:r>
        <w:t>wᵢ d log xᵢ = θᵢ d log Q + Σⱼ vᵢⱼ (d log pⱼ − d log Pᶠ)</w:t>
      </w:r>
    </w:p>
    <w:p>
      <w:r>
        <w:t>O coeficiente vᵢⱼ mede o efeito de substituição específico do preço relativo do bem j sobre a demanda do bem i. Bens i e j são substitutos específicos se vᵢⱼ &gt; 0 e complementos específicos se vᵢⱼ &lt; 0 (Houthakker, 1960).</w:t>
      </w:r>
    </w:p>
    <w:p>
      <w:r>
        <w:t>Independência de preferências: Se u(x) = Σᵢ uᵢ(xᵢ), a Hessiana U é diagonal (uᵢⱼ = 0 para i ≠ j), implicando vᵢⱼ = 0 para i ≠ j. O sistema simplifica-se para:</w:t>
      </w:r>
    </w:p>
    <w:p>
      <w:pPr>
        <w:ind w:left="720"/>
      </w:pPr>
      <w:r>
        <w:t>w*ᵢₜ Dxᵢₜ = θᵢ DQₜ + φθᵢ (Dpᵢₜ − DPᶠₜ)</w:t>
      </w:r>
    </w:p>
    <w:p>
      <w:r>
        <w:t>Apenas o preço próprio aparece em cada equação. O número de parâmetros cai de ordem n² para ordem 2n.</w:t>
        <w:br/>
        <w:br/>
        <w:t>Independência por blocos (block additivity): Versão mais fraca, onde a aditividade aplica-se a grupos de bens: u(x) = Σᵣ uᵣ(xʳ). Permite derivar equações condicionais dentro de grupos.</w:t>
        <w:br/>
        <w:br/>
        <w:t>Advertência sobre cardinalidade: A versão em preços relativos exige normalização cardinal para identificação. Conceitos como substitutos/complementos específicos são cardinais — não invariantes a transformações monótonas da utilidade. Apenas conclusões ordinais são válidas ao fim da análise.</w:t>
      </w:r>
    </w:p>
    <w:p>
      <w:r>
        <w:t>Sistema em Preços Absolutos: Expressando os termos de substituição em preços não deflacionados:</w:t>
      </w:r>
    </w:p>
    <w:p>
      <w:pPr>
        <w:ind w:left="720"/>
      </w:pPr>
      <w:r>
        <w:t>Σⱼ vᵢⱼ (d log pⱼ − d log Pᶠ) = Σⱼ πᵢⱼ d log pⱼ</w:t>
        <w:br/>
        <w:t>onde πᵢⱼ = vᵢⱼ − φθᵢθⱼ é o coeficiente de Slutsky.</w:t>
      </w:r>
    </w:p>
    <w:p>
      <w:pPr>
        <w:ind w:left="720"/>
      </w:pPr>
      <w:r>
        <w:t>O sistema torna-se: wᵢ d log xᵢ = θᵢ d log Q + Σⱼ πᵢⱼ d log pⱼ</w:t>
      </w:r>
    </w:p>
    <w:p>
      <w:r>
        <w:t>πᵢⱼ é invariante a transformações monótonas da utilidade — todas as inferências são ordinais. Não é necessária nenhuma normalização cardinal.</w:t>
        <w:br/>
        <w:br/>
        <w:t>Elasticidades:</w:t>
        <w:br/>
        <w:t xml:space="preserve">  Elasticidade-renda: ηᵢᵧ = θᵢ/wᵢ</w:t>
        <w:br/>
        <w:t xml:space="preserve">  Elasticidade-preço compensada (Hicksiana): η*ᵢⱼ = πᵢⱼ/wᵢ</w:t>
      </w:r>
    </w:p>
    <w:p>
      <w:pPr>
        <w:pStyle w:val="Heading1"/>
      </w:pPr>
      <w:r>
        <w:rPr>
          <w:color w:val="1F497D"/>
        </w:rPr>
        <w:t>6. A Parametrização de Rotterdam</w:t>
      </w:r>
    </w:p>
    <w:p>
      <w:r>
        <w:t>Dados econômicos estão disponíveis em intervalos finitos. Convertendo para mudanças finitas e assumindo que os parâmetros θᵢ e πᵢⱼ são constantes ao longo do período amostral, obtém-se o Modelo de Rotterdam. A conversão usa participações orçamentárias médias: w*ᵢₜ = (1/2)(wᵢₜ + wᵢ,ₜ₋₁), e os índices de Törnqvist-Theil Divisia: DQₜ = Σⱼ w*ⱼₜ Dxⱼₜ (quantidade), DPₜ = Σⱼ w*ⱼₜ Dpⱼₜ (preço), DPᶠₜ = Σⱼ θⱼ Dpⱼₜ (Frisch), onde D é o operador de mudança logarítmica Dzₜ = log zₜ − log zₜ₋₁.</w:t>
      </w:r>
    </w:p>
    <w:p>
      <w:r>
        <w:t>Versão em Preços Relativos (Theil, 1975):</w:t>
      </w:r>
    </w:p>
    <w:p>
      <w:pPr>
        <w:ind w:left="720"/>
      </w:pPr>
      <w:r>
        <w:t>w*ᵢₜ Dxᵢₜ = θᵢ DQₜ + Σⱼ vᵢⱼ (Dpⱼₜ − DPᶠₜ)</w:t>
      </w:r>
    </w:p>
    <w:p>
      <w:r>
        <w:t>Versão em Preços Absolutos (Barten, 1966):</w:t>
      </w:r>
    </w:p>
    <w:p>
      <w:pPr>
        <w:ind w:left="720"/>
      </w:pPr>
      <w:r>
        <w:t>w*ᵢₜ Dxᵢₜ = θᵢ DQₜ + Σⱼ πᵢⱼ Dpⱼₜ</w:t>
      </w:r>
    </w:p>
    <w:p>
      <w:r>
        <w:t>Comparação: A versão absoluta é linear nos parâmetros (estimação direta) e todos os parâmetros são ordinais. A versão relativa é não-linear e exige normalização cardinal, mas mais parcimoniosa sob restrições (ex: independência de preferências).</w:t>
      </w:r>
    </w:p>
    <w:p>
      <w:r>
        <w:t>Restrições teóricas da versão em preços absolutos:</w:t>
        <w:br/>
        <w:t xml:space="preserve">  Adding-up: Σᵢ θᵢ = 1  e  Σⱼ πⱼᵢ = 0 para todo i</w:t>
        <w:br/>
        <w:t xml:space="preserve">  Homogeneidade da demanda: Σⱼ πᵢⱼ = 0 para todo i</w:t>
        <w:br/>
        <w:t xml:space="preserve">  Simetria de Slutsky: πᵢⱼ = πⱼᵢ para todo i, j</w:t>
        <w:br/>
        <w:t xml:space="preserve">  Concavidade: matriz [πᵢⱼ] negativa semidefinida de posto n−1</w:t>
        <w:br/>
        <w:br/>
        <w:t>Na prática, adding-up, homogeneidade e simetria são impostos na estimação; a negatividade semidefinida é verificada empiricamente.</w:t>
      </w:r>
    </w:p>
    <w:p>
      <w:pPr>
        <w:pStyle w:val="Heading1"/>
      </w:pPr>
      <w:r>
        <w:rPr>
          <w:color w:val="1F497D"/>
        </w:rPr>
        <w:t>7. Estimação do Modelo de Rotterdam</w:t>
      </w:r>
    </w:p>
    <w:p>
      <w:r>
        <w:t>Especificação estocástica:</w:t>
      </w:r>
    </w:p>
    <w:p>
      <w:pPr>
        <w:ind w:left="720"/>
      </w:pPr>
      <w:r>
        <w:t>w*ᵢₜ Dxᵢₜ = θᵢ DQₜ + Σⱼ πᵢⱼ Dpⱼₜ + εᵢₜ,   i = 1,...,n;  t = 1,...,T</w:t>
      </w:r>
    </w:p>
    <w:p>
      <w:r>
        <w:t>Problema de singularidade: Pelo adding-up, Σᵢ εᵢₜ = 0 para todo t — os distúrbios são linearmente dependentes e a matriz de covariância é singular. Solução (Barten, 1969): deleta-se qualquer uma das n equações; os parâmetros da equação deletada são recuperados pelas restrições impostas.</w:t>
      </w:r>
    </w:p>
    <w:p>
      <w:r>
        <w:t>Exemplo com n = 4 bens: Deleta-se a 4ª equação. O sistema estimado tem 9 parâmetros livres: θ₁, θ₂, θ₃, π₁₁, π₁₂, π₁₃, π₂₂, π₂₃, π₃₃. Os parâmetros da equação deletada recuperam-se:</w:t>
      </w:r>
    </w:p>
    <w:p>
      <w:pPr>
        <w:ind w:left="720"/>
      </w:pPr>
      <w:r>
        <w:t>θ₄ = 1 − θ₁ − θ₂ − θ₃</w:t>
        <w:br/>
        <w:t>π₄₁ (= π₁₄) = −π₁₁ − π₁₂ − π₁₃</w:t>
        <w:br/>
        <w:t>π₄₂ (= π₂₄) = −π₁₂ − π₂₂ − π₂₃</w:t>
        <w:br/>
        <w:t>π₄₃ (= π₃₄) = −π₁₃ − π₂₃ − π₃₃</w:t>
        <w:br/>
        <w:t>π₄₄ = π₁₁ + 2π₁₂ + 2π₁₃ + π₂₂ + 2π₂₃ + π₃₃</w:t>
      </w:r>
    </w:p>
    <w:p>
      <w:r>
        <w:t>Estimação por Máxima Verossimilhança: Assume-se ε ~ N(0, Ω ⊗ Iₜ), onde Ω é a matriz de variância-covariância (n−1)×(n−1). A função log-verossimilhança:</w:t>
      </w:r>
    </w:p>
    <w:p>
      <w:pPr>
        <w:ind w:left="720"/>
      </w:pPr>
      <w:r>
        <w:t>log L(ϑ, Ω | s, v) = −[(n−1)T/2] log(2π) − (1/2)|Ω|</w:t>
        <w:br/>
        <w:t xml:space="preserve">                   − (1/2) Σₜ [(sₜ − g(vₜ;ϑ))' Ω⁻¹ (sₜ − g(vₜ;ϑ))]</w:t>
      </w:r>
    </w:p>
    <w:p>
      <w:r>
        <w:t>Maximiza-se em relação ao vetor de parâmetros ϑ = {θᵢ, πᵢⱼ} e à matriz Ω. A hipótese de correlação contemporânea entre equações (mas não autocorrelação serial) é razoável para sistemas de demanda. O estimador de MV com Ω desconhecida é equivalente ao mínimos quadrados generalizados iterado (ISUR).</w:t>
      </w:r>
    </w:p>
    <w:p>
      <w:pPr>
        <w:pStyle w:val="Heading1"/>
      </w:pPr>
      <w:r>
        <w:rPr>
          <w:color w:val="1F497D"/>
        </w:rPr>
        <w:t>8. Regularidade Teórica e Econométrica</w:t>
      </w:r>
    </w:p>
    <w:p>
      <w:r>
        <w:t>Regularidade Teórica: Para consistência com maximização de utilidade, a matriz de Slutsky [πᵢⱼ] deve ser negativa semidefinida de posto n−1. Para n = 4 bens, isso exige: (i) todos os πᵢᵢ &lt; 0; (ii) todas as submatrizes 2×2 com determinante positivo; (iii) todas as submatrizes 3×3 com determinante negativo; (iv) determinante da matriz 4×4 igual a zero (posto 3).</w:t>
      </w:r>
    </w:p>
    <w:p>
      <w:r>
        <w:t>Se a regularidade não é obtida automaticamente, deve ser imposta na estimação (Barnett, 2002; Barnett e Pasupathy, 2003). Os primeiros testes de Barten (1967, 1969) e Byron (1970) sugeriram rejeição das restrições teóricas; Deaton (1972) mostrou que as rejeições eram devidas ao uso inapropriado de critérios assintóticos — com correção para amostras finitas, o conflito foi removido, exceto para a restrição de homogeneidade.</w:t>
      </w:r>
    </w:p>
    <w:p>
      <w:r>
        <w:t>Limitação teórica do Rotterdam: Phlips (1974) e McFadden (1964) argumentaram que o Rotterdam é globalmente exato para maximização de utilidade apenas se a função utilidade for log-linear (Cobb-Douglas). Porém, Barnett (1979a, 1981) demonstrou que o Rotterdam tem uma conexão excepcionalmente rigorosa com a demanda após agregação sobre consumidores — nenhum outro modelo demonstrou conexão comparável com a teoria após agregação sob hipóteses fracas.</w:t>
      </w:r>
    </w:p>
    <w:p>
      <w:r>
        <w:t>Regularidade Econométrica: Esta é a principal vantagem empírica do Rotterdam. Em economias industrializadas, séries temporais de preços e renda são tipicamente não-estacionárias. A maioria dos sistemas paramétricos — AIDS (Deaton e Muellbauer, 1980), translog (Christensen et al., 1975), Laurent mínflex (Barnett, 1983), quadratic AIDS (Banks et al., 1997), quadrático normalizado (Diewert e Wales, 1988) — e semi-não-paramétricos — Fourier (Gallant, 1981), AIM (Barnett e Jonas, 1983) — não consegue lidar com não-estacionariedade porque métodos padrão de cointegração não se aplicam à estimação não-linear de sistemas grandes.</w:t>
      </w:r>
    </w:p>
    <w:p>
      <w:r>
        <w:t>O Modelo de Rotterdam usa primeiras diferenças logarítmicas (Dxᵢₜ, Dpⱼₜ), que são tipicamente estacionárias. Isso elimina o problema de raiz unitária sem necessitar de modelagem de cointegração. Além disso, testes sistemáticos da estrutura de erros do Rotterdam refletem mais favoravelmente nas hipóteses mantidas do que qualquer outro modelo de demanda.</w:t>
      </w:r>
    </w:p>
    <w:p>
      <w:pPr>
        <w:pStyle w:val="Heading1"/>
      </w:pPr>
      <w:r>
        <w:rPr>
          <w:color w:val="1F497D"/>
        </w:rPr>
        <w:t>9. Conclusão e Legado</w:t>
      </w:r>
    </w:p>
    <w:p>
      <w:r>
        <w:t>O Modelo de Rotterdam marcou um ponto de virada na análise empírica de demanda, introduzindo propriedades ausentes nos modelos anteriores:</w:t>
      </w:r>
    </w:p>
    <w:p>
      <w:pPr>
        <w:pStyle w:val="ListBullet"/>
      </w:pPr>
      <w:r>
        <w:t>Fundamento teórico integral: derivado rigorosamente da teoria neoclássica do consumidor, via equação de Slutsky e equação fundamental de Barten.</w:t>
      </w:r>
    </w:p>
    <w:p>
      <w:pPr>
        <w:pStyle w:val="ListBullet"/>
      </w:pPr>
      <w:r>
        <w:t>Modelagem da matriz de substituição completa: capta todos os efeitos cruzados entre n bens.</w:t>
      </w:r>
    </w:p>
    <w:p>
      <w:pPr>
        <w:pStyle w:val="ListBullet"/>
      </w:pPr>
      <w:r>
        <w:t>Parâmetros com interpretação teórica direta: θᵢ (participações marginais) e πᵢⱼ (coeficientes de Slutsky) relacionam-se diretamente às restrições teóricas.</w:t>
      </w:r>
    </w:p>
    <w:p>
      <w:pPr>
        <w:pStyle w:val="ListBullet"/>
      </w:pPr>
      <w:r>
        <w:t>Linearidade nos parâmetros: facilita estimação por MV e testes de hipóteses.</w:t>
      </w:r>
    </w:p>
    <w:p>
      <w:pPr>
        <w:pStyle w:val="ListBullet"/>
      </w:pPr>
      <w:r>
        <w:t>Regularidade econométrica: uso de primeiras diferenças logarítmicas contorna o problema de não-estacionariedade — vantagem decisiva frente a todos os concorrentes.</w:t>
      </w:r>
    </w:p>
    <w:p>
      <w:r>
        <w:t>Legado e contexto histórico: Após Diewert (1971), a literatura de demanda migrou para sistemas baseados em formas funcionais flexíveis especificadas diretamente via função utilidade do agente representativo — ignorando que a teoria demonstrou que o agente representativo não existe sob hipóteses razoáveis. O Rotterdam, ao operar na fronteira entre teoria e empiria sem impor uma forma funcional de utilidade, permanece relevante e, em aspectos-chave, superior aos modelos que o sucederam.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